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8082A">
      <w:pPr>
        <w:jc w:val="center"/>
        <w:rPr>
          <w:rFonts w:ascii="Verdana" w:hAnsi="Verdana"/>
          <w:b/>
          <w:sz w:val="22"/>
          <w:szCs w:val="22"/>
          <w:lang w:val="es-ES_tradnl"/>
        </w:rPr>
      </w:pPr>
      <w:bookmarkStart w:id="0" w:name="_GoBack"/>
      <w:bookmarkEnd w:id="0"/>
      <w:r>
        <w:rPr>
          <w:rFonts w:ascii="Verdana" w:hAnsi="Verdana"/>
          <w:b/>
          <w:sz w:val="22"/>
          <w:szCs w:val="22"/>
          <w:lang w:val="es-ES_tradnl"/>
        </w:rPr>
        <w:t>Corte Interamericana de Derechos Humanos</w:t>
      </w:r>
    </w:p>
    <w:p w:rsidR="00000000" w:rsidRDefault="00D8082A">
      <w:pPr>
        <w:jc w:val="center"/>
        <w:rPr>
          <w:rFonts w:ascii="Verdana" w:hAnsi="Verdana"/>
          <w:b/>
          <w:sz w:val="22"/>
          <w:szCs w:val="22"/>
          <w:lang w:val="es-ES_tradnl"/>
        </w:rPr>
      </w:pPr>
    </w:p>
    <w:p w:rsidR="00000000" w:rsidRDefault="00D8082A">
      <w:pPr>
        <w:rPr>
          <w:rFonts w:ascii="Verdana" w:hAnsi="Verdana"/>
          <w:b/>
          <w:sz w:val="22"/>
          <w:szCs w:val="22"/>
          <w:lang w:val="es-ES_tradnl"/>
        </w:rPr>
      </w:pPr>
    </w:p>
    <w:p w:rsidR="00000000" w:rsidRDefault="00D8082A">
      <w:pPr>
        <w:jc w:val="center"/>
        <w:rPr>
          <w:rFonts w:ascii="Verdana" w:hAnsi="Verdana"/>
          <w:b/>
          <w:sz w:val="22"/>
          <w:szCs w:val="22"/>
          <w:lang w:val="es-ES_tradnl"/>
        </w:rPr>
      </w:pPr>
      <w:r>
        <w:rPr>
          <w:rFonts w:ascii="Verdana" w:hAnsi="Verdana"/>
          <w:b/>
          <w:sz w:val="22"/>
          <w:szCs w:val="22"/>
          <w:lang w:val="es-ES_tradnl"/>
        </w:rPr>
        <w:t>Caso Ivcher Bronstein</w:t>
      </w:r>
      <w:r>
        <w:rPr>
          <w:rFonts w:ascii="Verdana" w:hAnsi="Verdana"/>
          <w:b/>
          <w:sz w:val="22"/>
          <w:szCs w:val="22"/>
          <w:lang w:val="es-ES"/>
        </w:rPr>
        <w:t xml:space="preserve"> </w:t>
      </w:r>
      <w:r>
        <w:rPr>
          <w:rFonts w:ascii="Verdana" w:hAnsi="Verdana"/>
          <w:b/>
          <w:i/>
          <w:sz w:val="22"/>
          <w:szCs w:val="22"/>
          <w:lang w:val="es-ES"/>
        </w:rPr>
        <w:t>Vs</w:t>
      </w:r>
      <w:r>
        <w:rPr>
          <w:rFonts w:ascii="Verdana" w:hAnsi="Verdana"/>
          <w:b/>
          <w:sz w:val="22"/>
          <w:szCs w:val="22"/>
          <w:lang w:val="es-ES"/>
        </w:rPr>
        <w:t>.</w:t>
      </w:r>
      <w:r>
        <w:rPr>
          <w:rFonts w:ascii="Verdana" w:hAnsi="Verdana"/>
          <w:b/>
          <w:i/>
          <w:sz w:val="22"/>
          <w:szCs w:val="22"/>
          <w:lang w:val="es-ES"/>
        </w:rPr>
        <w:t xml:space="preserve"> </w:t>
      </w:r>
      <w:r>
        <w:rPr>
          <w:rFonts w:ascii="Verdana" w:hAnsi="Verdana"/>
          <w:b/>
          <w:sz w:val="22"/>
          <w:szCs w:val="22"/>
          <w:lang w:val="en-GB"/>
        </w:rPr>
        <w:t>Perú</w:t>
      </w:r>
    </w:p>
    <w:p w:rsidR="00000000" w:rsidRDefault="00D8082A">
      <w:pPr>
        <w:rPr>
          <w:rFonts w:ascii="Verdana" w:hAnsi="Verdana"/>
          <w:b/>
          <w:sz w:val="22"/>
          <w:szCs w:val="22"/>
          <w:lang w:val="en-GB"/>
        </w:rPr>
      </w:pPr>
    </w:p>
    <w:p w:rsidR="00000000" w:rsidRDefault="00D8082A">
      <w:pPr>
        <w:rPr>
          <w:rFonts w:ascii="Verdana" w:hAnsi="Verdana"/>
          <w:b/>
          <w:sz w:val="22"/>
          <w:szCs w:val="22"/>
          <w:lang w:val="es-ES_tradnl"/>
        </w:rPr>
      </w:pPr>
    </w:p>
    <w:p w:rsidR="00000000" w:rsidRDefault="00D8082A">
      <w:pPr>
        <w:jc w:val="center"/>
        <w:rPr>
          <w:rFonts w:ascii="Verdana" w:hAnsi="Verdana"/>
          <w:b/>
          <w:sz w:val="22"/>
          <w:szCs w:val="22"/>
          <w:lang w:val="es-ES"/>
        </w:rPr>
      </w:pPr>
      <w:r>
        <w:rPr>
          <w:rFonts w:ascii="Verdana" w:hAnsi="Verdana"/>
          <w:b/>
          <w:sz w:val="22"/>
          <w:szCs w:val="22"/>
          <w:lang w:val="es-ES"/>
        </w:rPr>
        <w:t>Sentencia de 4 de septiembre de 2001</w:t>
      </w:r>
    </w:p>
    <w:p w:rsidR="00000000" w:rsidRDefault="00D8082A">
      <w:pPr>
        <w:jc w:val="center"/>
        <w:rPr>
          <w:rFonts w:ascii="Verdana" w:hAnsi="Verdana"/>
          <w:b/>
          <w:i/>
          <w:sz w:val="20"/>
          <w:lang w:val="es-ES_tradnl"/>
        </w:rPr>
      </w:pPr>
      <w:r>
        <w:rPr>
          <w:rFonts w:ascii="Verdana" w:hAnsi="Verdana"/>
          <w:b/>
          <w:i/>
          <w:sz w:val="20"/>
          <w:lang w:val="es-ES_tradnl"/>
        </w:rPr>
        <w:t xml:space="preserve">(Interpretación de </w:t>
      </w:r>
      <w:smartTag w:uri="urn:schemas-microsoft-com:office:smarttags" w:element="PersonName">
        <w:smartTagPr>
          <w:attr w:name="ProductID" w:val="la Sentencia"/>
        </w:smartTagPr>
        <w:r>
          <w:rPr>
            <w:rFonts w:ascii="Verdana" w:hAnsi="Verdana"/>
            <w:b/>
            <w:i/>
            <w:sz w:val="20"/>
            <w:lang w:val="es-ES_tradnl"/>
          </w:rPr>
          <w:t>la Sentencia</w:t>
        </w:r>
      </w:smartTag>
      <w:r>
        <w:rPr>
          <w:rFonts w:ascii="Verdana" w:hAnsi="Verdana"/>
          <w:b/>
          <w:i/>
          <w:sz w:val="20"/>
          <w:lang w:val="es-ES_tradnl"/>
        </w:rPr>
        <w:t xml:space="preserve"> de Fondo)</w:t>
      </w:r>
    </w:p>
    <w:p w:rsidR="00000000" w:rsidRDefault="00D8082A">
      <w:pPr>
        <w:jc w:val="center"/>
        <w:rPr>
          <w:rFonts w:ascii="Verdana" w:hAnsi="Verdana"/>
          <w:b/>
          <w:sz w:val="20"/>
          <w:lang w:val="es-ES_tradnl"/>
        </w:rPr>
      </w:pPr>
    </w:p>
    <w:p w:rsidR="00000000" w:rsidRDefault="00D8082A">
      <w:pPr>
        <w:jc w:val="center"/>
        <w:rPr>
          <w:rFonts w:ascii="Verdana" w:hAnsi="Verdana"/>
          <w:b/>
          <w:sz w:val="20"/>
          <w:lang w:val="es-ES_tradnl"/>
        </w:rPr>
      </w:pPr>
    </w:p>
    <w:p w:rsidR="00000000" w:rsidRDefault="00D8082A">
      <w:pPr>
        <w:jc w:val="center"/>
        <w:rPr>
          <w:rFonts w:ascii="Verdana" w:hAnsi="Verdana"/>
          <w:b/>
          <w:sz w:val="20"/>
          <w:lang w:val="es-ES_tradnl"/>
        </w:rPr>
      </w:pPr>
    </w:p>
    <w:p w:rsidR="00000000" w:rsidRDefault="00D8082A">
      <w:pPr>
        <w:jc w:val="center"/>
        <w:rPr>
          <w:rFonts w:ascii="Verdana" w:hAnsi="Verdana"/>
          <w:b/>
          <w:sz w:val="20"/>
          <w:lang w:val="es-ES_tradnl"/>
        </w:rPr>
      </w:pPr>
    </w:p>
    <w:p w:rsidR="00000000" w:rsidRDefault="00D8082A">
      <w:pPr>
        <w:ind w:right="4"/>
        <w:jc w:val="both"/>
        <w:rPr>
          <w:rFonts w:ascii="Verdana" w:hAnsi="Verdana"/>
          <w:sz w:val="20"/>
          <w:lang w:val="es-ES_tradnl"/>
        </w:rPr>
      </w:pPr>
      <w:r>
        <w:rPr>
          <w:rFonts w:ascii="Verdana" w:hAnsi="Verdana"/>
          <w:sz w:val="20"/>
          <w:lang w:val="es-ES_tradnl"/>
        </w:rPr>
        <w:t>En el caso Ivcher Bronstein,</w:t>
      </w:r>
    </w:p>
    <w:p w:rsidR="00000000" w:rsidRDefault="00D8082A">
      <w:pPr>
        <w:ind w:right="4"/>
        <w:jc w:val="both"/>
        <w:rPr>
          <w:rFonts w:ascii="Verdana" w:hAnsi="Verdana"/>
          <w:sz w:val="20"/>
          <w:lang w:val="es-ES_tradnl"/>
        </w:rPr>
      </w:pPr>
    </w:p>
    <w:p w:rsidR="00000000" w:rsidRDefault="00D8082A">
      <w:pPr>
        <w:ind w:right="4"/>
        <w:jc w:val="both"/>
        <w:rPr>
          <w:rFonts w:ascii="Verdana" w:hAnsi="Verdana"/>
          <w:sz w:val="20"/>
          <w:lang w:val="es-ES_tradnl"/>
        </w:rPr>
      </w:pPr>
      <w:proofErr w:type="gramStart"/>
      <w:smartTag w:uri="urn:schemas-microsoft-com:office:smarttags" w:element="PersonName">
        <w:smartTagPr>
          <w:attr w:name="ProductID" w:val="la Corte Interamericana"/>
        </w:smartTagPr>
        <w:r>
          <w:rPr>
            <w:rFonts w:ascii="Verdana" w:hAnsi="Verdana"/>
            <w:sz w:val="20"/>
            <w:lang w:val="es-ES_tradnl"/>
          </w:rPr>
          <w:t>la</w:t>
        </w:r>
        <w:proofErr w:type="gramEnd"/>
        <w:r>
          <w:rPr>
            <w:rFonts w:ascii="Verdana" w:hAnsi="Verdana"/>
            <w:sz w:val="20"/>
            <w:lang w:val="es-ES_tradnl"/>
          </w:rPr>
          <w:t xml:space="preserve"> Corte Interamericana</w:t>
        </w:r>
      </w:smartTag>
      <w:r>
        <w:rPr>
          <w:rFonts w:ascii="Verdana" w:hAnsi="Verdana"/>
          <w:sz w:val="20"/>
          <w:lang w:val="es-ES_tradnl"/>
        </w:rPr>
        <w:t xml:space="preserve"> de Derechos Humanos (en adelante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w:t>
      </w:r>
      <w:r>
        <w:rPr>
          <w:rFonts w:ascii="Verdana" w:hAnsi="Verdana"/>
          <w:sz w:val="20"/>
          <w:lang w:val="es-ES_tradnl"/>
        </w:rPr>
        <w:t xml:space="preserve"> o “</w:t>
      </w:r>
      <w:smartTag w:uri="urn:schemas-microsoft-com:office:smarttags" w:element="PersonName">
        <w:smartTagPr>
          <w:attr w:name="ProductID" w:val="la Corte Interamericana"/>
        </w:smartTagPr>
        <w:r>
          <w:rPr>
            <w:rFonts w:ascii="Verdana" w:hAnsi="Verdana"/>
            <w:sz w:val="20"/>
            <w:lang w:val="es-ES_tradnl"/>
          </w:rPr>
          <w:t>la Corte Interamericana</w:t>
        </w:r>
      </w:smartTag>
      <w:r>
        <w:rPr>
          <w:rFonts w:ascii="Verdana" w:hAnsi="Verdana"/>
          <w:sz w:val="20"/>
          <w:lang w:val="es-ES_tradnl"/>
        </w:rPr>
        <w:t>”), integrada por los siguientes jueces</w:t>
      </w:r>
      <w:r>
        <w:rPr>
          <w:rStyle w:val="Refdenotaalpie"/>
          <w:rFonts w:ascii="Verdana" w:hAnsi="Verdana"/>
          <w:sz w:val="20"/>
          <w:lang w:val="es-ES_tradnl"/>
        </w:rPr>
        <w:footnoteReference w:customMarkFollows="1" w:id="1"/>
        <w:t>*</w:t>
      </w:r>
      <w:r>
        <w:rPr>
          <w:rFonts w:ascii="Verdana" w:hAnsi="Verdana"/>
          <w:sz w:val="20"/>
          <w:lang w:val="es-ES_tradnl"/>
        </w:rPr>
        <w:t>:</w:t>
      </w:r>
    </w:p>
    <w:p w:rsidR="00000000" w:rsidRDefault="00D8082A">
      <w:pPr>
        <w:ind w:right="4"/>
        <w:jc w:val="both"/>
        <w:rPr>
          <w:rFonts w:ascii="Verdana" w:hAnsi="Verdana"/>
          <w:sz w:val="20"/>
          <w:lang w:val="es-ES_tradnl"/>
        </w:rPr>
      </w:pPr>
    </w:p>
    <w:p w:rsidR="00000000" w:rsidRDefault="00D8082A">
      <w:pPr>
        <w:ind w:left="680" w:right="4"/>
        <w:jc w:val="both"/>
        <w:rPr>
          <w:rFonts w:ascii="Verdana" w:hAnsi="Verdana"/>
          <w:sz w:val="20"/>
          <w:lang w:val="es-ES_tradnl"/>
        </w:rPr>
      </w:pPr>
      <w:r>
        <w:rPr>
          <w:rFonts w:ascii="Verdana" w:hAnsi="Verdana"/>
          <w:sz w:val="20"/>
          <w:lang w:val="es-ES_tradnl"/>
        </w:rPr>
        <w:t>Antônio A. Cançado Trindade, Presidente;</w:t>
      </w:r>
    </w:p>
    <w:p w:rsidR="00000000" w:rsidRDefault="00D8082A">
      <w:pPr>
        <w:ind w:left="680" w:right="4"/>
        <w:jc w:val="both"/>
        <w:rPr>
          <w:rFonts w:ascii="Verdana" w:hAnsi="Verdana"/>
          <w:sz w:val="20"/>
          <w:lang w:val="es-ES_tradnl"/>
        </w:rPr>
      </w:pPr>
      <w:r>
        <w:rPr>
          <w:rFonts w:ascii="Verdana" w:hAnsi="Verdana"/>
          <w:sz w:val="20"/>
          <w:lang w:val="es-ES_tradnl"/>
        </w:rPr>
        <w:t>Hernán Salgado Pesantes, Juez;</w:t>
      </w:r>
    </w:p>
    <w:p w:rsidR="00000000" w:rsidRDefault="00D8082A">
      <w:pPr>
        <w:ind w:left="680" w:right="4"/>
        <w:jc w:val="both"/>
        <w:rPr>
          <w:rFonts w:ascii="Verdana" w:hAnsi="Verdana"/>
          <w:sz w:val="20"/>
          <w:lang w:val="es-ES_tradnl"/>
        </w:rPr>
      </w:pPr>
      <w:r>
        <w:rPr>
          <w:rFonts w:ascii="Verdana" w:hAnsi="Verdana"/>
          <w:sz w:val="20"/>
          <w:lang w:val="es-ES_tradnl"/>
        </w:rPr>
        <w:t>Oliver Jackman, Juez;</w:t>
      </w:r>
    </w:p>
    <w:p w:rsidR="00000000" w:rsidRDefault="00D8082A">
      <w:pPr>
        <w:ind w:left="680" w:right="4"/>
        <w:jc w:val="both"/>
        <w:rPr>
          <w:rFonts w:ascii="Verdana" w:hAnsi="Verdana"/>
          <w:sz w:val="20"/>
          <w:lang w:val="es-ES_tradnl"/>
        </w:rPr>
      </w:pPr>
      <w:r>
        <w:rPr>
          <w:rFonts w:ascii="Verdana" w:hAnsi="Verdana"/>
          <w:sz w:val="20"/>
          <w:lang w:val="es-ES_tradnl"/>
        </w:rPr>
        <w:t>Alirio Abreu Burelli, Juez;</w:t>
      </w:r>
    </w:p>
    <w:p w:rsidR="00000000" w:rsidRDefault="00D8082A">
      <w:pPr>
        <w:ind w:left="680" w:right="4"/>
        <w:jc w:val="both"/>
        <w:rPr>
          <w:rFonts w:ascii="Verdana" w:hAnsi="Verdana"/>
          <w:sz w:val="20"/>
          <w:lang w:val="es-ES_tradnl"/>
        </w:rPr>
      </w:pPr>
      <w:r>
        <w:rPr>
          <w:rFonts w:ascii="Verdana" w:hAnsi="Verdana"/>
          <w:sz w:val="20"/>
          <w:lang w:val="es-ES_tradnl"/>
        </w:rPr>
        <w:t>Sergio García Ramírez, Juez; y</w:t>
      </w:r>
    </w:p>
    <w:p w:rsidR="00000000" w:rsidRDefault="00D8082A">
      <w:pPr>
        <w:ind w:left="680" w:right="4"/>
        <w:jc w:val="both"/>
        <w:rPr>
          <w:rFonts w:ascii="Verdana" w:hAnsi="Verdana"/>
          <w:sz w:val="20"/>
          <w:lang w:val="es-ES_tradnl"/>
        </w:rPr>
      </w:pPr>
      <w:r>
        <w:rPr>
          <w:rFonts w:ascii="Verdana" w:hAnsi="Verdana"/>
          <w:sz w:val="20"/>
          <w:lang w:val="es-ES_tradnl"/>
        </w:rPr>
        <w:t>Carlos Vicente de Roux Rengifo, J</w:t>
      </w:r>
      <w:r>
        <w:rPr>
          <w:rFonts w:ascii="Verdana" w:hAnsi="Verdana"/>
          <w:sz w:val="20"/>
          <w:lang w:val="es-ES_tradnl"/>
        </w:rPr>
        <w:t>uez;</w:t>
      </w:r>
    </w:p>
    <w:p w:rsidR="00000000" w:rsidRDefault="00D8082A">
      <w:pPr>
        <w:ind w:right="4"/>
        <w:jc w:val="both"/>
        <w:rPr>
          <w:rFonts w:ascii="Verdana" w:hAnsi="Verdana"/>
          <w:sz w:val="20"/>
          <w:lang w:val="es-ES_tradnl"/>
        </w:rPr>
      </w:pPr>
    </w:p>
    <w:p w:rsidR="00000000" w:rsidRDefault="00D8082A">
      <w:pPr>
        <w:ind w:right="4"/>
        <w:jc w:val="both"/>
        <w:rPr>
          <w:rFonts w:ascii="Verdana" w:hAnsi="Verdana"/>
          <w:sz w:val="20"/>
          <w:lang w:val="es-ES_tradnl"/>
        </w:rPr>
      </w:pPr>
      <w:proofErr w:type="gramStart"/>
      <w:r>
        <w:rPr>
          <w:rFonts w:ascii="Verdana" w:hAnsi="Verdana"/>
          <w:sz w:val="20"/>
          <w:lang w:val="es-ES_tradnl"/>
        </w:rPr>
        <w:t>presentes</w:t>
      </w:r>
      <w:proofErr w:type="gramEnd"/>
      <w:r>
        <w:rPr>
          <w:rFonts w:ascii="Verdana" w:hAnsi="Verdana"/>
          <w:sz w:val="20"/>
          <w:lang w:val="es-ES_tradnl"/>
        </w:rPr>
        <w:t>, además,</w:t>
      </w:r>
    </w:p>
    <w:p w:rsidR="00000000" w:rsidRDefault="00D8082A">
      <w:pPr>
        <w:ind w:right="4"/>
        <w:jc w:val="both"/>
        <w:rPr>
          <w:rFonts w:ascii="Verdana" w:hAnsi="Verdana"/>
          <w:sz w:val="20"/>
          <w:lang w:val="es-ES_tradnl"/>
        </w:rPr>
      </w:pPr>
    </w:p>
    <w:p w:rsidR="00000000" w:rsidRDefault="00D8082A">
      <w:pPr>
        <w:ind w:left="700" w:right="4"/>
        <w:jc w:val="both"/>
        <w:rPr>
          <w:rFonts w:ascii="Verdana" w:hAnsi="Verdana"/>
          <w:sz w:val="20"/>
          <w:lang w:val="es-ES_tradnl"/>
        </w:rPr>
      </w:pPr>
      <w:r>
        <w:rPr>
          <w:rFonts w:ascii="Verdana" w:hAnsi="Verdana"/>
          <w:sz w:val="20"/>
          <w:lang w:val="es-ES_tradnl"/>
        </w:rPr>
        <w:t>Manuel E. Ventura Robles, Secretario, y</w:t>
      </w:r>
    </w:p>
    <w:p w:rsidR="00000000" w:rsidRDefault="00D8082A">
      <w:pPr>
        <w:ind w:left="700" w:right="4"/>
        <w:jc w:val="both"/>
        <w:rPr>
          <w:rFonts w:ascii="Verdana" w:hAnsi="Verdana"/>
          <w:i/>
          <w:sz w:val="20"/>
          <w:lang w:val="es-ES_tradnl"/>
        </w:rPr>
      </w:pPr>
      <w:r>
        <w:rPr>
          <w:rFonts w:ascii="Verdana" w:hAnsi="Verdana"/>
          <w:sz w:val="20"/>
          <w:lang w:val="es-ES_tradnl"/>
        </w:rPr>
        <w:t>Pablo Saavedra Alessandri, Secretario adjunto;</w:t>
      </w:r>
    </w:p>
    <w:p w:rsidR="00000000" w:rsidRDefault="00D8082A">
      <w:pPr>
        <w:ind w:right="4"/>
        <w:jc w:val="both"/>
        <w:rPr>
          <w:rFonts w:ascii="Verdana" w:hAnsi="Verdana"/>
          <w:sz w:val="20"/>
          <w:lang w:val="es-ES_tradnl"/>
        </w:rPr>
      </w:pPr>
    </w:p>
    <w:p w:rsidR="00000000" w:rsidRDefault="00D8082A">
      <w:pPr>
        <w:ind w:right="4"/>
        <w:jc w:val="both"/>
        <w:rPr>
          <w:rFonts w:ascii="Verdana" w:hAnsi="Verdana"/>
          <w:sz w:val="20"/>
          <w:lang w:val="es-ES_tradnl"/>
        </w:rPr>
      </w:pPr>
      <w:r>
        <w:rPr>
          <w:rFonts w:ascii="Verdana" w:hAnsi="Verdana"/>
          <w:sz w:val="20"/>
          <w:lang w:val="es-ES_tradnl"/>
        </w:rPr>
        <w:t xml:space="preserve">de acuerdo con el artículo 67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(en adelante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o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y el</w:t>
      </w:r>
      <w:r>
        <w:rPr>
          <w:rFonts w:ascii="Verdana" w:hAnsi="Verdana"/>
          <w:sz w:val="20"/>
          <w:lang w:val="es-ES_tradnl"/>
        </w:rPr>
        <w:t xml:space="preserve"> artículo 58 del Reglamento de la Corte</w:t>
      </w:r>
      <w:r>
        <w:rPr>
          <w:rStyle w:val="Refdenotaalpie"/>
          <w:rFonts w:ascii="Verdana" w:hAnsi="Verdana"/>
          <w:sz w:val="20"/>
          <w:lang w:val="es-ES_tradnl"/>
        </w:rPr>
        <w:footnoteReference w:id="2"/>
      </w:r>
      <w:r>
        <w:rPr>
          <w:rFonts w:ascii="Verdana" w:hAnsi="Verdana"/>
          <w:sz w:val="20"/>
          <w:lang w:val="es-ES_tradnl"/>
        </w:rPr>
        <w:t xml:space="preserve"> (en adelante “el Reglamento”) resuelve sobre la demanda de interpretación de la sentencia de fondo emitida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el 6 de febrero de 2001 en el caso Ivcher Bronstein (en adelante “la sentencia de fondo”) en co</w:t>
      </w:r>
      <w:r>
        <w:rPr>
          <w:rFonts w:ascii="Verdana" w:hAnsi="Verdana"/>
          <w:sz w:val="20"/>
          <w:lang w:val="es-ES_tradnl"/>
        </w:rPr>
        <w:t xml:space="preserve">ntra del Estado del Perú (en adelante “el Estado”, “el Estado peruano” o “el Perú”), presentada por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xml:space="preserve"> de Derechos Humanos (en adelante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o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y por el señor Baruch Ivcher Bronstein (en adelant</w:t>
      </w:r>
      <w:r>
        <w:rPr>
          <w:rFonts w:ascii="Verdana" w:hAnsi="Verdana"/>
          <w:sz w:val="20"/>
          <w:lang w:val="es-ES_tradnl"/>
        </w:rPr>
        <w:t>e “el señor Ivcher” o “el señor Ivcher Bronstein”) los días 4 y 8 de mayo de 2001, respectivamente.</w:t>
      </w:r>
    </w:p>
    <w:p w:rsidR="00000000" w:rsidRDefault="00D8082A">
      <w:pPr>
        <w:rPr>
          <w:rFonts w:ascii="Verdana" w:hAnsi="Verdana"/>
          <w:b/>
          <w:sz w:val="20"/>
          <w:lang w:val="es-ES_tradnl"/>
        </w:rPr>
      </w:pPr>
    </w:p>
    <w:p w:rsidR="00000000" w:rsidRDefault="00D8082A">
      <w:pPr>
        <w:rPr>
          <w:rFonts w:ascii="Verdana" w:hAnsi="Verdana"/>
          <w:b/>
          <w:sz w:val="20"/>
          <w:lang w:val="es-ES_tradnl"/>
        </w:rPr>
      </w:pPr>
    </w:p>
    <w:p w:rsidR="00000000" w:rsidRDefault="00D8082A">
      <w:pPr>
        <w:jc w:val="center"/>
        <w:rPr>
          <w:rFonts w:ascii="Verdana" w:hAnsi="Verdana"/>
          <w:b/>
          <w:caps/>
          <w:sz w:val="20"/>
          <w:lang w:val="es-ES_tradnl"/>
        </w:rPr>
      </w:pPr>
      <w:r>
        <w:rPr>
          <w:rFonts w:ascii="Verdana" w:hAnsi="Verdana"/>
          <w:b/>
          <w:caps/>
          <w:sz w:val="20"/>
          <w:lang w:val="es-ES_tradnl"/>
        </w:rPr>
        <w:t>I</w:t>
      </w:r>
    </w:p>
    <w:p w:rsidR="00000000" w:rsidRDefault="00D8082A">
      <w:pPr>
        <w:jc w:val="center"/>
        <w:rPr>
          <w:rFonts w:ascii="Verdana" w:hAnsi="Verdana"/>
          <w:b/>
          <w:caps/>
          <w:sz w:val="20"/>
          <w:lang w:val="es-ES_tradnl"/>
        </w:rPr>
      </w:pPr>
      <w:r>
        <w:rPr>
          <w:rFonts w:ascii="Verdana" w:hAnsi="Verdana"/>
          <w:b/>
          <w:caps/>
          <w:sz w:val="20"/>
          <w:lang w:val="es-ES_tradnl"/>
        </w:rPr>
        <w:t xml:space="preserve">Competencia y Composición de </w:t>
      </w:r>
      <w:smartTag w:uri="urn:schemas-microsoft-com:office:smarttags" w:element="PersonName">
        <w:smartTagPr>
          <w:attr w:name="ProductID" w:val="la Corte"/>
        </w:smartTagPr>
        <w:r>
          <w:rPr>
            <w:rFonts w:ascii="Verdana" w:hAnsi="Verdana"/>
            <w:b/>
            <w:caps/>
            <w:sz w:val="20"/>
            <w:lang w:val="es-ES_tradnl"/>
          </w:rPr>
          <w:t>la Corte</w:t>
        </w:r>
      </w:smartTag>
    </w:p>
    <w:p w:rsidR="00000000" w:rsidRDefault="00D8082A">
      <w:pPr>
        <w:jc w:val="both"/>
        <w:rPr>
          <w:rFonts w:ascii="Verdana" w:hAnsi="Verdana"/>
          <w:b/>
          <w:sz w:val="20"/>
          <w:lang w:val="es-ES_tradnl"/>
        </w:rPr>
      </w:pPr>
    </w:p>
    <w:p w:rsidR="00000000" w:rsidRDefault="00D8082A">
      <w:pPr>
        <w:ind w:right="44"/>
        <w:jc w:val="both"/>
        <w:rPr>
          <w:rFonts w:ascii="Verdana" w:hAnsi="Verdana"/>
          <w:sz w:val="20"/>
          <w:lang w:val="es-ES_tradnl"/>
        </w:rPr>
      </w:pPr>
      <w:r>
        <w:rPr>
          <w:rFonts w:ascii="Verdana" w:hAnsi="Verdana"/>
          <w:sz w:val="20"/>
          <w:lang w:val="es-ES_tradnl"/>
        </w:rPr>
        <w:t>1.</w:t>
      </w:r>
      <w:r>
        <w:rPr>
          <w:rFonts w:ascii="Verdana" w:hAnsi="Verdana"/>
          <w:b/>
          <w:sz w:val="20"/>
          <w:lang w:val="es-ES_tradnl"/>
        </w:rPr>
        <w:tab/>
      </w:r>
      <w:r>
        <w:rPr>
          <w:rFonts w:ascii="Verdana" w:hAnsi="Verdana"/>
          <w:sz w:val="20"/>
          <w:lang w:val="es-ES_tradnl"/>
        </w:rPr>
        <w:t xml:space="preserve">El artículo 67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establece que </w:t>
      </w:r>
    </w:p>
    <w:p w:rsidR="00000000" w:rsidRDefault="00D8082A">
      <w:pPr>
        <w:ind w:right="44"/>
        <w:jc w:val="both"/>
        <w:rPr>
          <w:rFonts w:ascii="Verdana" w:hAnsi="Verdana"/>
          <w:sz w:val="20"/>
          <w:lang w:val="es-ES_tradnl"/>
        </w:rPr>
      </w:pPr>
    </w:p>
    <w:p w:rsidR="00000000" w:rsidRDefault="00D8082A">
      <w:pPr>
        <w:pStyle w:val="BlockText"/>
        <w:ind w:right="720" w:firstLine="0"/>
        <w:rPr>
          <w:rFonts w:ascii="Verdana" w:hAnsi="Verdana"/>
          <w:b w:val="0"/>
          <w:smallCaps w:val="0"/>
          <w:sz w:val="18"/>
          <w:lang w:val="es-ES_tradnl"/>
        </w:rPr>
      </w:pPr>
      <w:r>
        <w:rPr>
          <w:rFonts w:ascii="Verdana" w:hAnsi="Verdana"/>
          <w:b w:val="0"/>
          <w:smallCaps w:val="0"/>
          <w:sz w:val="18"/>
          <w:lang w:val="es-ES_tradnl"/>
        </w:rPr>
        <w:lastRenderedPageBreak/>
        <w:t>[</w:t>
      </w:r>
      <w:proofErr w:type="gramStart"/>
      <w:r>
        <w:rPr>
          <w:rFonts w:ascii="Verdana" w:hAnsi="Verdana"/>
          <w:b w:val="0"/>
          <w:smallCaps w:val="0"/>
          <w:sz w:val="18"/>
          <w:lang w:val="es-ES_tradnl"/>
        </w:rPr>
        <w:t>e]</w:t>
      </w:r>
      <w:proofErr w:type="gramEnd"/>
      <w:r>
        <w:rPr>
          <w:rFonts w:ascii="Verdana" w:hAnsi="Verdana"/>
          <w:b w:val="0"/>
          <w:smallCaps w:val="0"/>
          <w:sz w:val="18"/>
          <w:lang w:val="es-ES_tradnl"/>
        </w:rPr>
        <w:t xml:space="preserve">l fallo de </w:t>
      </w:r>
      <w:smartTag w:uri="urn:schemas-microsoft-com:office:smarttags" w:element="PersonName">
        <w:smartTagPr>
          <w:attr w:name="ProductID" w:val="la Corte"/>
        </w:smartTagPr>
        <w:r>
          <w:rPr>
            <w:rFonts w:ascii="Verdana" w:hAnsi="Verdana"/>
            <w:b w:val="0"/>
            <w:smallCaps w:val="0"/>
            <w:sz w:val="18"/>
            <w:lang w:val="es-ES_tradnl"/>
          </w:rPr>
          <w:t>la Corte</w:t>
        </w:r>
      </w:smartTag>
      <w:r>
        <w:rPr>
          <w:rFonts w:ascii="Verdana" w:hAnsi="Verdana"/>
          <w:b w:val="0"/>
          <w:smallCaps w:val="0"/>
          <w:sz w:val="18"/>
          <w:lang w:val="es-ES_tradnl"/>
        </w:rPr>
        <w:t xml:space="preserve"> será definitivo e inapelable.  En caso </w:t>
      </w:r>
      <w:r>
        <w:rPr>
          <w:rFonts w:ascii="Verdana" w:hAnsi="Verdana"/>
          <w:b w:val="0"/>
          <w:smallCaps w:val="0"/>
          <w:sz w:val="18"/>
          <w:lang w:val="es-ES_tradnl"/>
        </w:rPr>
        <w:t xml:space="preserve">de desacuerdo sobre el sentido o alcance del fallo, </w:t>
      </w:r>
      <w:smartTag w:uri="urn:schemas-microsoft-com:office:smarttags" w:element="PersonName">
        <w:smartTagPr>
          <w:attr w:name="ProductID" w:val="la Corte"/>
        </w:smartTagPr>
        <w:r>
          <w:rPr>
            <w:rFonts w:ascii="Verdana" w:hAnsi="Verdana"/>
            <w:b w:val="0"/>
            <w:smallCaps w:val="0"/>
            <w:sz w:val="18"/>
            <w:lang w:val="es-ES_tradnl"/>
          </w:rPr>
          <w:t>la Corte</w:t>
        </w:r>
      </w:smartTag>
      <w:r>
        <w:rPr>
          <w:rFonts w:ascii="Verdana" w:hAnsi="Verdana"/>
          <w:b w:val="0"/>
          <w:smallCaps w:val="0"/>
          <w:sz w:val="18"/>
          <w:lang w:val="es-ES_tradnl"/>
        </w:rPr>
        <w:t xml:space="preserve"> lo interpretará a solicitud de cualquiera de las partes, siempre que dicha solicitud se presente dentro de los noventa días a partir de la fecha de la notificación del fallo.</w:t>
      </w:r>
    </w:p>
    <w:p w:rsidR="00000000" w:rsidRDefault="00D8082A">
      <w:pPr>
        <w:ind w:right="44"/>
        <w:jc w:val="both"/>
        <w:rPr>
          <w:rFonts w:ascii="Verdana" w:hAnsi="Verdana"/>
          <w:b/>
          <w:sz w:val="20"/>
          <w:lang w:val="es-ES_tradnl"/>
        </w:rPr>
      </w:pPr>
    </w:p>
    <w:p w:rsidR="00000000" w:rsidRDefault="00D8082A">
      <w:pPr>
        <w:ind w:right="44"/>
        <w:jc w:val="both"/>
        <w:rPr>
          <w:rFonts w:ascii="Verdana" w:hAnsi="Verdana"/>
          <w:sz w:val="20"/>
          <w:lang w:val="es-ES_tradnl"/>
        </w:rPr>
      </w:pPr>
      <w:r>
        <w:rPr>
          <w:rFonts w:ascii="Verdana" w:hAnsi="Verdana"/>
          <w:sz w:val="20"/>
          <w:lang w:val="es-ES_tradnl"/>
        </w:rPr>
        <w:t xml:space="preserve">De conformidad con </w:t>
      </w:r>
      <w:r>
        <w:rPr>
          <w:rFonts w:ascii="Verdana" w:hAnsi="Verdana"/>
          <w:sz w:val="20"/>
          <w:lang w:val="es-ES_tradnl"/>
        </w:rPr>
        <w:t xml:space="preserve">el artículo citado,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es competente para interpretar sus fallos, y para el examen de la demanda de interpretación debe</w:t>
      </w:r>
      <w:r>
        <w:rPr>
          <w:rFonts w:ascii="Verdana" w:hAnsi="Verdana"/>
          <w:b/>
          <w:sz w:val="20"/>
          <w:lang w:val="es-ES_tradnl"/>
        </w:rPr>
        <w:t xml:space="preserve"> </w:t>
      </w:r>
      <w:r>
        <w:rPr>
          <w:rFonts w:ascii="Verdana" w:hAnsi="Verdana"/>
          <w:sz w:val="20"/>
          <w:lang w:val="es-ES_tradnl"/>
        </w:rPr>
        <w:t>tener, si es posible, la misma composición</w:t>
      </w:r>
      <w:r>
        <w:rPr>
          <w:rFonts w:ascii="Verdana" w:hAnsi="Verdana"/>
          <w:b/>
          <w:sz w:val="20"/>
          <w:lang w:val="es-ES_tradnl"/>
        </w:rPr>
        <w:t xml:space="preserve"> </w:t>
      </w:r>
      <w:r>
        <w:rPr>
          <w:rFonts w:ascii="Verdana" w:hAnsi="Verdana"/>
          <w:sz w:val="20"/>
          <w:lang w:val="es-ES_tradnl"/>
        </w:rPr>
        <w:t>que tenía al dictar la sentencia respectiva (artículo 58.3 del Reglamento).  En esta oc</w:t>
      </w:r>
      <w:r>
        <w:rPr>
          <w:rFonts w:ascii="Verdana" w:hAnsi="Verdana"/>
          <w:sz w:val="20"/>
          <w:lang w:val="es-ES_tradnl"/>
        </w:rPr>
        <w:t xml:space="preserve">asión,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está integrada por los mismos jueces que dictaron la sentencia de fondo, cuya interpretación ha sido solicitada por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xml:space="preserve"> y por el señor Baruch Ivcher Bronstein.</w:t>
      </w:r>
    </w:p>
    <w:p w:rsidR="00000000" w:rsidRDefault="00D8082A">
      <w:pPr>
        <w:pStyle w:val="Sangranormal"/>
        <w:rPr>
          <w:rFonts w:ascii="Verdana" w:hAnsi="Verdana"/>
          <w:sz w:val="20"/>
          <w:lang w:val="es-ES_tradnl"/>
        </w:rPr>
      </w:pPr>
    </w:p>
    <w:p w:rsidR="00000000" w:rsidRDefault="00D8082A">
      <w:pPr>
        <w:pStyle w:val="Sangranormal"/>
        <w:rPr>
          <w:rFonts w:ascii="Verdana" w:hAnsi="Verdana"/>
          <w:sz w:val="20"/>
          <w:lang w:val="es-ES_tradnl"/>
        </w:rPr>
      </w:pPr>
    </w:p>
    <w:p w:rsidR="00000000" w:rsidRDefault="00D8082A">
      <w:pPr>
        <w:jc w:val="center"/>
        <w:rPr>
          <w:rFonts w:ascii="Verdana" w:hAnsi="Verdana"/>
          <w:b/>
          <w:caps/>
          <w:sz w:val="20"/>
          <w:lang w:val="es-ES_tradnl"/>
        </w:rPr>
      </w:pPr>
      <w:r>
        <w:rPr>
          <w:rFonts w:ascii="Verdana" w:hAnsi="Verdana"/>
          <w:b/>
          <w:caps/>
          <w:sz w:val="20"/>
          <w:lang w:val="es-ES_tradnl"/>
        </w:rPr>
        <w:t>II</w:t>
      </w:r>
    </w:p>
    <w:p w:rsidR="00000000" w:rsidRDefault="00D8082A">
      <w:pPr>
        <w:jc w:val="center"/>
        <w:rPr>
          <w:rFonts w:ascii="Verdana" w:hAnsi="Verdana"/>
          <w:b/>
          <w:sz w:val="20"/>
          <w:lang w:val="es-ES_tradnl"/>
        </w:rPr>
      </w:pPr>
      <w:r>
        <w:rPr>
          <w:rFonts w:ascii="Verdana" w:hAnsi="Verdana"/>
          <w:b/>
          <w:caps/>
          <w:sz w:val="20"/>
          <w:lang w:val="es-ES_tradnl"/>
        </w:rPr>
        <w:t>Introducción de las demandas de interpretación</w:t>
      </w:r>
    </w:p>
    <w:p w:rsidR="00000000" w:rsidRDefault="00D8082A">
      <w:pPr>
        <w:jc w:val="center"/>
        <w:rPr>
          <w:rFonts w:ascii="Verdana" w:hAnsi="Verdana"/>
          <w:b/>
          <w:sz w:val="20"/>
          <w:lang w:val="es-ES_tradnl"/>
        </w:rPr>
      </w:pPr>
    </w:p>
    <w:p w:rsidR="00000000" w:rsidRDefault="00D8082A">
      <w:pPr>
        <w:jc w:val="both"/>
        <w:rPr>
          <w:rFonts w:ascii="Verdana" w:hAnsi="Verdana"/>
          <w:sz w:val="20"/>
          <w:lang w:val="es-ES_tradnl"/>
        </w:rPr>
      </w:pPr>
      <w:r>
        <w:rPr>
          <w:rFonts w:ascii="Verdana" w:hAnsi="Verdana"/>
          <w:sz w:val="20"/>
          <w:lang w:val="es-ES_tradnl"/>
        </w:rPr>
        <w:t>2.</w:t>
      </w:r>
      <w:r>
        <w:rPr>
          <w:rFonts w:ascii="Verdana" w:hAnsi="Verdana"/>
          <w:sz w:val="20"/>
          <w:lang w:val="es-ES_tradnl"/>
        </w:rPr>
        <w:tab/>
        <w:t>L</w:t>
      </w:r>
      <w:r>
        <w:rPr>
          <w:rFonts w:ascii="Verdana" w:hAnsi="Verdana"/>
          <w:sz w:val="20"/>
          <w:lang w:val="es-ES_tradnl"/>
        </w:rPr>
        <w:t xml:space="preserve">os días 4 y 8 de mayo de 2001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xml:space="preserve"> y el señor Ivcher, respectivamente, de conformidad con el artículo 67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y en concordancia con el artículo 58 del Reglamento, presentaron cada uno una demanda de interpretaci</w:t>
      </w:r>
      <w:r>
        <w:rPr>
          <w:rFonts w:ascii="Verdana" w:hAnsi="Verdana"/>
          <w:sz w:val="20"/>
          <w:lang w:val="es-ES_tradnl"/>
        </w:rPr>
        <w:t>ón de la sentencia de fondo.</w:t>
      </w:r>
    </w:p>
    <w:p w:rsidR="00000000" w:rsidRDefault="00D8082A">
      <w:pPr>
        <w:jc w:val="both"/>
        <w:rPr>
          <w:rFonts w:ascii="Verdana" w:hAnsi="Verdana"/>
          <w:sz w:val="20"/>
          <w:lang w:val="es-ES_tradnl"/>
        </w:rPr>
      </w:pPr>
    </w:p>
    <w:p w:rsidR="00000000" w:rsidRDefault="00D8082A">
      <w:pPr>
        <w:pStyle w:val="Textoindependiente"/>
        <w:widowControl/>
        <w:rPr>
          <w:rFonts w:ascii="Verdana" w:hAnsi="Verdana"/>
          <w:sz w:val="20"/>
          <w:lang w:val="es-ES_tradnl"/>
        </w:rPr>
      </w:pPr>
      <w:r>
        <w:rPr>
          <w:rFonts w:ascii="Verdana" w:hAnsi="Verdana"/>
          <w:sz w:val="20"/>
          <w:lang w:val="es-ES_tradnl"/>
        </w:rPr>
        <w:t>3.</w:t>
      </w:r>
      <w:r>
        <w:rPr>
          <w:rFonts w:ascii="Verdana" w:hAnsi="Verdana"/>
          <w:sz w:val="20"/>
          <w:lang w:val="es-ES_tradnl"/>
        </w:rPr>
        <w:tab/>
        <w:t xml:space="preserve">Mediante nota de 1 de junio de 2001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adelante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transmitió copia de las demandas de interpretación al Estado peruano y, de conformidad con el artículo 58.2 del Reglamento, le invi</w:t>
      </w:r>
      <w:r>
        <w:rPr>
          <w:rFonts w:ascii="Verdana" w:hAnsi="Verdana"/>
          <w:sz w:val="20"/>
          <w:lang w:val="es-ES_tradnl"/>
        </w:rPr>
        <w:t>tó a presentar, a más tardar el 1 de julio del mismo año, las observaciones que considerare pertinentes.</w:t>
      </w:r>
    </w:p>
    <w:p w:rsidR="00000000" w:rsidRDefault="00D8082A">
      <w:pPr>
        <w:jc w:val="both"/>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4.</w:t>
      </w:r>
      <w:r>
        <w:rPr>
          <w:rFonts w:ascii="Verdana" w:hAnsi="Verdana"/>
          <w:sz w:val="20"/>
          <w:lang w:val="es-ES_tradnl"/>
        </w:rPr>
        <w:tab/>
        <w:t>El 2 de julio de 2001 el Estado peruano presentó sus alegatos escritos a la demanda de interpretación, los cuales fueron complementados mediante es</w:t>
      </w:r>
      <w:r>
        <w:rPr>
          <w:rFonts w:ascii="Verdana" w:hAnsi="Verdana"/>
          <w:sz w:val="20"/>
          <w:lang w:val="es-ES_tradnl"/>
        </w:rPr>
        <w:t>crito de 3 del mismo mes y año.</w:t>
      </w:r>
    </w:p>
    <w:p w:rsidR="00000000" w:rsidRDefault="00D8082A">
      <w:pPr>
        <w:jc w:val="both"/>
        <w:rPr>
          <w:rFonts w:ascii="Verdana" w:hAnsi="Verdana"/>
          <w:sz w:val="20"/>
          <w:lang w:val="es-ES_tradnl"/>
        </w:rPr>
      </w:pPr>
    </w:p>
    <w:p w:rsidR="00000000" w:rsidRDefault="00D8082A">
      <w:pPr>
        <w:pStyle w:val="Ttulo1"/>
        <w:rPr>
          <w:rFonts w:ascii="Verdana" w:hAnsi="Verdana"/>
          <w:caps/>
          <w:lang w:val="es-ES_tradnl"/>
        </w:rPr>
      </w:pPr>
    </w:p>
    <w:p w:rsidR="00000000" w:rsidRDefault="00D8082A">
      <w:pPr>
        <w:pStyle w:val="Ttulo1"/>
        <w:rPr>
          <w:rFonts w:ascii="Verdana" w:hAnsi="Verdana"/>
          <w:caps/>
          <w:lang w:val="es-ES_tradnl"/>
        </w:rPr>
      </w:pPr>
      <w:r>
        <w:rPr>
          <w:rFonts w:ascii="Verdana" w:hAnsi="Verdana"/>
          <w:caps/>
          <w:lang w:val="es-ES_tradnl"/>
        </w:rPr>
        <w:t>III</w:t>
      </w:r>
    </w:p>
    <w:p w:rsidR="00000000" w:rsidRDefault="00D8082A">
      <w:pPr>
        <w:jc w:val="center"/>
        <w:rPr>
          <w:rFonts w:ascii="Verdana" w:hAnsi="Verdana"/>
          <w:b/>
          <w:caps/>
          <w:sz w:val="20"/>
          <w:lang w:val="es-ES_tradnl"/>
        </w:rPr>
      </w:pPr>
      <w:r>
        <w:rPr>
          <w:rFonts w:ascii="Verdana" w:hAnsi="Verdana"/>
          <w:b/>
          <w:caps/>
          <w:sz w:val="20"/>
          <w:lang w:val="es-ES_tradnl"/>
        </w:rPr>
        <w:t>Objeto de las demandas</w:t>
      </w:r>
    </w:p>
    <w:p w:rsidR="00000000" w:rsidRDefault="00D8082A">
      <w:pPr>
        <w:jc w:val="both"/>
        <w:rPr>
          <w:rFonts w:ascii="Verdana" w:hAnsi="Verdana"/>
          <w:b/>
          <w:sz w:val="20"/>
          <w:lang w:val="es-ES_tradnl"/>
        </w:rPr>
      </w:pPr>
    </w:p>
    <w:p w:rsidR="00000000" w:rsidRDefault="00D8082A">
      <w:pPr>
        <w:jc w:val="both"/>
        <w:rPr>
          <w:rFonts w:ascii="Verdana" w:hAnsi="Verdana"/>
          <w:sz w:val="20"/>
          <w:lang w:val="es-ES_tradnl"/>
        </w:rPr>
      </w:pPr>
      <w:r>
        <w:rPr>
          <w:rFonts w:ascii="Verdana" w:hAnsi="Verdana"/>
          <w:sz w:val="20"/>
          <w:lang w:val="es-ES_tradnl"/>
        </w:rPr>
        <w:t>5.</w:t>
      </w:r>
      <w:r>
        <w:rPr>
          <w:rFonts w:ascii="Verdana" w:hAnsi="Verdana"/>
          <w:sz w:val="20"/>
          <w:lang w:val="es-ES_tradnl"/>
        </w:rPr>
        <w:tab/>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en su demanda de interpretación solicitó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que señale “que la responsabilidad del Estado peruano incluye todos los elementos que componen las reparaciones en el derecho i</w:t>
      </w:r>
      <w:r>
        <w:rPr>
          <w:rFonts w:ascii="Verdana" w:hAnsi="Verdana"/>
          <w:sz w:val="20"/>
          <w:lang w:val="es-ES_tradnl"/>
        </w:rPr>
        <w:t>nternacional. [Y que] [</w:t>
      </w:r>
      <w:proofErr w:type="gramStart"/>
      <w:r>
        <w:rPr>
          <w:rFonts w:ascii="Verdana" w:hAnsi="Verdana"/>
          <w:sz w:val="20"/>
          <w:lang w:val="es-ES_tradnl"/>
        </w:rPr>
        <w:t>t]</w:t>
      </w:r>
      <w:proofErr w:type="gramEnd"/>
      <w:r>
        <w:rPr>
          <w:rFonts w:ascii="Verdana" w:hAnsi="Verdana"/>
          <w:sz w:val="20"/>
          <w:lang w:val="es-ES_tradnl"/>
        </w:rPr>
        <w:t xml:space="preserve">ales elementos comprenden los daños materiales y morales, otras reparaciones no pecuniarias y los gastos y costas incurridos en la jurisdicción interna y en la internacional”.  Por su parte, el señor Ivcher Bronstein solicitó a </w:t>
      </w:r>
      <w:smartTag w:uri="urn:schemas-microsoft-com:office:smarttags" w:element="PersonName">
        <w:smartTagPr>
          <w:attr w:name="ProductID" w:val="la Corte"/>
        </w:smartTagPr>
        <w:r>
          <w:rPr>
            <w:rFonts w:ascii="Verdana" w:hAnsi="Verdana"/>
            <w:sz w:val="20"/>
            <w:lang w:val="es-ES_tradnl"/>
          </w:rPr>
          <w:t xml:space="preserve">la </w:t>
        </w:r>
        <w:r>
          <w:rPr>
            <w:rFonts w:ascii="Verdana" w:hAnsi="Verdana"/>
            <w:sz w:val="20"/>
            <w:lang w:val="es-ES_tradnl"/>
          </w:rPr>
          <w:t>Corte</w:t>
        </w:r>
      </w:smartTag>
      <w:r>
        <w:rPr>
          <w:rFonts w:ascii="Verdana" w:hAnsi="Verdana"/>
          <w:sz w:val="20"/>
          <w:lang w:val="es-ES_tradnl"/>
        </w:rPr>
        <w:t xml:space="preserve"> “se sirva interpretar la sentencia en cuanto a las obligaciones de reparación que surgen de la misma [...] así como del procedimiento que ha de seguirse para que se satisfaga una justa reparación que restituya en integridad los daños que se causaron </w:t>
      </w:r>
      <w:r>
        <w:rPr>
          <w:rFonts w:ascii="Verdana" w:hAnsi="Verdana"/>
          <w:sz w:val="20"/>
          <w:lang w:val="es-ES_tradnl"/>
        </w:rPr>
        <w:t>[...]”.</w:t>
      </w:r>
    </w:p>
    <w:p w:rsidR="00000000" w:rsidRDefault="00D8082A">
      <w:pPr>
        <w:jc w:val="both"/>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6.</w:t>
      </w:r>
      <w:r>
        <w:rPr>
          <w:rFonts w:ascii="Verdana" w:hAnsi="Verdana"/>
          <w:sz w:val="20"/>
          <w:lang w:val="es-ES_tradnl"/>
        </w:rPr>
        <w:tab/>
        <w:t>Ambas solicitudes de interpretación se basaron en el hecho que con fecha 16 de abril de 2001 el Estado del Perú envió al señor Ivcher una nota en la cual se indicaba que:</w:t>
      </w:r>
    </w:p>
    <w:p w:rsidR="00000000" w:rsidRDefault="00D8082A">
      <w:pPr>
        <w:jc w:val="both"/>
        <w:rPr>
          <w:rFonts w:ascii="Verdana" w:hAnsi="Verdana"/>
          <w:sz w:val="20"/>
          <w:lang w:val="es-ES_tradnl"/>
        </w:rPr>
      </w:pPr>
    </w:p>
    <w:p w:rsidR="00000000" w:rsidRDefault="00D8082A">
      <w:pPr>
        <w:pStyle w:val="BodyText20"/>
        <w:ind w:left="720" w:right="720"/>
        <w:rPr>
          <w:rFonts w:ascii="Verdana" w:hAnsi="Verdana"/>
          <w:b/>
          <w:sz w:val="18"/>
        </w:rPr>
      </w:pPr>
      <w:r>
        <w:rPr>
          <w:rFonts w:ascii="Verdana" w:hAnsi="Verdana"/>
          <w:sz w:val="18"/>
        </w:rPr>
        <w:t>Respecto a lo señalado en su comunicación, acerca del pago de una indemn</w:t>
      </w:r>
      <w:r>
        <w:rPr>
          <w:rFonts w:ascii="Verdana" w:hAnsi="Verdana"/>
          <w:sz w:val="18"/>
        </w:rPr>
        <w:t>ización como reparación por daños materiales ocasionados a raíz de la violación de sus derechos, he procedido a realizar las consultas y coordinaciones con las autoridades estatales concernidas. En tal sentido, se me ha manifestado que el Gobierno Peruano,</w:t>
      </w:r>
      <w:r>
        <w:rPr>
          <w:rFonts w:ascii="Verdana" w:hAnsi="Verdana"/>
          <w:sz w:val="18"/>
        </w:rPr>
        <w:t xml:space="preserve"> en atención a lo dispuesto por la sentencia de </w:t>
      </w:r>
      <w:smartTag w:uri="urn:schemas-microsoft-com:office:smarttags" w:element="PersonName">
        <w:smartTagPr>
          <w:attr w:name="ProductID" w:val="la Corte Interamericana"/>
        </w:smartTagPr>
        <w:r>
          <w:rPr>
            <w:rFonts w:ascii="Verdana" w:hAnsi="Verdana"/>
            <w:sz w:val="18"/>
          </w:rPr>
          <w:t>la Corte Interamericana</w:t>
        </w:r>
      </w:smartTag>
      <w:r>
        <w:rPr>
          <w:rFonts w:ascii="Verdana" w:hAnsi="Verdana"/>
          <w:sz w:val="18"/>
        </w:rPr>
        <w:t xml:space="preserve">, entiende que los únicos pagos </w:t>
      </w:r>
      <w:r>
        <w:rPr>
          <w:rFonts w:ascii="Verdana" w:hAnsi="Verdana"/>
          <w:sz w:val="18"/>
        </w:rPr>
        <w:lastRenderedPageBreak/>
        <w:t>ordenados son los referidos a la reparación de daño moral y reintegro de gastos judiciales.  Interpretándose así que no está reconocida ni contemplada ni</w:t>
      </w:r>
      <w:r>
        <w:rPr>
          <w:rFonts w:ascii="Verdana" w:hAnsi="Verdana"/>
          <w:sz w:val="18"/>
        </w:rPr>
        <w:t xml:space="preserve">nguna indemnización adicional a pagar por algún otro concepto. De allí que el Gobierno no comparte su interpretación en el sentido de que una obligación de este tipo se haya establecido en la sentencia de </w:t>
      </w:r>
      <w:smartTag w:uri="urn:schemas-microsoft-com:office:smarttags" w:element="PersonName">
        <w:smartTagPr>
          <w:attr w:name="ProductID" w:val="la Corte."/>
        </w:smartTagPr>
        <w:r>
          <w:rPr>
            <w:rFonts w:ascii="Verdana" w:hAnsi="Verdana"/>
            <w:sz w:val="18"/>
          </w:rPr>
          <w:t>la Corte.</w:t>
        </w:r>
      </w:smartTag>
    </w:p>
    <w:p w:rsidR="00000000" w:rsidRDefault="00D8082A">
      <w:pPr>
        <w:jc w:val="both"/>
        <w:rPr>
          <w:rFonts w:ascii="Verdana" w:hAnsi="Verdana"/>
          <w:sz w:val="18"/>
          <w:lang w:val="es-ES_tradnl"/>
        </w:rPr>
      </w:pPr>
    </w:p>
    <w:p w:rsidR="00000000" w:rsidRDefault="00D8082A">
      <w:pPr>
        <w:jc w:val="both"/>
        <w:rPr>
          <w:rFonts w:ascii="Verdana" w:hAnsi="Verdana"/>
          <w:b/>
          <w:sz w:val="20"/>
          <w:lang w:val="es-ES_tradnl"/>
        </w:rPr>
      </w:pPr>
      <w:r>
        <w:rPr>
          <w:rFonts w:ascii="Verdana" w:hAnsi="Verdana"/>
          <w:sz w:val="20"/>
          <w:lang w:val="es-ES_tradnl"/>
        </w:rPr>
        <w:t>7.</w:t>
      </w:r>
      <w:r>
        <w:rPr>
          <w:rFonts w:ascii="Verdana" w:hAnsi="Verdana"/>
          <w:sz w:val="20"/>
          <w:lang w:val="es-ES_tradnl"/>
        </w:rPr>
        <w:tab/>
        <w:t>Tal y como se desprende de lo señalad</w:t>
      </w:r>
      <w:r>
        <w:rPr>
          <w:rFonts w:ascii="Verdana" w:hAnsi="Verdana"/>
          <w:sz w:val="20"/>
          <w:lang w:val="es-ES_tradnl"/>
        </w:rPr>
        <w:t xml:space="preserve">o en los párrafos anteriores, el objeto de las aclaraciones solicitadas en ambas demandas de interpretación versa sobre el tema del alcance de las reparaciones otorgadas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su sentencia de fondo, de manera particular en lo que concierne a la r</w:t>
      </w:r>
      <w:r>
        <w:rPr>
          <w:rFonts w:ascii="Verdana" w:hAnsi="Verdana"/>
          <w:sz w:val="20"/>
          <w:lang w:val="es-ES_tradnl"/>
        </w:rPr>
        <w:t>eparación por los daños materiales. Ambas demandas tienen idénticas pretensiones, motivo por el cual esta Corte las resolverá de forma conjunta.</w:t>
      </w:r>
    </w:p>
    <w:p w:rsidR="00000000" w:rsidRDefault="00D8082A">
      <w:pPr>
        <w:rPr>
          <w:rFonts w:ascii="Verdana" w:hAnsi="Verdana"/>
          <w:b/>
          <w:smallCaps/>
          <w:sz w:val="20"/>
          <w:lang w:val="es-ES_tradnl"/>
        </w:rPr>
      </w:pPr>
    </w:p>
    <w:p w:rsidR="00000000" w:rsidRDefault="00D8082A">
      <w:pPr>
        <w:jc w:val="center"/>
        <w:rPr>
          <w:rFonts w:ascii="Verdana" w:hAnsi="Verdana"/>
          <w:b/>
          <w:caps/>
          <w:sz w:val="20"/>
          <w:lang w:val="es-ES_tradnl"/>
        </w:rPr>
      </w:pPr>
    </w:p>
    <w:p w:rsidR="00000000" w:rsidRDefault="00D8082A">
      <w:pPr>
        <w:jc w:val="center"/>
        <w:rPr>
          <w:rFonts w:ascii="Verdana" w:hAnsi="Verdana"/>
          <w:b/>
          <w:caps/>
          <w:sz w:val="20"/>
          <w:lang w:val="es-ES_tradnl"/>
        </w:rPr>
      </w:pPr>
      <w:r>
        <w:rPr>
          <w:rFonts w:ascii="Verdana" w:hAnsi="Verdana"/>
          <w:b/>
          <w:caps/>
          <w:sz w:val="20"/>
          <w:lang w:val="es-ES_tradnl"/>
        </w:rPr>
        <w:t>IV</w:t>
      </w:r>
    </w:p>
    <w:p w:rsidR="00000000" w:rsidRDefault="00D8082A">
      <w:pPr>
        <w:jc w:val="center"/>
        <w:rPr>
          <w:rFonts w:ascii="Verdana" w:hAnsi="Verdana"/>
          <w:b/>
          <w:caps/>
          <w:sz w:val="20"/>
          <w:lang w:val="es-ES_tradnl"/>
        </w:rPr>
      </w:pPr>
      <w:r>
        <w:rPr>
          <w:rFonts w:ascii="Verdana" w:hAnsi="Verdana"/>
          <w:b/>
          <w:caps/>
          <w:sz w:val="20"/>
          <w:lang w:val="es-ES_tradnl"/>
        </w:rPr>
        <w:t>Admisibilidad</w:t>
      </w:r>
    </w:p>
    <w:p w:rsidR="00000000" w:rsidRDefault="00D8082A">
      <w:pPr>
        <w:jc w:val="both"/>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8.</w:t>
      </w:r>
      <w:r>
        <w:rPr>
          <w:rFonts w:ascii="Verdana" w:hAnsi="Verdana"/>
          <w:sz w:val="20"/>
          <w:lang w:val="es-ES_tradnl"/>
        </w:rPr>
        <w:tab/>
        <w:t xml:space="preserve">El artículo 67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exige, como presupuesto de admisibilidad de la demanda d</w:t>
      </w:r>
      <w:r>
        <w:rPr>
          <w:rFonts w:ascii="Verdana" w:hAnsi="Verdana"/>
          <w:sz w:val="20"/>
          <w:lang w:val="es-ES_tradnl"/>
        </w:rPr>
        <w:t xml:space="preserve">e interpretación de sentencia, que dicha demanda sea presentada “dentro de los noventa días a partir de la fecha de la notificación del fallo”.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ha constatado que la sentencia de fondo en este caso se notificó a las partes el 9 de febrero de 2001.</w:t>
      </w:r>
      <w:r>
        <w:rPr>
          <w:rFonts w:ascii="Verdana" w:hAnsi="Verdana"/>
          <w:sz w:val="20"/>
          <w:lang w:val="es-ES_tradnl"/>
        </w:rPr>
        <w:t xml:space="preserve">  Por lo tanto, las demandas de interpretación fueron presentadas oportunamente (</w:t>
      </w:r>
      <w:r>
        <w:rPr>
          <w:rFonts w:ascii="Verdana" w:hAnsi="Verdana"/>
          <w:i/>
          <w:sz w:val="20"/>
          <w:lang w:val="es-ES_tradnl"/>
        </w:rPr>
        <w:t xml:space="preserve">supra </w:t>
      </w:r>
      <w:r>
        <w:rPr>
          <w:rFonts w:ascii="Verdana" w:hAnsi="Verdana"/>
          <w:sz w:val="20"/>
          <w:lang w:val="es-ES_tradnl"/>
        </w:rPr>
        <w:t xml:space="preserve">2).  </w:t>
      </w:r>
    </w:p>
    <w:p w:rsidR="00000000" w:rsidRDefault="00D8082A">
      <w:pPr>
        <w:jc w:val="both"/>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9.</w:t>
      </w:r>
      <w:r>
        <w:rPr>
          <w:rFonts w:ascii="Verdana" w:hAnsi="Verdana"/>
          <w:sz w:val="20"/>
          <w:lang w:val="es-ES_tradnl"/>
        </w:rPr>
        <w:tab/>
        <w:t xml:space="preserve">Por su parte, los alegatos del Estado fueron recibidos en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los días 2 y 3 de julio de 2001, es decir, una vez concluido el plazo otorg</w:t>
      </w:r>
      <w:r>
        <w:rPr>
          <w:rFonts w:ascii="Verdana" w:hAnsi="Verdana"/>
          <w:sz w:val="20"/>
          <w:lang w:val="es-ES_tradnl"/>
        </w:rPr>
        <w:t xml:space="preserve">ado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para tal fin, por lo que dichos escritos fueron presentados extemporáneamente. Al respecto,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aplicando el criterio de razonabilidad y temporalidad admite los mencionados escritos, en razón de que se recibieron en su Secretaría con </w:t>
      </w:r>
      <w:r>
        <w:rPr>
          <w:rFonts w:ascii="Verdana" w:hAnsi="Verdana"/>
          <w:sz w:val="20"/>
          <w:lang w:val="es-ES_tradnl"/>
        </w:rPr>
        <w:t>una dilación de uno y dos días, respectivamente (</w:t>
      </w:r>
      <w:r>
        <w:rPr>
          <w:rFonts w:ascii="Verdana" w:hAnsi="Verdana"/>
          <w:i/>
          <w:sz w:val="20"/>
          <w:lang w:val="es-ES_tradnl"/>
        </w:rPr>
        <w:t xml:space="preserve">supra </w:t>
      </w:r>
      <w:r>
        <w:rPr>
          <w:rFonts w:ascii="Verdana" w:hAnsi="Verdana"/>
          <w:sz w:val="20"/>
          <w:lang w:val="es-ES_tradnl"/>
        </w:rPr>
        <w:t>3 y 4), que no menoscaba el equilibrio que debe guardar el Tribunal entre la protección de los derechos humanos y la seguridad jurídica y equidad procesal</w:t>
      </w:r>
      <w:r>
        <w:rPr>
          <w:rStyle w:val="Refdenotaalpie"/>
          <w:rFonts w:ascii="Verdana" w:hAnsi="Verdana"/>
          <w:sz w:val="20"/>
          <w:lang w:val="es-ES_tradnl"/>
        </w:rPr>
        <w:footnoteReference w:id="3"/>
      </w:r>
      <w:r>
        <w:rPr>
          <w:rFonts w:ascii="Verdana" w:hAnsi="Verdana"/>
          <w:sz w:val="20"/>
          <w:lang w:val="es-ES_tradnl"/>
        </w:rPr>
        <w:t xml:space="preserve">.  </w:t>
      </w:r>
    </w:p>
    <w:p w:rsidR="00000000" w:rsidRDefault="00D8082A">
      <w:pPr>
        <w:jc w:val="both"/>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10.</w:t>
      </w:r>
      <w:r>
        <w:rPr>
          <w:rFonts w:ascii="Verdana" w:hAnsi="Verdana"/>
          <w:sz w:val="20"/>
          <w:lang w:val="es-ES_tradnl"/>
        </w:rPr>
        <w:tab/>
        <w:t>En relación con las sentencias de int</w:t>
      </w:r>
      <w:r>
        <w:rPr>
          <w:rFonts w:ascii="Verdana" w:hAnsi="Verdana"/>
          <w:sz w:val="20"/>
          <w:lang w:val="es-ES_tradnl"/>
        </w:rPr>
        <w:t xml:space="preserve">erpretación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ha manifestado que</w:t>
      </w:r>
    </w:p>
    <w:p w:rsidR="00000000" w:rsidRDefault="00D8082A">
      <w:pPr>
        <w:ind w:left="720" w:right="720"/>
        <w:jc w:val="both"/>
        <w:rPr>
          <w:rFonts w:ascii="Verdana" w:hAnsi="Verdana"/>
          <w:sz w:val="18"/>
          <w:lang w:val="es-ES_tradnl"/>
        </w:rPr>
      </w:pPr>
    </w:p>
    <w:p w:rsidR="00000000" w:rsidRDefault="00D8082A">
      <w:pPr>
        <w:ind w:left="720" w:right="720"/>
        <w:jc w:val="both"/>
        <w:rPr>
          <w:rFonts w:ascii="Verdana" w:hAnsi="Verdana"/>
          <w:sz w:val="18"/>
          <w:lang w:val="es-ES_tradnl"/>
        </w:rPr>
      </w:pPr>
      <w:r>
        <w:rPr>
          <w:rFonts w:ascii="Verdana" w:hAnsi="Verdana"/>
          <w:sz w:val="18"/>
          <w:lang w:val="es-ES_tradnl"/>
        </w:rPr>
        <w:t>[</w:t>
      </w:r>
      <w:proofErr w:type="gramStart"/>
      <w:r>
        <w:rPr>
          <w:rFonts w:ascii="Verdana" w:hAnsi="Verdana"/>
          <w:sz w:val="18"/>
          <w:lang w:val="es-ES_tradnl"/>
        </w:rPr>
        <w:t>c]</w:t>
      </w:r>
      <w:proofErr w:type="gramEnd"/>
      <w:r>
        <w:rPr>
          <w:rFonts w:ascii="Verdana" w:hAnsi="Verdana"/>
          <w:sz w:val="18"/>
          <w:lang w:val="es-ES_tradnl"/>
        </w:rPr>
        <w:t xml:space="preserve">ontribuye a la transparencia de los actos de este Tribunal, esclarecer, cuando estime procedente, el contenido y alcance de sus sentencias y disipar cualquier duda sobre las mismas, sin que puedan ser opuestas a </w:t>
      </w:r>
      <w:r>
        <w:rPr>
          <w:rFonts w:ascii="Verdana" w:hAnsi="Verdana"/>
          <w:sz w:val="18"/>
          <w:lang w:val="es-ES_tradnl"/>
        </w:rPr>
        <w:t>tal propósito consideraciones de mera forma</w:t>
      </w:r>
      <w:r>
        <w:rPr>
          <w:rStyle w:val="Refdenotaalpie"/>
          <w:rFonts w:ascii="Verdana" w:hAnsi="Verdana"/>
          <w:sz w:val="18"/>
          <w:lang w:val="es-ES_tradnl"/>
        </w:rPr>
        <w:footnoteReference w:id="4"/>
      </w:r>
      <w:r>
        <w:rPr>
          <w:rFonts w:ascii="Verdana" w:hAnsi="Verdana"/>
          <w:sz w:val="18"/>
          <w:lang w:val="es-ES_tradnl"/>
        </w:rPr>
        <w:t>.</w:t>
      </w:r>
    </w:p>
    <w:p w:rsidR="00000000" w:rsidRDefault="00D8082A">
      <w:pPr>
        <w:ind w:left="720" w:right="720"/>
        <w:jc w:val="both"/>
        <w:rPr>
          <w:rFonts w:ascii="Verdana" w:hAnsi="Verdana"/>
          <w:b/>
          <w:sz w:val="18"/>
          <w:lang w:val="es-ES_tradnl"/>
        </w:rPr>
      </w:pPr>
    </w:p>
    <w:p w:rsidR="00000000" w:rsidRDefault="00D8082A">
      <w:pPr>
        <w:jc w:val="both"/>
        <w:rPr>
          <w:rFonts w:ascii="Verdana" w:hAnsi="Verdana"/>
          <w:sz w:val="20"/>
          <w:lang w:val="es-ES_tradnl"/>
        </w:rPr>
      </w:pPr>
      <w:r>
        <w:rPr>
          <w:rFonts w:ascii="Verdana" w:hAnsi="Verdana"/>
          <w:smallCaps/>
          <w:sz w:val="20"/>
          <w:lang w:val="es-ES_tradnl"/>
        </w:rPr>
        <w:lastRenderedPageBreak/>
        <w:t>11.</w:t>
      </w:r>
      <w:r>
        <w:rPr>
          <w:rFonts w:ascii="Verdana" w:hAnsi="Verdana"/>
          <w:smallCaps/>
          <w:sz w:val="20"/>
          <w:lang w:val="es-ES_tradnl"/>
        </w:rPr>
        <w:tab/>
      </w:r>
      <w:r>
        <w:rPr>
          <w:rFonts w:ascii="Verdana" w:hAnsi="Verdana"/>
          <w:sz w:val="20"/>
          <w:lang w:val="es-ES_tradnl"/>
        </w:rPr>
        <w:t xml:space="preserve">Corresponde ahora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verificar si los aspectos substanciales de la demanda de interpretación cumplen las normas aplicables</w:t>
      </w:r>
      <w:r>
        <w:rPr>
          <w:rStyle w:val="Refdenotaalpie"/>
          <w:rFonts w:ascii="Verdana" w:hAnsi="Verdana"/>
          <w:sz w:val="20"/>
          <w:lang w:val="es-ES_tradnl"/>
        </w:rPr>
        <w:footnoteReference w:id="5"/>
      </w:r>
      <w:r>
        <w:rPr>
          <w:rFonts w:ascii="Verdana" w:hAnsi="Verdana"/>
          <w:sz w:val="20"/>
          <w:lang w:val="es-ES_tradnl"/>
        </w:rPr>
        <w:t>.  El artículo 58 del Reglamento establece, en lo conducente, que</w:t>
      </w:r>
    </w:p>
    <w:p w:rsidR="00000000" w:rsidRDefault="00D8082A">
      <w:pPr>
        <w:jc w:val="both"/>
        <w:rPr>
          <w:rFonts w:ascii="Verdana" w:hAnsi="Verdana"/>
          <w:sz w:val="20"/>
          <w:lang w:val="es-ES_tradnl"/>
        </w:rPr>
      </w:pPr>
    </w:p>
    <w:p w:rsidR="00000000" w:rsidRDefault="00D8082A">
      <w:pPr>
        <w:pStyle w:val="BlockText0"/>
      </w:pPr>
      <w:r>
        <w:t>[l]a de</w:t>
      </w:r>
      <w:r>
        <w:t xml:space="preserve">manda de interpretación a que se refiere el artículo 67 de </w:t>
      </w:r>
      <w:smartTag w:uri="urn:schemas-microsoft-com:office:smarttags" w:element="PersonName">
        <w:smartTagPr>
          <w:attr w:name="ProductID" w:val="la Convenci￳n"/>
        </w:smartTagPr>
        <w:r>
          <w:t>la Convención</w:t>
        </w:r>
      </w:smartTag>
      <w:r>
        <w:t xml:space="preserve"> podrá promoverse en relación con las sentencias de fondo o de reparaciones y se presentará en </w:t>
      </w:r>
      <w:smartTag w:uri="urn:schemas-microsoft-com:office:smarttags" w:element="PersonName">
        <w:smartTagPr>
          <w:attr w:name="ProductID" w:val="la Secretar￭a"/>
        </w:smartTagPr>
        <w:r>
          <w:t>la Secretaría</w:t>
        </w:r>
      </w:smartTag>
      <w:r>
        <w:t xml:space="preserve"> de </w:t>
      </w:r>
      <w:smartTag w:uri="urn:schemas-microsoft-com:office:smarttags" w:element="PersonName">
        <w:smartTagPr>
          <w:attr w:name="ProductID" w:val="la Corte"/>
        </w:smartTagPr>
        <w:r>
          <w:t>la Corte</w:t>
        </w:r>
      </w:smartTag>
      <w:r>
        <w:t xml:space="preserve"> indicándose en ella, con precisión, las cuestiones relativas al</w:t>
      </w:r>
      <w:r>
        <w:t xml:space="preserve"> sentido o alcance de la sentencia cuya interpretación se pida.</w:t>
      </w:r>
    </w:p>
    <w:p w:rsidR="00000000" w:rsidRDefault="00D8082A">
      <w:pPr>
        <w:ind w:left="720" w:right="720"/>
        <w:jc w:val="both"/>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12.</w:t>
      </w:r>
      <w:r>
        <w:rPr>
          <w:rFonts w:ascii="Verdana" w:hAnsi="Verdana"/>
          <w:sz w:val="20"/>
          <w:lang w:val="es-ES_tradnl"/>
        </w:rPr>
        <w:tab/>
        <w:t xml:space="preserve">La peticiones de interpretación de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y del señor Ivcher se basan en que existe una discrepancia en si la reparación ordenada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su sentencia de fondo comprendería “</w:t>
      </w:r>
      <w:r>
        <w:rPr>
          <w:rFonts w:ascii="Verdana" w:hAnsi="Verdana"/>
          <w:sz w:val="20"/>
          <w:lang w:val="es-ES_tradnl"/>
        </w:rPr>
        <w:t xml:space="preserve">una reparación por daño material”. </w:t>
      </w:r>
    </w:p>
    <w:p w:rsidR="00000000" w:rsidRDefault="00D8082A">
      <w:pPr>
        <w:jc w:val="both"/>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13.</w:t>
      </w:r>
      <w:r>
        <w:rPr>
          <w:rFonts w:ascii="Verdana" w:hAnsi="Verdana"/>
          <w:sz w:val="20"/>
          <w:lang w:val="es-ES_tradnl"/>
        </w:rPr>
        <w:tab/>
        <w:t xml:space="preserve">En razón de lo expuesto,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observa que la demanda de interpretación es conforme con lo previsto en el artículo 67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y en el artículo 58 del Reglamento, por lo que la declara admisible.  De conf</w:t>
      </w:r>
      <w:r>
        <w:rPr>
          <w:rFonts w:ascii="Verdana" w:hAnsi="Verdana"/>
          <w:sz w:val="20"/>
          <w:lang w:val="es-ES_tradnl"/>
        </w:rPr>
        <w:t xml:space="preserve">ormidad con lo anterior,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procederá a interpretar aquellos aspectos de su fallo en los que exista duda sobre su sentido y alcance.</w:t>
      </w:r>
    </w:p>
    <w:p w:rsidR="00000000" w:rsidRDefault="00D8082A">
      <w:pPr>
        <w:ind w:right="-46"/>
        <w:jc w:val="center"/>
        <w:rPr>
          <w:rFonts w:ascii="Verdana" w:hAnsi="Verdana"/>
          <w:b/>
          <w:smallCaps/>
          <w:sz w:val="20"/>
          <w:lang w:val="es-ES_tradnl"/>
        </w:rPr>
      </w:pPr>
    </w:p>
    <w:p w:rsidR="00000000" w:rsidRDefault="00D8082A">
      <w:pPr>
        <w:ind w:right="-46"/>
        <w:jc w:val="center"/>
        <w:rPr>
          <w:rFonts w:ascii="Verdana" w:hAnsi="Verdana"/>
          <w:b/>
          <w:smallCaps/>
          <w:sz w:val="20"/>
          <w:lang w:val="es-ES_tradnl"/>
        </w:rPr>
      </w:pPr>
    </w:p>
    <w:p w:rsidR="00000000" w:rsidRDefault="00D8082A">
      <w:pPr>
        <w:ind w:right="-46"/>
        <w:jc w:val="center"/>
        <w:rPr>
          <w:rFonts w:ascii="Verdana" w:hAnsi="Verdana"/>
          <w:b/>
          <w:caps/>
          <w:sz w:val="20"/>
          <w:lang w:val="es-ES_tradnl"/>
        </w:rPr>
      </w:pPr>
      <w:r>
        <w:rPr>
          <w:rFonts w:ascii="Verdana" w:hAnsi="Verdana"/>
          <w:b/>
          <w:caps/>
          <w:sz w:val="20"/>
          <w:lang w:val="es-ES_tradnl"/>
        </w:rPr>
        <w:t>V</w:t>
      </w:r>
    </w:p>
    <w:p w:rsidR="00000000" w:rsidRDefault="00D8082A">
      <w:pPr>
        <w:jc w:val="center"/>
        <w:rPr>
          <w:rFonts w:ascii="Verdana" w:hAnsi="Verdana"/>
          <w:b/>
          <w:caps/>
          <w:sz w:val="20"/>
          <w:lang w:val="es-ES_tradnl"/>
        </w:rPr>
      </w:pPr>
      <w:r>
        <w:rPr>
          <w:rFonts w:ascii="Verdana" w:hAnsi="Verdana"/>
          <w:b/>
          <w:caps/>
          <w:sz w:val="20"/>
          <w:lang w:val="es-ES_tradnl"/>
        </w:rPr>
        <w:t>Alcance de las Reparaciones</w:t>
      </w:r>
    </w:p>
    <w:p w:rsidR="00000000" w:rsidRDefault="00D8082A">
      <w:pPr>
        <w:jc w:val="center"/>
        <w:rPr>
          <w:rFonts w:ascii="Verdana" w:hAnsi="Verdana"/>
          <w:sz w:val="20"/>
          <w:lang w:val="es-ES_tradnl"/>
        </w:rPr>
      </w:pPr>
    </w:p>
    <w:p w:rsidR="00000000" w:rsidRDefault="00D8082A">
      <w:pPr>
        <w:ind w:right="58"/>
        <w:jc w:val="both"/>
        <w:rPr>
          <w:rFonts w:ascii="Verdana" w:hAnsi="Verdana"/>
          <w:sz w:val="20"/>
          <w:lang w:val="es-ES_tradnl"/>
        </w:rPr>
      </w:pPr>
      <w:r>
        <w:rPr>
          <w:rFonts w:ascii="Verdana" w:hAnsi="Verdana"/>
          <w:i/>
          <w:sz w:val="20"/>
          <w:lang w:val="es-ES_tradnl"/>
        </w:rPr>
        <w:t xml:space="preserve">Alegatos de </w:t>
      </w:r>
      <w:smartTag w:uri="urn:schemas-microsoft-com:office:smarttags" w:element="PersonName">
        <w:smartTagPr>
          <w:attr w:name="ProductID" w:val="la Comisi￳n"/>
        </w:smartTagPr>
        <w:r>
          <w:rPr>
            <w:rFonts w:ascii="Verdana" w:hAnsi="Verdana"/>
            <w:i/>
            <w:sz w:val="20"/>
            <w:lang w:val="es-ES_tradnl"/>
          </w:rPr>
          <w:t>la Comisión</w:t>
        </w:r>
      </w:smartTag>
      <w:r>
        <w:rPr>
          <w:rFonts w:ascii="Verdana" w:hAnsi="Verdana"/>
          <w:i/>
          <w:sz w:val="20"/>
          <w:lang w:val="es-ES_tradnl"/>
        </w:rPr>
        <w:t xml:space="preserve"> y del señor Ivcher</w:t>
      </w:r>
    </w:p>
    <w:p w:rsidR="00000000" w:rsidRDefault="00D8082A">
      <w:pPr>
        <w:ind w:right="58"/>
        <w:jc w:val="both"/>
        <w:rPr>
          <w:rFonts w:ascii="Verdana" w:hAnsi="Verdana"/>
          <w:sz w:val="20"/>
          <w:lang w:val="es-ES_tradnl"/>
        </w:rPr>
      </w:pPr>
    </w:p>
    <w:p w:rsidR="00000000" w:rsidRDefault="00D8082A">
      <w:pPr>
        <w:ind w:right="58"/>
        <w:jc w:val="both"/>
        <w:rPr>
          <w:rFonts w:ascii="Verdana" w:hAnsi="Verdana"/>
          <w:sz w:val="20"/>
          <w:lang w:val="es-ES_tradnl"/>
        </w:rPr>
      </w:pPr>
      <w:r>
        <w:rPr>
          <w:rFonts w:ascii="Verdana" w:hAnsi="Verdana"/>
          <w:sz w:val="20"/>
          <w:lang w:val="es-ES_tradnl"/>
        </w:rPr>
        <w:t>14.</w:t>
      </w:r>
      <w:r>
        <w:rPr>
          <w:rFonts w:ascii="Verdana" w:hAnsi="Verdana"/>
          <w:sz w:val="20"/>
          <w:lang w:val="es-ES_tradnl"/>
        </w:rPr>
        <w:tab/>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se refirió a una presunt</w:t>
      </w:r>
      <w:r>
        <w:rPr>
          <w:rFonts w:ascii="Verdana" w:hAnsi="Verdana"/>
          <w:sz w:val="20"/>
          <w:lang w:val="es-ES_tradnl"/>
        </w:rPr>
        <w:t xml:space="preserve">a interpretación del Estado peruano de acuerdo con la cual el sentido de la reparación ordenada por esta Corte a favor del señor Ivcher no comprendería una indemnización que repare </w:t>
      </w:r>
      <w:r>
        <w:rPr>
          <w:rFonts w:ascii="Verdana" w:hAnsi="Verdana"/>
          <w:i/>
          <w:sz w:val="20"/>
          <w:lang w:val="es-ES_tradnl"/>
        </w:rPr>
        <w:t xml:space="preserve">in integrum </w:t>
      </w:r>
      <w:r>
        <w:rPr>
          <w:rFonts w:ascii="Verdana" w:hAnsi="Verdana"/>
          <w:sz w:val="20"/>
          <w:lang w:val="es-ES_tradnl"/>
        </w:rPr>
        <w:t>los daños ocasionados por la violación de la que fue objeto.</w:t>
      </w:r>
    </w:p>
    <w:p w:rsidR="00000000" w:rsidRDefault="00D8082A">
      <w:pPr>
        <w:ind w:right="58"/>
        <w:jc w:val="both"/>
        <w:rPr>
          <w:rFonts w:ascii="Verdana" w:hAnsi="Verdana"/>
          <w:sz w:val="20"/>
          <w:lang w:val="es-ES_tradnl"/>
        </w:rPr>
      </w:pPr>
    </w:p>
    <w:p w:rsidR="00000000" w:rsidRDefault="00D8082A">
      <w:pPr>
        <w:ind w:right="58"/>
        <w:jc w:val="both"/>
        <w:rPr>
          <w:rFonts w:ascii="Verdana" w:hAnsi="Verdana"/>
          <w:sz w:val="20"/>
          <w:lang w:val="es-ES_tradnl"/>
        </w:rPr>
      </w:pPr>
      <w:r>
        <w:rPr>
          <w:rFonts w:ascii="Verdana" w:hAnsi="Verdana"/>
          <w:sz w:val="20"/>
          <w:lang w:val="es-ES_tradnl"/>
        </w:rPr>
        <w:t>1</w:t>
      </w:r>
      <w:r>
        <w:rPr>
          <w:rFonts w:ascii="Verdana" w:hAnsi="Verdana"/>
          <w:sz w:val="20"/>
          <w:lang w:val="es-ES_tradnl"/>
        </w:rPr>
        <w:t>5.</w:t>
      </w:r>
      <w:r>
        <w:rPr>
          <w:rFonts w:ascii="Verdana" w:hAnsi="Verdana"/>
          <w:sz w:val="20"/>
          <w:lang w:val="es-ES_tradnl"/>
        </w:rPr>
        <w:tab/>
        <w:t xml:space="preserve">Por su parte, el señor Ivcher manifestó que en la sentencia de fondo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determinó las reparaciones correspondientes a la víctima por concepto de daño moral y el pago de los gastos y costas procesales y que no ha fijado una indemnización por los da</w:t>
      </w:r>
      <w:r>
        <w:rPr>
          <w:rFonts w:ascii="Verdana" w:hAnsi="Verdana"/>
          <w:sz w:val="20"/>
          <w:lang w:val="es-ES_tradnl"/>
        </w:rPr>
        <w:t>ños materiales.  (</w:t>
      </w:r>
      <w:proofErr w:type="gramStart"/>
      <w:r>
        <w:rPr>
          <w:rFonts w:ascii="Verdana" w:hAnsi="Verdana"/>
          <w:i/>
          <w:sz w:val="20"/>
          <w:lang w:val="es-ES_tradnl"/>
        </w:rPr>
        <w:t>supra</w:t>
      </w:r>
      <w:proofErr w:type="gramEnd"/>
      <w:r>
        <w:rPr>
          <w:rFonts w:ascii="Verdana" w:hAnsi="Verdana"/>
          <w:i/>
          <w:sz w:val="20"/>
          <w:lang w:val="es-ES_tradnl"/>
        </w:rPr>
        <w:t xml:space="preserve"> </w:t>
      </w:r>
      <w:r>
        <w:rPr>
          <w:rFonts w:ascii="Verdana" w:hAnsi="Verdana"/>
          <w:sz w:val="20"/>
          <w:lang w:val="es-ES_tradnl"/>
        </w:rPr>
        <w:t>5)</w:t>
      </w:r>
    </w:p>
    <w:p w:rsidR="00000000" w:rsidRDefault="00D8082A">
      <w:pPr>
        <w:ind w:left="720" w:right="720"/>
        <w:jc w:val="both"/>
        <w:rPr>
          <w:rFonts w:ascii="Verdana" w:hAnsi="Verdana"/>
          <w:sz w:val="20"/>
          <w:lang w:val="es-ES_tradnl"/>
        </w:rPr>
      </w:pPr>
    </w:p>
    <w:p w:rsidR="00000000" w:rsidRDefault="00D8082A">
      <w:pPr>
        <w:ind w:left="720" w:right="720"/>
        <w:jc w:val="both"/>
        <w:rPr>
          <w:rFonts w:ascii="Verdana" w:hAnsi="Verdana"/>
          <w:sz w:val="20"/>
          <w:lang w:val="es-ES_tradnl"/>
        </w:rPr>
      </w:pPr>
    </w:p>
    <w:p w:rsidR="00000000" w:rsidRDefault="00D8082A">
      <w:pPr>
        <w:ind w:right="-46"/>
        <w:jc w:val="both"/>
        <w:rPr>
          <w:rFonts w:ascii="Verdana" w:hAnsi="Verdana"/>
          <w:i/>
          <w:sz w:val="20"/>
          <w:lang w:val="es-ES_tradnl"/>
        </w:rPr>
      </w:pPr>
      <w:r>
        <w:rPr>
          <w:rFonts w:ascii="Verdana" w:hAnsi="Verdana"/>
          <w:i/>
          <w:sz w:val="20"/>
          <w:lang w:val="es-ES_tradnl"/>
        </w:rPr>
        <w:t>Alegatos del Estado</w:t>
      </w:r>
    </w:p>
    <w:p w:rsidR="00000000" w:rsidRDefault="00D8082A">
      <w:pPr>
        <w:ind w:right="-46"/>
        <w:jc w:val="both"/>
        <w:rPr>
          <w:rFonts w:ascii="Verdana" w:hAnsi="Verdana"/>
          <w:sz w:val="20"/>
          <w:lang w:val="es-ES_tradnl"/>
        </w:rPr>
      </w:pPr>
    </w:p>
    <w:p w:rsidR="00000000" w:rsidRDefault="00D8082A">
      <w:pPr>
        <w:ind w:right="-46"/>
        <w:jc w:val="both"/>
        <w:rPr>
          <w:rFonts w:ascii="Verdana" w:hAnsi="Verdana"/>
          <w:sz w:val="20"/>
          <w:lang w:val="es-ES_tradnl"/>
        </w:rPr>
      </w:pPr>
      <w:r>
        <w:rPr>
          <w:rFonts w:ascii="Verdana" w:hAnsi="Verdana"/>
          <w:sz w:val="20"/>
          <w:lang w:val="es-ES_tradnl"/>
        </w:rPr>
        <w:t>16.</w:t>
      </w:r>
      <w:r>
        <w:rPr>
          <w:rFonts w:ascii="Verdana" w:hAnsi="Verdana"/>
          <w:sz w:val="20"/>
          <w:lang w:val="es-ES_tradnl"/>
        </w:rPr>
        <w:tab/>
        <w:t>En su escrito de 2 de julio de 2001, el Perú manifestó que la sentencia de fondo es clara en relación a la inexistencia de cualquier mandato que establezca u obligue al pago de una indemnización por dañ</w:t>
      </w:r>
      <w:r>
        <w:rPr>
          <w:rFonts w:ascii="Verdana" w:hAnsi="Verdana"/>
          <w:sz w:val="20"/>
          <w:lang w:val="es-ES_tradnl"/>
        </w:rPr>
        <w:t>os materiales, dado que en la parte resolutiva de la misma, sólo se ordena el pago por concepto de daño moral y el reintegro de los gastos y costas judiciales.</w:t>
      </w:r>
    </w:p>
    <w:p w:rsidR="00000000" w:rsidRDefault="00D8082A">
      <w:pPr>
        <w:ind w:right="-46"/>
        <w:jc w:val="both"/>
        <w:rPr>
          <w:rFonts w:ascii="Verdana" w:hAnsi="Verdana"/>
          <w:sz w:val="20"/>
          <w:lang w:val="es-ES_tradnl"/>
        </w:rPr>
      </w:pPr>
    </w:p>
    <w:p w:rsidR="00000000" w:rsidRDefault="00D8082A">
      <w:pPr>
        <w:ind w:right="-46"/>
        <w:jc w:val="both"/>
        <w:rPr>
          <w:rFonts w:ascii="Verdana" w:hAnsi="Verdana"/>
          <w:sz w:val="20"/>
          <w:lang w:val="es-ES_tradnl"/>
        </w:rPr>
      </w:pPr>
    </w:p>
    <w:p w:rsidR="00000000" w:rsidRDefault="00D8082A">
      <w:pPr>
        <w:ind w:right="-46"/>
        <w:jc w:val="both"/>
        <w:rPr>
          <w:rFonts w:ascii="Verdana" w:hAnsi="Verdana"/>
          <w:sz w:val="20"/>
          <w:lang w:val="es-ES_tradnl"/>
        </w:rPr>
      </w:pPr>
      <w:r>
        <w:rPr>
          <w:rFonts w:ascii="Verdana" w:hAnsi="Verdana"/>
          <w:sz w:val="20"/>
          <w:lang w:val="es-ES_tradnl"/>
        </w:rPr>
        <w:t>El Estado peruano agregó que:</w:t>
      </w:r>
    </w:p>
    <w:p w:rsidR="00000000" w:rsidRDefault="00D8082A">
      <w:pPr>
        <w:ind w:right="-46"/>
        <w:jc w:val="both"/>
        <w:rPr>
          <w:rFonts w:ascii="Verdana" w:hAnsi="Verdana"/>
          <w:sz w:val="20"/>
          <w:lang w:val="es-ES_tradnl"/>
        </w:rPr>
      </w:pPr>
    </w:p>
    <w:p w:rsidR="00000000" w:rsidRDefault="00D8082A">
      <w:pPr>
        <w:ind w:left="720" w:right="720"/>
        <w:jc w:val="both"/>
        <w:rPr>
          <w:rFonts w:ascii="Verdana" w:hAnsi="Verdana"/>
          <w:sz w:val="18"/>
          <w:lang w:val="es-ES_tradnl"/>
        </w:rPr>
      </w:pPr>
      <w:r>
        <w:rPr>
          <w:rFonts w:ascii="Verdana" w:hAnsi="Verdana"/>
          <w:sz w:val="18"/>
          <w:lang w:val="es-ES_tradnl"/>
        </w:rPr>
        <w:t>Si bien la sentencia (punto 178) establece acertadamente que la</w:t>
      </w:r>
      <w:r>
        <w:rPr>
          <w:rFonts w:ascii="Verdana" w:hAnsi="Verdana"/>
          <w:sz w:val="18"/>
          <w:lang w:val="es-ES_tradnl"/>
        </w:rPr>
        <w:t xml:space="preserve"> reparación del daño ocasionado por la infracción de una obligación internacional requiere la plena restitución (</w:t>
      </w:r>
      <w:r>
        <w:rPr>
          <w:rFonts w:ascii="Verdana" w:hAnsi="Verdana"/>
          <w:i/>
          <w:sz w:val="18"/>
          <w:lang w:val="es-ES_tradnl"/>
        </w:rPr>
        <w:t>restitutio in integrum</w:t>
      </w:r>
      <w:r>
        <w:rPr>
          <w:rFonts w:ascii="Verdana" w:hAnsi="Verdana"/>
          <w:sz w:val="18"/>
          <w:lang w:val="es-ES_tradnl"/>
        </w:rPr>
        <w:t xml:space="preserve">) obviamente su contenido y alcances no pueden quedar abiertos o imprecisos, quedando establecidos en </w:t>
      </w:r>
      <w:r>
        <w:rPr>
          <w:rFonts w:ascii="Verdana" w:hAnsi="Verdana"/>
          <w:sz w:val="18"/>
          <w:lang w:val="es-ES_tradnl"/>
        </w:rPr>
        <w:lastRenderedPageBreak/>
        <w:t>los términos que ex</w:t>
      </w:r>
      <w:r>
        <w:rPr>
          <w:rFonts w:ascii="Verdana" w:hAnsi="Verdana"/>
          <w:sz w:val="18"/>
          <w:lang w:val="es-ES_tradnl"/>
        </w:rPr>
        <w:t>presamente señale la sentencia respecto del pago compensatorio por los daños ocasionados. Como se aprecia en la parte resolutiva de la sentencia, sólo se considera, en cuanto a reparaciones de tipo patrimonial, el pago de indemnización por daño moral y rei</w:t>
      </w:r>
      <w:r>
        <w:rPr>
          <w:rFonts w:ascii="Verdana" w:hAnsi="Verdana"/>
          <w:sz w:val="18"/>
          <w:lang w:val="es-ES_tradnl"/>
        </w:rPr>
        <w:t xml:space="preserve">ntegro por costas y gastos judiciales. </w:t>
      </w:r>
    </w:p>
    <w:p w:rsidR="00000000" w:rsidRDefault="00D8082A">
      <w:pPr>
        <w:ind w:left="720" w:right="720"/>
        <w:jc w:val="both"/>
        <w:rPr>
          <w:rFonts w:ascii="Verdana" w:hAnsi="Verdana"/>
          <w:sz w:val="18"/>
          <w:lang w:val="es-ES_tradnl"/>
        </w:rPr>
      </w:pPr>
    </w:p>
    <w:p w:rsidR="00000000" w:rsidRDefault="00D8082A">
      <w:pPr>
        <w:ind w:left="720" w:right="720"/>
        <w:jc w:val="both"/>
        <w:rPr>
          <w:rFonts w:ascii="Verdana" w:hAnsi="Verdana"/>
          <w:sz w:val="18"/>
          <w:lang w:val="es-ES_tradnl"/>
        </w:rPr>
      </w:pPr>
      <w:r>
        <w:rPr>
          <w:rFonts w:ascii="Verdana" w:hAnsi="Verdana"/>
          <w:sz w:val="18"/>
          <w:lang w:val="es-ES_tradnl"/>
        </w:rPr>
        <w:sym w:font="Symbol" w:char="F05B"/>
      </w:r>
      <w:r>
        <w:rPr>
          <w:rFonts w:ascii="Verdana" w:hAnsi="Verdana"/>
          <w:sz w:val="18"/>
          <w:lang w:val="es-ES_tradnl"/>
        </w:rPr>
        <w:t>…</w:t>
      </w:r>
      <w:r>
        <w:rPr>
          <w:rFonts w:ascii="Verdana" w:hAnsi="Verdana"/>
          <w:sz w:val="18"/>
          <w:lang w:val="es-ES_tradnl"/>
        </w:rPr>
        <w:sym w:font="Symbol" w:char="F05D"/>
      </w:r>
    </w:p>
    <w:p w:rsidR="00000000" w:rsidRDefault="00D8082A">
      <w:pPr>
        <w:ind w:left="720" w:right="720"/>
        <w:jc w:val="both"/>
        <w:rPr>
          <w:rFonts w:ascii="Verdana" w:hAnsi="Verdana"/>
          <w:sz w:val="18"/>
          <w:lang w:val="es-ES_tradnl"/>
        </w:rPr>
      </w:pPr>
    </w:p>
    <w:p w:rsidR="00000000" w:rsidRDefault="00D8082A">
      <w:pPr>
        <w:ind w:left="720" w:right="720"/>
        <w:jc w:val="both"/>
        <w:rPr>
          <w:rFonts w:ascii="Verdana" w:hAnsi="Verdana"/>
          <w:sz w:val="18"/>
          <w:lang w:val="es-ES_tradnl"/>
        </w:rPr>
      </w:pPr>
      <w:r>
        <w:rPr>
          <w:rFonts w:ascii="Verdana" w:hAnsi="Verdana"/>
          <w:sz w:val="18"/>
          <w:lang w:val="es-ES_tradnl"/>
        </w:rPr>
        <w:t>En consecuencia, debe quedar claramente establecido que el Gobierno del Perú reconoce y condena los graves atropellos que, durante el</w:t>
      </w:r>
      <w:r>
        <w:rPr>
          <w:rFonts w:ascii="Verdana" w:hAnsi="Verdana"/>
          <w:sz w:val="20"/>
          <w:lang w:val="es-ES_tradnl"/>
        </w:rPr>
        <w:t xml:space="preserve"> </w:t>
      </w:r>
      <w:r>
        <w:rPr>
          <w:rFonts w:ascii="Verdana" w:hAnsi="Verdana"/>
          <w:sz w:val="18"/>
          <w:lang w:val="es-ES_tradnl"/>
        </w:rPr>
        <w:t>anterior régimen autoritario, sufrió el señor Baruch Ivcher; asimismo, que v</w:t>
      </w:r>
      <w:r>
        <w:rPr>
          <w:rFonts w:ascii="Verdana" w:hAnsi="Verdana"/>
          <w:sz w:val="18"/>
          <w:lang w:val="es-ES_tradnl"/>
        </w:rPr>
        <w:t xml:space="preserve">iene procurando contribuir al pleno restablecimiento y reparación de sus derechos.  Sin embargo, considera que la pretensión de una indemnización por daños materiales, adicional a la dispuesta por </w:t>
      </w:r>
      <w:smartTag w:uri="urn:schemas-microsoft-com:office:smarttags" w:element="PersonName">
        <w:smartTagPr>
          <w:attr w:name="ProductID" w:val="la Corte"/>
        </w:smartTagPr>
        <w:r>
          <w:rPr>
            <w:rFonts w:ascii="Verdana" w:hAnsi="Verdana"/>
            <w:sz w:val="18"/>
            <w:lang w:val="es-ES_tradnl"/>
          </w:rPr>
          <w:t>la</w:t>
        </w:r>
        <w:r>
          <w:rPr>
            <w:rFonts w:ascii="Verdana" w:hAnsi="Verdana"/>
            <w:sz w:val="20"/>
            <w:lang w:val="es-ES_tradnl"/>
          </w:rPr>
          <w:t xml:space="preserve"> </w:t>
        </w:r>
        <w:r>
          <w:rPr>
            <w:rFonts w:ascii="Verdana" w:hAnsi="Verdana"/>
            <w:sz w:val="18"/>
            <w:lang w:val="es-ES_tradnl"/>
          </w:rPr>
          <w:t>Corte</w:t>
        </w:r>
      </w:smartTag>
      <w:r>
        <w:rPr>
          <w:rFonts w:ascii="Verdana" w:hAnsi="Verdana"/>
          <w:sz w:val="18"/>
          <w:lang w:val="es-ES_tradnl"/>
        </w:rPr>
        <w:t xml:space="preserve"> por razón de daño moral y reintegro de gastos, no </w:t>
      </w:r>
      <w:r>
        <w:rPr>
          <w:rFonts w:ascii="Verdana" w:hAnsi="Verdana"/>
          <w:sz w:val="18"/>
          <w:lang w:val="es-ES_tradnl"/>
        </w:rPr>
        <w:t xml:space="preserve">está contemplada ni en la parte considerativa ni resolutiva de la sentencia de </w:t>
      </w:r>
      <w:smartTag w:uri="urn:schemas-microsoft-com:office:smarttags" w:element="PersonName">
        <w:smartTagPr>
          <w:attr w:name="ProductID" w:val="la Corte"/>
        </w:smartTagPr>
        <w:r>
          <w:rPr>
            <w:rFonts w:ascii="Verdana" w:hAnsi="Verdana"/>
            <w:sz w:val="18"/>
            <w:lang w:val="es-ES_tradnl"/>
          </w:rPr>
          <w:t>la Corte</w:t>
        </w:r>
      </w:smartTag>
      <w:r>
        <w:rPr>
          <w:rFonts w:ascii="Verdana" w:hAnsi="Verdana"/>
          <w:sz w:val="18"/>
          <w:lang w:val="es-ES_tradnl"/>
        </w:rPr>
        <w:t xml:space="preserve"> por lo que mal puede establecerse en vía interpretación.  Sobre todo si</w:t>
      </w:r>
      <w:proofErr w:type="gramStart"/>
      <w:r>
        <w:rPr>
          <w:rFonts w:ascii="Verdana" w:hAnsi="Verdana"/>
          <w:sz w:val="18"/>
          <w:lang w:val="es-ES_tradnl"/>
        </w:rPr>
        <w:t xml:space="preserve">, </w:t>
      </w:r>
      <w:proofErr w:type="gramEnd"/>
      <w:r>
        <w:rPr>
          <w:rFonts w:ascii="Verdana" w:hAnsi="Verdana"/>
          <w:sz w:val="18"/>
          <w:lang w:val="es-ES_tradnl"/>
        </w:rPr>
        <w:sym w:font="Symbol" w:char="F05B"/>
      </w:r>
      <w:r>
        <w:rPr>
          <w:rFonts w:ascii="Verdana" w:hAnsi="Verdana"/>
          <w:sz w:val="18"/>
          <w:lang w:val="es-ES_tradnl"/>
        </w:rPr>
        <w:t>…</w:t>
      </w:r>
      <w:r>
        <w:rPr>
          <w:rFonts w:ascii="Verdana" w:hAnsi="Verdana"/>
          <w:sz w:val="18"/>
          <w:lang w:val="es-ES_tradnl"/>
        </w:rPr>
        <w:sym w:font="Symbol" w:char="F05D"/>
      </w:r>
      <w:r>
        <w:rPr>
          <w:rFonts w:ascii="Verdana" w:hAnsi="Verdana"/>
          <w:sz w:val="18"/>
          <w:lang w:val="es-ES_tradnl"/>
        </w:rPr>
        <w:t xml:space="preserve"> fluyen del texto de la sentencia elementos que permiten concluir en que tal pretensión ya f</w:t>
      </w:r>
      <w:r>
        <w:rPr>
          <w:rFonts w:ascii="Verdana" w:hAnsi="Verdana"/>
          <w:sz w:val="18"/>
          <w:lang w:val="es-ES_tradnl"/>
        </w:rPr>
        <w:t xml:space="preserve">ue analizada y desestimada por </w:t>
      </w:r>
      <w:smartTag w:uri="urn:schemas-microsoft-com:office:smarttags" w:element="PersonName">
        <w:smartTagPr>
          <w:attr w:name="ProductID" w:val="la Corte."/>
        </w:smartTagPr>
        <w:r>
          <w:rPr>
            <w:rFonts w:ascii="Verdana" w:hAnsi="Verdana"/>
            <w:sz w:val="18"/>
            <w:lang w:val="es-ES_tradnl"/>
          </w:rPr>
          <w:t>la Corte.</w:t>
        </w:r>
      </w:smartTag>
      <w:r>
        <w:rPr>
          <w:rFonts w:ascii="Verdana" w:hAnsi="Verdana"/>
          <w:sz w:val="18"/>
          <w:lang w:val="es-ES_tradnl"/>
        </w:rPr>
        <w:t xml:space="preserve">   </w:t>
      </w:r>
    </w:p>
    <w:p w:rsidR="00000000" w:rsidRDefault="00D8082A">
      <w:pPr>
        <w:ind w:left="720" w:right="-46"/>
        <w:jc w:val="both"/>
        <w:rPr>
          <w:rFonts w:ascii="Verdana" w:hAnsi="Verdana"/>
          <w:sz w:val="20"/>
          <w:lang w:val="es-ES_tradnl"/>
        </w:rPr>
      </w:pPr>
    </w:p>
    <w:p w:rsidR="00000000" w:rsidRDefault="00D8082A">
      <w:pPr>
        <w:ind w:left="720" w:right="18" w:hanging="720"/>
        <w:jc w:val="center"/>
        <w:rPr>
          <w:rFonts w:ascii="Verdana" w:hAnsi="Verdana"/>
          <w:b/>
          <w:sz w:val="20"/>
          <w:lang w:val="es-ES_tradnl"/>
        </w:rPr>
      </w:pPr>
    </w:p>
    <w:p w:rsidR="00000000" w:rsidRDefault="00D8082A">
      <w:pPr>
        <w:ind w:left="720" w:right="18" w:hanging="720"/>
        <w:jc w:val="center"/>
        <w:rPr>
          <w:rFonts w:ascii="Verdana" w:hAnsi="Verdana"/>
          <w:b/>
          <w:sz w:val="20"/>
          <w:lang w:val="es-ES_tradnl"/>
        </w:rPr>
      </w:pPr>
      <w:r>
        <w:rPr>
          <w:rFonts w:ascii="Verdana" w:hAnsi="Verdana"/>
          <w:b/>
          <w:sz w:val="20"/>
          <w:lang w:val="es-ES_tradnl"/>
        </w:rPr>
        <w:t>*</w:t>
      </w:r>
    </w:p>
    <w:p w:rsidR="00000000" w:rsidRDefault="00D8082A">
      <w:pPr>
        <w:ind w:left="720" w:right="18" w:hanging="720"/>
        <w:jc w:val="center"/>
        <w:rPr>
          <w:rFonts w:ascii="Verdana" w:hAnsi="Verdana"/>
          <w:sz w:val="20"/>
          <w:lang w:val="es-ES_tradnl"/>
        </w:rPr>
      </w:pPr>
      <w:r>
        <w:rPr>
          <w:rFonts w:ascii="Verdana" w:hAnsi="Verdana"/>
          <w:b/>
          <w:sz w:val="20"/>
          <w:lang w:val="es-ES_tradnl"/>
        </w:rPr>
        <w:t>*</w:t>
      </w:r>
      <w:r>
        <w:rPr>
          <w:rFonts w:ascii="Verdana" w:hAnsi="Verdana"/>
          <w:b/>
          <w:sz w:val="20"/>
          <w:lang w:val="es-ES_tradnl"/>
        </w:rPr>
        <w:tab/>
        <w:t>*</w:t>
      </w:r>
    </w:p>
    <w:p w:rsidR="00000000" w:rsidRDefault="00D8082A">
      <w:pPr>
        <w:rPr>
          <w:rFonts w:ascii="Verdana" w:hAnsi="Verdana"/>
          <w:i/>
          <w:sz w:val="20"/>
          <w:lang w:val="es-ES_tradnl"/>
        </w:rPr>
      </w:pPr>
    </w:p>
    <w:p w:rsidR="00000000" w:rsidRDefault="00D8082A">
      <w:pPr>
        <w:rPr>
          <w:rFonts w:ascii="Verdana" w:hAnsi="Verdana"/>
          <w:i/>
          <w:sz w:val="20"/>
          <w:lang w:val="es-ES_tradnl"/>
        </w:rPr>
      </w:pPr>
      <w:r>
        <w:rPr>
          <w:rFonts w:ascii="Verdana" w:hAnsi="Verdana"/>
          <w:i/>
          <w:sz w:val="20"/>
          <w:lang w:val="es-ES_tradnl"/>
        </w:rPr>
        <w:t xml:space="preserve">Consideraciones de </w:t>
      </w:r>
      <w:smartTag w:uri="urn:schemas-microsoft-com:office:smarttags" w:element="PersonName">
        <w:smartTagPr>
          <w:attr w:name="ProductID" w:val="la Corte"/>
        </w:smartTagPr>
        <w:r>
          <w:rPr>
            <w:rFonts w:ascii="Verdana" w:hAnsi="Verdana"/>
            <w:i/>
            <w:sz w:val="20"/>
            <w:lang w:val="es-ES_tradnl"/>
          </w:rPr>
          <w:t>la Corte</w:t>
        </w:r>
      </w:smartTag>
    </w:p>
    <w:p w:rsidR="00000000" w:rsidRDefault="00D8082A">
      <w:pPr>
        <w:rPr>
          <w:rFonts w:ascii="Verdana" w:hAnsi="Verdana"/>
          <w:sz w:val="20"/>
          <w:lang w:val="es-ES_tradnl"/>
        </w:rPr>
      </w:pPr>
    </w:p>
    <w:p w:rsidR="00000000" w:rsidRDefault="00D8082A">
      <w:pPr>
        <w:ind w:right="-46"/>
        <w:jc w:val="both"/>
        <w:rPr>
          <w:rFonts w:ascii="Verdana" w:hAnsi="Verdana"/>
          <w:sz w:val="20"/>
          <w:lang w:val="es-ES_tradnl"/>
        </w:rPr>
      </w:pPr>
      <w:r>
        <w:rPr>
          <w:rFonts w:ascii="Verdana" w:hAnsi="Verdana"/>
          <w:sz w:val="20"/>
          <w:lang w:val="es-ES_tradnl"/>
        </w:rPr>
        <w:t>17.</w:t>
      </w:r>
      <w:r>
        <w:rPr>
          <w:rFonts w:ascii="Verdana" w:hAnsi="Verdana"/>
          <w:sz w:val="20"/>
          <w:lang w:val="es-ES_tradnl"/>
        </w:rPr>
        <w:tab/>
        <w:t xml:space="preserve">De los argumentos de las partes se desprende que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debe aclarar si la obligación reparatoria del Estado, en los términos de la sentencia de 6 de febrero de 2001, c</w:t>
      </w:r>
      <w:r>
        <w:rPr>
          <w:rFonts w:ascii="Verdana" w:hAnsi="Verdana"/>
          <w:sz w:val="20"/>
          <w:lang w:val="es-ES_tradnl"/>
        </w:rPr>
        <w:t xml:space="preserve">omprende el daño material derivado de la violación de los derechos del señor Ivcher. </w:t>
      </w:r>
    </w:p>
    <w:p w:rsidR="00000000" w:rsidRDefault="00D8082A">
      <w:pPr>
        <w:jc w:val="both"/>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18.</w:t>
      </w:r>
      <w:r>
        <w:rPr>
          <w:rFonts w:ascii="Verdana" w:hAnsi="Verdana"/>
          <w:sz w:val="20"/>
          <w:lang w:val="es-ES_tradnl"/>
        </w:rPr>
        <w:tab/>
        <w:t xml:space="preserve">El artículo 63.1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prescribe:</w:t>
      </w:r>
    </w:p>
    <w:p w:rsidR="00000000" w:rsidRDefault="00D8082A">
      <w:pPr>
        <w:jc w:val="both"/>
        <w:rPr>
          <w:rFonts w:ascii="Verdana" w:hAnsi="Verdana"/>
          <w:sz w:val="20"/>
          <w:lang w:val="es-ES_tradnl"/>
        </w:rPr>
      </w:pPr>
    </w:p>
    <w:p w:rsidR="00000000" w:rsidRDefault="00D8082A">
      <w:pPr>
        <w:pStyle w:val="BlockText0"/>
      </w:pPr>
      <w:r>
        <w:t xml:space="preserve">Cuando decida que hubo violación de un derecho o libertad protegidos en esta Convención, </w:t>
      </w:r>
      <w:smartTag w:uri="urn:schemas-microsoft-com:office:smarttags" w:element="PersonName">
        <w:smartTagPr>
          <w:attr w:name="ProductID" w:val="la Corte"/>
        </w:smartTagPr>
        <w:r>
          <w:t>la Corte</w:t>
        </w:r>
      </w:smartTag>
      <w:r>
        <w:t xml:space="preserve"> dispondrá q</w:t>
      </w:r>
      <w:r>
        <w:t>ue se garantice al lesionado en el goce de su derecho o libertad conculcados.  Dispondrá asimismo, si ello fuera procedente, que se reparen las consecuencias de la medida o situación que ha configurado la vulneración de esos derechos y el pago de una justa</w:t>
      </w:r>
      <w:r>
        <w:t xml:space="preserve"> indemnización a la parte lesionada.</w:t>
      </w:r>
    </w:p>
    <w:p w:rsidR="00000000" w:rsidRDefault="00D8082A">
      <w:pPr>
        <w:ind w:right="-46"/>
        <w:jc w:val="both"/>
        <w:rPr>
          <w:rFonts w:ascii="Verdana" w:hAnsi="Verdana"/>
          <w:sz w:val="20"/>
          <w:lang w:val="es-ES_tradnl"/>
        </w:rPr>
      </w:pPr>
    </w:p>
    <w:p w:rsidR="00000000" w:rsidRDefault="00D8082A">
      <w:pPr>
        <w:ind w:right="-46"/>
        <w:jc w:val="both"/>
        <w:rPr>
          <w:rFonts w:ascii="Verdana" w:hAnsi="Verdana"/>
          <w:sz w:val="20"/>
          <w:lang w:val="es-ES_tradnl"/>
        </w:rPr>
      </w:pPr>
      <w:r>
        <w:rPr>
          <w:rFonts w:ascii="Verdana" w:hAnsi="Verdana"/>
          <w:sz w:val="20"/>
          <w:lang w:val="es-ES_tradnl"/>
        </w:rPr>
        <w:t>19.</w:t>
      </w:r>
      <w:r>
        <w:rPr>
          <w:rFonts w:ascii="Verdana" w:hAnsi="Verdana"/>
          <w:sz w:val="20"/>
          <w:lang w:val="es-ES_tradnl"/>
        </w:rPr>
        <w:tab/>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ha manifestado anteriormente que </w:t>
      </w:r>
    </w:p>
    <w:p w:rsidR="00000000" w:rsidRDefault="00D8082A">
      <w:pPr>
        <w:ind w:right="-46"/>
        <w:jc w:val="both"/>
        <w:rPr>
          <w:rFonts w:ascii="Verdana" w:hAnsi="Verdana"/>
          <w:sz w:val="20"/>
          <w:lang w:val="es-ES_tradnl"/>
        </w:rPr>
      </w:pPr>
    </w:p>
    <w:p w:rsidR="00000000" w:rsidRDefault="00D8082A">
      <w:pPr>
        <w:ind w:left="720" w:right="720"/>
        <w:jc w:val="both"/>
        <w:rPr>
          <w:rFonts w:ascii="Verdana" w:hAnsi="Verdana"/>
          <w:color w:val="000000"/>
          <w:sz w:val="18"/>
          <w:lang w:val="es-ES_tradnl"/>
        </w:rPr>
      </w:pPr>
      <w:r>
        <w:rPr>
          <w:rFonts w:ascii="Verdana" w:hAnsi="Verdana"/>
          <w:color w:val="000000"/>
          <w:sz w:val="18"/>
          <w:lang w:val="es-ES_tradnl"/>
        </w:rPr>
        <w:t xml:space="preserve">[la] demanda de interpretación de una sentencia no debe utilizarse como un medio de impugnación sino únicamente debe tener como objeto desentrañar el sentido de un fallo </w:t>
      </w:r>
      <w:r>
        <w:rPr>
          <w:rFonts w:ascii="Verdana" w:hAnsi="Verdana"/>
          <w:color w:val="000000"/>
          <w:sz w:val="18"/>
          <w:lang w:val="es-ES_tradnl"/>
        </w:rPr>
        <w:t>cuando una de las partes sostiene que el texto de sus puntos resolutivos o de sus consideraciones carece de claridad o precisión, siempre y cuando esas consideraciones incidan en dicha parte resolutiva y, por tanto, no se puede pedir la modificación o anul</w:t>
      </w:r>
      <w:r>
        <w:rPr>
          <w:rFonts w:ascii="Verdana" w:hAnsi="Verdana"/>
          <w:color w:val="000000"/>
          <w:sz w:val="18"/>
          <w:lang w:val="es-ES_tradnl"/>
        </w:rPr>
        <w:t>ación de la sentencia respectiva a través de una demanda de interpretación</w:t>
      </w:r>
      <w:r>
        <w:rPr>
          <w:rStyle w:val="Refdenotaalpie"/>
          <w:rFonts w:ascii="Verdana" w:hAnsi="Verdana"/>
          <w:color w:val="000000"/>
          <w:sz w:val="18"/>
          <w:lang w:val="es-ES_tradnl"/>
        </w:rPr>
        <w:footnoteReference w:id="6"/>
      </w:r>
      <w:r>
        <w:rPr>
          <w:rFonts w:ascii="Verdana" w:hAnsi="Verdana"/>
          <w:color w:val="000000"/>
          <w:sz w:val="18"/>
          <w:lang w:val="es-ES_tradnl"/>
        </w:rPr>
        <w:t xml:space="preserve">. </w:t>
      </w:r>
    </w:p>
    <w:p w:rsidR="00000000" w:rsidRDefault="00D8082A">
      <w:pPr>
        <w:ind w:left="720" w:right="720"/>
        <w:jc w:val="both"/>
        <w:rPr>
          <w:rFonts w:ascii="Verdana" w:hAnsi="Verdana"/>
          <w:sz w:val="20"/>
          <w:lang w:val="es-ES_tradnl"/>
        </w:rPr>
      </w:pPr>
    </w:p>
    <w:p w:rsidR="00000000" w:rsidRDefault="00D8082A">
      <w:pPr>
        <w:ind w:right="43"/>
        <w:jc w:val="both"/>
        <w:rPr>
          <w:rFonts w:ascii="Verdana" w:hAnsi="Verdana"/>
          <w:sz w:val="20"/>
          <w:lang w:val="es-ES_tradnl"/>
        </w:rPr>
      </w:pPr>
      <w:r>
        <w:rPr>
          <w:rFonts w:ascii="Verdana" w:hAnsi="Verdana"/>
          <w:sz w:val="20"/>
          <w:lang w:val="es-ES_tradnl"/>
        </w:rPr>
        <w:lastRenderedPageBreak/>
        <w:t>20.</w:t>
      </w:r>
      <w:r>
        <w:rPr>
          <w:rFonts w:ascii="Verdana" w:hAnsi="Verdana"/>
          <w:sz w:val="20"/>
          <w:lang w:val="es-ES_tradnl"/>
        </w:rPr>
        <w:tab/>
        <w:t xml:space="preserve">En los puntos resolutivos pertinentes de la sentencia objeto de la presente interpretación,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decidió que</w:t>
      </w:r>
    </w:p>
    <w:p w:rsidR="00000000" w:rsidRDefault="00D8082A">
      <w:pPr>
        <w:ind w:left="720" w:right="720"/>
        <w:jc w:val="both"/>
        <w:rPr>
          <w:rFonts w:ascii="Verdana" w:hAnsi="Verdana"/>
          <w:sz w:val="18"/>
          <w:lang w:val="es-ES_tradnl"/>
        </w:rPr>
      </w:pPr>
    </w:p>
    <w:p w:rsidR="00000000" w:rsidRDefault="00D8082A">
      <w:pPr>
        <w:pStyle w:val="BlockText0"/>
      </w:pPr>
      <w:r>
        <w:t>7.</w:t>
      </w:r>
      <w:r>
        <w:tab/>
      </w:r>
      <w:r>
        <w:sym w:font="Symbol" w:char="F05B"/>
      </w:r>
      <w:r>
        <w:t>...</w:t>
      </w:r>
      <w:r>
        <w:sym w:font="Symbol" w:char="F05D"/>
      </w:r>
      <w:r>
        <w:t xml:space="preserve"> el Estado debe investigar los hechos que generaron</w:t>
      </w:r>
      <w:r>
        <w:t xml:space="preserve"> las violaciones establecidas en la presente Sentencia para identificar y sancionar a los responsables de las mismas.</w:t>
      </w:r>
    </w:p>
    <w:p w:rsidR="00000000" w:rsidRDefault="00D8082A">
      <w:pPr>
        <w:pStyle w:val="Textoindependiente1"/>
        <w:spacing w:line="240" w:lineRule="auto"/>
        <w:ind w:left="720" w:right="720"/>
        <w:rPr>
          <w:rFonts w:ascii="Verdana" w:hAnsi="Verdana"/>
          <w:sz w:val="18"/>
        </w:rPr>
      </w:pPr>
    </w:p>
    <w:p w:rsidR="00000000" w:rsidRDefault="00D8082A">
      <w:pPr>
        <w:pStyle w:val="Textoindependiente1"/>
        <w:spacing w:line="240" w:lineRule="auto"/>
        <w:ind w:left="720" w:right="720"/>
        <w:rPr>
          <w:rFonts w:ascii="Verdana" w:hAnsi="Verdana"/>
          <w:sz w:val="18"/>
        </w:rPr>
      </w:pPr>
      <w:r>
        <w:rPr>
          <w:rFonts w:ascii="Verdana" w:hAnsi="Verdana"/>
          <w:sz w:val="18"/>
        </w:rPr>
        <w:t>8.</w:t>
      </w:r>
      <w:r>
        <w:rPr>
          <w:rFonts w:ascii="Verdana" w:hAnsi="Verdana"/>
          <w:sz w:val="18"/>
        </w:rPr>
        <w:tab/>
      </w:r>
      <w:r>
        <w:rPr>
          <w:rFonts w:ascii="Verdana" w:hAnsi="Verdana"/>
          <w:sz w:val="18"/>
        </w:rPr>
        <w:sym w:font="Symbol" w:char="F05B"/>
      </w:r>
      <w:r>
        <w:rPr>
          <w:rFonts w:ascii="Verdana" w:hAnsi="Verdana"/>
          <w:sz w:val="18"/>
        </w:rPr>
        <w:t>...</w:t>
      </w:r>
      <w:r>
        <w:rPr>
          <w:rFonts w:ascii="Verdana" w:hAnsi="Verdana"/>
          <w:sz w:val="18"/>
        </w:rPr>
        <w:sym w:font="Symbol" w:char="F05D"/>
      </w:r>
      <w:r>
        <w:rPr>
          <w:rFonts w:ascii="Verdana" w:hAnsi="Verdana"/>
          <w:sz w:val="18"/>
        </w:rPr>
        <w:t xml:space="preserve"> el Estado debe facilitar las condiciones para que Baruch Ivcher Bronstein pueda realizar las gestiones necesarias para recuperar</w:t>
      </w:r>
      <w:r>
        <w:rPr>
          <w:rFonts w:ascii="Verdana" w:hAnsi="Verdana"/>
          <w:sz w:val="18"/>
        </w:rPr>
        <w:t xml:space="preserve"> el uso y goce de sus derechos como accionista mayoritario de </w:t>
      </w:r>
      <w:smartTag w:uri="urn:schemas-microsoft-com:office:smarttags" w:element="PersonName">
        <w:smartTagPr>
          <w:attr w:name="ProductID" w:val="la Compa￱￭a Latinoamericana"/>
        </w:smartTagPr>
        <w:r>
          <w:rPr>
            <w:rFonts w:ascii="Verdana" w:hAnsi="Verdana"/>
            <w:sz w:val="18"/>
          </w:rPr>
          <w:t>la Compañía Latinoamericana</w:t>
        </w:r>
      </w:smartTag>
      <w:r>
        <w:rPr>
          <w:rFonts w:ascii="Verdana" w:hAnsi="Verdana"/>
          <w:sz w:val="18"/>
        </w:rPr>
        <w:t xml:space="preserve"> de Radiodifusión S.A., como lo era hasta el 1 de agosto de 1997, en los</w:t>
      </w:r>
      <w:r>
        <w:rPr>
          <w:rFonts w:ascii="Verdana" w:hAnsi="Verdana"/>
          <w:sz w:val="20"/>
        </w:rPr>
        <w:t xml:space="preserve"> </w:t>
      </w:r>
      <w:r>
        <w:rPr>
          <w:rFonts w:ascii="Verdana" w:hAnsi="Verdana"/>
          <w:sz w:val="18"/>
        </w:rPr>
        <w:t>términos de la legislación interna.  En cuanto al resarcimiento relativo a los dividendos y la</w:t>
      </w:r>
      <w:r>
        <w:rPr>
          <w:rFonts w:ascii="Verdana" w:hAnsi="Verdana"/>
          <w:sz w:val="18"/>
        </w:rPr>
        <w:t>s demás percepciones que le hubieran correspondido como accionista mayoritario y funcionario de dicha Compañía, deberá igualmente aplicarse el derecho interno.  Para todo ello, las peticiones respectivas deben someterse a las autoridades nacionales compete</w:t>
      </w:r>
      <w:r>
        <w:rPr>
          <w:rFonts w:ascii="Verdana" w:hAnsi="Verdana"/>
          <w:sz w:val="18"/>
        </w:rPr>
        <w:t xml:space="preserve">ntes. </w:t>
      </w:r>
    </w:p>
    <w:p w:rsidR="00000000" w:rsidRDefault="00D8082A">
      <w:pPr>
        <w:pStyle w:val="Textoindependiente1"/>
        <w:spacing w:line="240" w:lineRule="auto"/>
        <w:ind w:left="720" w:right="720"/>
        <w:rPr>
          <w:rFonts w:ascii="Verdana" w:hAnsi="Verdana"/>
          <w:sz w:val="18"/>
        </w:rPr>
      </w:pPr>
    </w:p>
    <w:p w:rsidR="00000000" w:rsidRDefault="00D8082A">
      <w:pPr>
        <w:ind w:left="720" w:right="720"/>
        <w:jc w:val="both"/>
        <w:rPr>
          <w:rFonts w:ascii="Verdana" w:hAnsi="Verdana"/>
          <w:sz w:val="18"/>
          <w:lang w:val="es-ES_tradnl"/>
        </w:rPr>
      </w:pPr>
      <w:r>
        <w:rPr>
          <w:rFonts w:ascii="Verdana" w:hAnsi="Verdana"/>
          <w:sz w:val="18"/>
          <w:lang w:val="es-ES_tradnl"/>
        </w:rPr>
        <w:t>9.</w:t>
      </w:r>
      <w:r>
        <w:rPr>
          <w:rFonts w:ascii="Verdana" w:hAnsi="Verdana"/>
          <w:sz w:val="18"/>
          <w:lang w:val="es-ES_tradnl"/>
        </w:rPr>
        <w:tab/>
      </w:r>
      <w:r>
        <w:rPr>
          <w:rFonts w:ascii="Verdana" w:hAnsi="Verdana"/>
          <w:sz w:val="18"/>
          <w:lang w:val="es-ES_tradnl"/>
        </w:rPr>
        <w:sym w:font="Symbol" w:char="F05B"/>
      </w:r>
      <w:r>
        <w:rPr>
          <w:rFonts w:ascii="Verdana" w:hAnsi="Verdana"/>
          <w:sz w:val="18"/>
          <w:lang w:val="es-ES_tradnl"/>
        </w:rPr>
        <w:t>...</w:t>
      </w:r>
      <w:r>
        <w:rPr>
          <w:rFonts w:ascii="Verdana" w:hAnsi="Verdana"/>
          <w:sz w:val="18"/>
          <w:lang w:val="es-ES_tradnl"/>
        </w:rPr>
        <w:sym w:font="Symbol" w:char="F05D"/>
      </w:r>
      <w:r>
        <w:rPr>
          <w:rFonts w:ascii="Verdana" w:hAnsi="Verdana"/>
          <w:sz w:val="18"/>
          <w:lang w:val="es-ES_tradnl"/>
        </w:rPr>
        <w:t xml:space="preserve"> el Estado debe pagar a Baruch Ivcher Bronstein una indemnización de US$20.000,00 (veinte mil</w:t>
      </w:r>
      <w:r>
        <w:rPr>
          <w:rFonts w:ascii="Verdana" w:hAnsi="Verdana"/>
          <w:b/>
          <w:sz w:val="18"/>
          <w:lang w:val="es-ES_tradnl"/>
        </w:rPr>
        <w:t xml:space="preserve"> </w:t>
      </w:r>
      <w:r>
        <w:rPr>
          <w:rFonts w:ascii="Verdana" w:hAnsi="Verdana"/>
          <w:sz w:val="18"/>
          <w:lang w:val="es-ES_tradnl"/>
        </w:rPr>
        <w:t>dólares de los Estados Unidos de América) o su equivalente en moneda peruana al momento de efectuar el pago por concepto de daño moral.</w:t>
      </w:r>
    </w:p>
    <w:p w:rsidR="00000000" w:rsidRDefault="00D8082A">
      <w:pPr>
        <w:ind w:left="720" w:right="720"/>
        <w:jc w:val="both"/>
        <w:rPr>
          <w:rFonts w:ascii="Verdana" w:hAnsi="Verdana"/>
          <w:sz w:val="18"/>
          <w:lang w:val="es-ES_tradnl"/>
        </w:rPr>
      </w:pPr>
    </w:p>
    <w:p w:rsidR="00000000" w:rsidRDefault="00D8082A">
      <w:pPr>
        <w:pStyle w:val="BlockText0"/>
      </w:pPr>
      <w:r>
        <w:t>10.</w:t>
      </w:r>
      <w:r>
        <w:tab/>
      </w:r>
      <w:r>
        <w:sym w:font="Symbol" w:char="F05B"/>
      </w:r>
      <w:r>
        <w:t>...</w:t>
      </w:r>
      <w:r>
        <w:sym w:font="Symbol" w:char="F05D"/>
      </w:r>
      <w:r>
        <w:t xml:space="preserve"> el Estado debe pagar a Baruch Ivcher Bronstein, como reintegro de las costas y gastos generados en la jurisdicción interna y en la jurisdicción internacional, la suma de US$50.000,00 (cincuenta mil dólares de los Estados Unidos de América) o su equivalent</w:t>
      </w:r>
      <w:r>
        <w:t>e en moneda peruana al momento de efectuar el pago.</w:t>
      </w:r>
      <w:r>
        <w:tab/>
      </w:r>
    </w:p>
    <w:p w:rsidR="00000000" w:rsidRDefault="00D8082A">
      <w:pPr>
        <w:ind w:right="43"/>
        <w:jc w:val="both"/>
        <w:rPr>
          <w:rFonts w:ascii="Verdana" w:hAnsi="Verdana"/>
          <w:sz w:val="20"/>
          <w:lang w:val="es-ES_tradnl"/>
        </w:rPr>
      </w:pPr>
    </w:p>
    <w:p w:rsidR="00000000" w:rsidRDefault="00D8082A">
      <w:pPr>
        <w:ind w:right="43"/>
        <w:jc w:val="both"/>
        <w:rPr>
          <w:rFonts w:ascii="Verdana" w:hAnsi="Verdana"/>
          <w:sz w:val="20"/>
          <w:lang w:val="es-ES_tradnl"/>
        </w:rPr>
      </w:pPr>
      <w:r>
        <w:rPr>
          <w:rFonts w:ascii="Verdana" w:hAnsi="Verdana"/>
          <w:sz w:val="20"/>
          <w:lang w:val="es-ES_tradnl"/>
        </w:rPr>
        <w:t>21.</w:t>
      </w:r>
      <w:r>
        <w:rPr>
          <w:rFonts w:ascii="Verdana" w:hAnsi="Verdana"/>
          <w:sz w:val="20"/>
          <w:lang w:val="es-ES_tradnl"/>
        </w:rPr>
        <w:tab/>
        <w:t>Como puede observarse, la sentencia de fondo contiene determinaciones precisas a propósito de las diversas reparaciones a cargo del Estado peruano:</w:t>
      </w:r>
    </w:p>
    <w:p w:rsidR="00000000" w:rsidRDefault="00D8082A">
      <w:pPr>
        <w:ind w:right="43"/>
        <w:jc w:val="both"/>
        <w:rPr>
          <w:rFonts w:ascii="Verdana" w:hAnsi="Verdana"/>
          <w:sz w:val="20"/>
          <w:lang w:val="es-ES_tradnl"/>
        </w:rPr>
      </w:pPr>
    </w:p>
    <w:p w:rsidR="00000000" w:rsidRDefault="00D8082A">
      <w:pPr>
        <w:numPr>
          <w:ilvl w:val="0"/>
          <w:numId w:val="2"/>
        </w:numPr>
        <w:tabs>
          <w:tab w:val="left" w:pos="1440"/>
        </w:tabs>
        <w:ind w:left="1440" w:right="43"/>
        <w:jc w:val="both"/>
        <w:rPr>
          <w:rFonts w:ascii="Verdana" w:hAnsi="Verdana"/>
          <w:sz w:val="20"/>
          <w:lang w:val="es-ES_tradnl"/>
        </w:rPr>
      </w:pPr>
      <w:r>
        <w:rPr>
          <w:rFonts w:ascii="Verdana" w:hAnsi="Verdana"/>
          <w:sz w:val="20"/>
          <w:lang w:val="es-ES_tradnl"/>
        </w:rPr>
        <w:t>En lo que atañe a daño moral y gastos y costas pr</w:t>
      </w:r>
      <w:r>
        <w:rPr>
          <w:rFonts w:ascii="Verdana" w:hAnsi="Verdana"/>
          <w:sz w:val="20"/>
          <w:lang w:val="es-ES_tradnl"/>
        </w:rPr>
        <w:t>ocesales, ordena pagos específicos, cuantificados en dólares americanos o su equivalente en moneda peruana;</w:t>
      </w:r>
    </w:p>
    <w:p w:rsidR="00000000" w:rsidRDefault="00D8082A">
      <w:pPr>
        <w:numPr>
          <w:ilvl w:val="12"/>
          <w:numId w:val="0"/>
        </w:numPr>
        <w:tabs>
          <w:tab w:val="left" w:pos="1440"/>
        </w:tabs>
        <w:ind w:left="1440" w:right="43" w:hanging="720"/>
        <w:jc w:val="both"/>
        <w:rPr>
          <w:rFonts w:ascii="Verdana" w:hAnsi="Verdana"/>
          <w:sz w:val="20"/>
          <w:lang w:val="es-ES_tradnl"/>
        </w:rPr>
      </w:pPr>
    </w:p>
    <w:p w:rsidR="00000000" w:rsidRDefault="00D8082A">
      <w:pPr>
        <w:numPr>
          <w:ilvl w:val="0"/>
          <w:numId w:val="2"/>
        </w:numPr>
        <w:tabs>
          <w:tab w:val="left" w:pos="1440"/>
        </w:tabs>
        <w:ind w:left="1440" w:right="43"/>
        <w:jc w:val="both"/>
        <w:rPr>
          <w:rFonts w:ascii="Verdana" w:hAnsi="Verdana"/>
          <w:sz w:val="20"/>
          <w:lang w:val="es-ES_tradnl"/>
        </w:rPr>
      </w:pPr>
      <w:r>
        <w:rPr>
          <w:rFonts w:ascii="Verdana" w:hAnsi="Verdana"/>
          <w:sz w:val="20"/>
          <w:lang w:val="es-ES_tradnl"/>
        </w:rPr>
        <w:t>En lo que respecta a identificación y sanción de responsables, dispone que el Estado investigue los hechos violatorios de los derechos del señor Iv</w:t>
      </w:r>
      <w:r>
        <w:rPr>
          <w:rFonts w:ascii="Verdana" w:hAnsi="Verdana"/>
          <w:sz w:val="20"/>
          <w:lang w:val="es-ES_tradnl"/>
        </w:rPr>
        <w:t>cher, con el propósito de identificar y castigar a los responsables de aquéllos;</w:t>
      </w:r>
    </w:p>
    <w:p w:rsidR="00000000" w:rsidRDefault="00D8082A">
      <w:pPr>
        <w:numPr>
          <w:ilvl w:val="12"/>
          <w:numId w:val="0"/>
        </w:numPr>
        <w:tabs>
          <w:tab w:val="left" w:pos="1440"/>
        </w:tabs>
        <w:ind w:left="1440" w:right="43" w:hanging="720"/>
        <w:jc w:val="both"/>
        <w:rPr>
          <w:rFonts w:ascii="Verdana" w:hAnsi="Verdana"/>
          <w:sz w:val="20"/>
          <w:lang w:val="es-ES_tradnl"/>
        </w:rPr>
      </w:pPr>
    </w:p>
    <w:p w:rsidR="00000000" w:rsidRDefault="00D8082A">
      <w:pPr>
        <w:numPr>
          <w:ilvl w:val="0"/>
          <w:numId w:val="2"/>
        </w:numPr>
        <w:tabs>
          <w:tab w:val="left" w:pos="1440"/>
        </w:tabs>
        <w:ind w:left="1440" w:right="43"/>
        <w:jc w:val="both"/>
        <w:rPr>
          <w:rFonts w:ascii="Verdana" w:hAnsi="Verdana"/>
          <w:sz w:val="20"/>
          <w:lang w:val="es-ES_tradnl"/>
        </w:rPr>
      </w:pPr>
      <w:r>
        <w:rPr>
          <w:rFonts w:ascii="Verdana" w:hAnsi="Verdana"/>
          <w:sz w:val="20"/>
          <w:lang w:val="es-ES_tradnl"/>
        </w:rPr>
        <w:t>En cuanto a la restitución de las cosas, en la medida de lo posible, al estado en que se encontraban antes de las violaciones cometidas, resuelve que el Estado facilite las c</w:t>
      </w:r>
      <w:r>
        <w:rPr>
          <w:rFonts w:ascii="Verdana" w:hAnsi="Verdana"/>
          <w:sz w:val="20"/>
          <w:lang w:val="es-ES_tradnl"/>
        </w:rPr>
        <w:t xml:space="preserve">ondiciones para que el interesado realice las gestiones conducentes a recuperar sus derechos como accionista mayoritario de </w:t>
      </w:r>
      <w:smartTag w:uri="urn:schemas-microsoft-com:office:smarttags" w:element="PersonName">
        <w:smartTagPr>
          <w:attr w:name="ProductID" w:val="la Compa￱￭a Latinoamericana"/>
        </w:smartTagPr>
        <w:r>
          <w:rPr>
            <w:rFonts w:ascii="Verdana" w:hAnsi="Verdana"/>
            <w:sz w:val="20"/>
            <w:lang w:val="es-ES_tradnl"/>
          </w:rPr>
          <w:t>la Compañía Latinoamericana</w:t>
        </w:r>
      </w:smartTag>
      <w:r>
        <w:rPr>
          <w:rFonts w:ascii="Verdana" w:hAnsi="Verdana"/>
          <w:sz w:val="20"/>
          <w:lang w:val="es-ES_tradnl"/>
        </w:rPr>
        <w:t xml:space="preserve"> de Radiodifusión, S.A, como lo era hasta el 1 de agosto de 1997, en los términos que prevenga la legisla</w:t>
      </w:r>
      <w:r>
        <w:rPr>
          <w:rFonts w:ascii="Verdana" w:hAnsi="Verdana"/>
          <w:sz w:val="20"/>
          <w:lang w:val="es-ES_tradnl"/>
        </w:rPr>
        <w:t>ción peruana; y</w:t>
      </w:r>
    </w:p>
    <w:p w:rsidR="00000000" w:rsidRDefault="00D8082A">
      <w:pPr>
        <w:numPr>
          <w:ilvl w:val="12"/>
          <w:numId w:val="0"/>
        </w:numPr>
        <w:tabs>
          <w:tab w:val="left" w:pos="1440"/>
        </w:tabs>
        <w:ind w:left="1440" w:right="43" w:hanging="720"/>
        <w:jc w:val="both"/>
        <w:rPr>
          <w:rFonts w:ascii="Verdana" w:hAnsi="Verdana"/>
          <w:sz w:val="20"/>
          <w:lang w:val="es-ES_tradnl"/>
        </w:rPr>
      </w:pPr>
    </w:p>
    <w:p w:rsidR="00000000" w:rsidRDefault="00D8082A">
      <w:pPr>
        <w:numPr>
          <w:ilvl w:val="0"/>
          <w:numId w:val="2"/>
        </w:numPr>
        <w:tabs>
          <w:tab w:val="left" w:pos="1440"/>
        </w:tabs>
        <w:ind w:left="1440" w:right="43"/>
        <w:jc w:val="both"/>
        <w:rPr>
          <w:rFonts w:ascii="Verdana" w:hAnsi="Verdana"/>
          <w:sz w:val="20"/>
          <w:lang w:val="es-ES_tradnl"/>
        </w:rPr>
      </w:pPr>
      <w:r>
        <w:rPr>
          <w:rFonts w:ascii="Verdana" w:hAnsi="Verdana"/>
          <w:sz w:val="20"/>
          <w:lang w:val="es-ES_tradnl"/>
        </w:rPr>
        <w:t>Por lo que hace a percepciones de las que se vio privado el señor Ivcher como consecuencia de la violación de sus derechos como accionista y funcionario de la citada empresa, entre ellas los dividendos correspondientes a la participación a</w:t>
      </w:r>
      <w:r>
        <w:rPr>
          <w:rFonts w:ascii="Verdana" w:hAnsi="Verdana"/>
          <w:sz w:val="20"/>
          <w:lang w:val="es-ES_tradnl"/>
        </w:rPr>
        <w:t>ccionaria, determina que se recurra,</w:t>
      </w:r>
      <w:r>
        <w:rPr>
          <w:rFonts w:ascii="Verdana" w:hAnsi="Verdana"/>
          <w:b/>
          <w:sz w:val="20"/>
          <w:lang w:val="es-ES_tradnl"/>
        </w:rPr>
        <w:t xml:space="preserve"> </w:t>
      </w:r>
      <w:r>
        <w:rPr>
          <w:rFonts w:ascii="Verdana" w:hAnsi="Verdana"/>
          <w:sz w:val="20"/>
          <w:lang w:val="es-ES_tradnl"/>
        </w:rPr>
        <w:t>asimismo, a la legislación nacional aplicable a esta materia.</w:t>
      </w:r>
    </w:p>
    <w:p w:rsidR="00000000" w:rsidRDefault="00D8082A">
      <w:pPr>
        <w:ind w:right="43"/>
        <w:jc w:val="both"/>
        <w:rPr>
          <w:rFonts w:ascii="Verdana" w:hAnsi="Verdana"/>
          <w:sz w:val="20"/>
          <w:lang w:val="es-ES_tradnl"/>
        </w:rPr>
      </w:pPr>
    </w:p>
    <w:p w:rsidR="00000000" w:rsidRDefault="00D8082A">
      <w:pPr>
        <w:ind w:right="43"/>
        <w:jc w:val="both"/>
        <w:rPr>
          <w:rFonts w:ascii="Verdana" w:hAnsi="Verdana"/>
          <w:sz w:val="20"/>
          <w:lang w:val="es-ES_tradnl"/>
        </w:rPr>
      </w:pPr>
      <w:r>
        <w:rPr>
          <w:rFonts w:ascii="Verdana" w:hAnsi="Verdana"/>
          <w:sz w:val="20"/>
          <w:lang w:val="es-ES_tradnl"/>
        </w:rPr>
        <w:lastRenderedPageBreak/>
        <w:t>La propia Corte señala en su sentencia que para dar cumplimiento a lo establecido en los puntos que en este párrafo figuran como c) y d), las peticiones res</w:t>
      </w:r>
      <w:r>
        <w:rPr>
          <w:rFonts w:ascii="Verdana" w:hAnsi="Verdana"/>
          <w:sz w:val="20"/>
          <w:lang w:val="es-ES_tradnl"/>
        </w:rPr>
        <w:t xml:space="preserve">pectivas deben formularse a las autoridades nacionales competentes.   En efecto, son éstas las que deberán resolver lo que sea pertinente, bajo las normas peruanas correspondientes.  </w:t>
      </w:r>
    </w:p>
    <w:p w:rsidR="00000000" w:rsidRDefault="00D8082A">
      <w:pPr>
        <w:ind w:right="43"/>
        <w:jc w:val="both"/>
        <w:rPr>
          <w:rFonts w:ascii="Verdana" w:hAnsi="Verdana"/>
          <w:sz w:val="20"/>
          <w:lang w:val="es-ES_tradnl"/>
        </w:rPr>
      </w:pPr>
    </w:p>
    <w:p w:rsidR="00000000" w:rsidRDefault="00D8082A">
      <w:pPr>
        <w:ind w:right="43"/>
        <w:jc w:val="both"/>
        <w:rPr>
          <w:rFonts w:ascii="Verdana" w:hAnsi="Verdana"/>
          <w:sz w:val="20"/>
          <w:lang w:val="es-ES_tradnl"/>
        </w:rPr>
      </w:pPr>
      <w:r>
        <w:rPr>
          <w:rFonts w:ascii="Verdana" w:hAnsi="Verdana"/>
          <w:sz w:val="20"/>
          <w:lang w:val="es-ES_tradnl"/>
        </w:rPr>
        <w:t>Así, han quedado atendidas expresamente todas las reparaciones aplicabl</w:t>
      </w:r>
      <w:r>
        <w:rPr>
          <w:rFonts w:ascii="Verdana" w:hAnsi="Verdana"/>
          <w:sz w:val="20"/>
          <w:lang w:val="es-ES_tradnl"/>
        </w:rPr>
        <w:t>es al presente caso y se ha establecido cuáles son las gestiones que deberán ser promovidas ante el Estado peruano para que éste, en cumplimiento de sus propias leyes, facilite la satisfacción de las pretensiones del señor Ivcher en lo que concierne a daño</w:t>
      </w:r>
      <w:r>
        <w:rPr>
          <w:rFonts w:ascii="Verdana" w:hAnsi="Verdana"/>
          <w:sz w:val="20"/>
          <w:lang w:val="es-ES_tradnl"/>
        </w:rPr>
        <w:t>s materiales.  En este sentido existe una obligación precisa del Estado peruano</w:t>
      </w:r>
      <w:proofErr w:type="gramStart"/>
      <w:r>
        <w:rPr>
          <w:rFonts w:ascii="Verdana" w:hAnsi="Verdana"/>
          <w:sz w:val="20"/>
          <w:lang w:val="es-ES_tradnl"/>
        </w:rPr>
        <w:t>:  recibir</w:t>
      </w:r>
      <w:proofErr w:type="gramEnd"/>
      <w:r>
        <w:rPr>
          <w:rFonts w:ascii="Verdana" w:hAnsi="Verdana"/>
          <w:sz w:val="20"/>
          <w:lang w:val="es-ES_tradnl"/>
        </w:rPr>
        <w:t xml:space="preserve">, atender y resolver esas reclamaciones como legalmente corresponda.  </w:t>
      </w:r>
    </w:p>
    <w:p w:rsidR="00000000" w:rsidRDefault="00D8082A">
      <w:pPr>
        <w:jc w:val="center"/>
        <w:rPr>
          <w:rFonts w:ascii="Verdana" w:hAnsi="Verdana"/>
          <w:b/>
          <w:sz w:val="20"/>
          <w:lang w:val="es-ES_tradnl"/>
        </w:rPr>
      </w:pPr>
    </w:p>
    <w:p w:rsidR="00000000" w:rsidRDefault="00D8082A">
      <w:pPr>
        <w:jc w:val="center"/>
        <w:rPr>
          <w:rFonts w:ascii="Verdana" w:hAnsi="Verdana"/>
          <w:b/>
          <w:sz w:val="20"/>
          <w:lang w:val="es-ES_tradnl"/>
        </w:rPr>
      </w:pPr>
    </w:p>
    <w:p w:rsidR="00000000" w:rsidRDefault="00D8082A">
      <w:pPr>
        <w:jc w:val="center"/>
        <w:rPr>
          <w:rFonts w:ascii="Verdana" w:hAnsi="Verdana"/>
          <w:b/>
          <w:sz w:val="20"/>
          <w:lang w:val="es-ES_tradnl"/>
        </w:rPr>
      </w:pPr>
      <w:r>
        <w:rPr>
          <w:rFonts w:ascii="Verdana" w:hAnsi="Verdana"/>
          <w:b/>
          <w:sz w:val="20"/>
          <w:lang w:val="es-ES_tradnl"/>
        </w:rPr>
        <w:t>VI</w:t>
      </w:r>
    </w:p>
    <w:p w:rsidR="00000000" w:rsidRDefault="00D8082A">
      <w:pPr>
        <w:jc w:val="both"/>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22.</w:t>
      </w:r>
      <w:r>
        <w:rPr>
          <w:rFonts w:ascii="Verdana" w:hAnsi="Verdana"/>
          <w:sz w:val="20"/>
          <w:lang w:val="es-ES_tradnl"/>
        </w:rPr>
        <w:tab/>
        <w:t>Por las razones expuestas,</w:t>
      </w:r>
    </w:p>
    <w:p w:rsidR="00000000" w:rsidRDefault="00D8082A">
      <w:pPr>
        <w:jc w:val="both"/>
        <w:rPr>
          <w:rFonts w:ascii="Verdana" w:hAnsi="Verdana"/>
          <w:sz w:val="20"/>
          <w:lang w:val="es-ES_tradnl"/>
        </w:rPr>
      </w:pPr>
    </w:p>
    <w:p w:rsidR="00000000" w:rsidRDefault="00D8082A">
      <w:pPr>
        <w:jc w:val="both"/>
        <w:rPr>
          <w:rFonts w:ascii="Verdana" w:hAnsi="Verdana"/>
          <w:b/>
          <w:sz w:val="20"/>
          <w:lang w:val="es-ES_tradnl"/>
        </w:rPr>
      </w:pPr>
      <w:r>
        <w:rPr>
          <w:rFonts w:ascii="Verdana" w:hAnsi="Verdana"/>
          <w:b/>
          <w:smallCaps/>
          <w:sz w:val="20"/>
          <w:lang w:val="es-ES_tradnl"/>
        </w:rPr>
        <w:tab/>
      </w:r>
      <w:smartTag w:uri="urn:schemas-microsoft-com:office:smarttags" w:element="PersonName">
        <w:smartTagPr>
          <w:attr w:name="ProductID" w:val="la Corte Interamericana"/>
        </w:smartTagPr>
        <w:r>
          <w:rPr>
            <w:rFonts w:ascii="Verdana" w:hAnsi="Verdana"/>
            <w:b/>
            <w:sz w:val="20"/>
            <w:lang w:val="es-ES_tradnl"/>
          </w:rPr>
          <w:t>LA CORTE INTERAMERICANA</w:t>
        </w:r>
      </w:smartTag>
      <w:r>
        <w:rPr>
          <w:rFonts w:ascii="Verdana" w:hAnsi="Verdana"/>
          <w:b/>
          <w:sz w:val="20"/>
          <w:lang w:val="es-ES_tradnl"/>
        </w:rPr>
        <w:t xml:space="preserve"> DE DERECHOS HUMANOS</w:t>
      </w:r>
    </w:p>
    <w:p w:rsidR="00000000" w:rsidRDefault="00D8082A">
      <w:pPr>
        <w:jc w:val="both"/>
        <w:rPr>
          <w:rFonts w:ascii="Verdana" w:hAnsi="Verdana"/>
          <w:b/>
          <w:smallCaps/>
          <w:sz w:val="20"/>
          <w:lang w:val="es-ES_tradnl"/>
        </w:rPr>
      </w:pPr>
    </w:p>
    <w:p w:rsidR="00000000" w:rsidRDefault="00D8082A">
      <w:pPr>
        <w:jc w:val="both"/>
        <w:rPr>
          <w:rFonts w:ascii="Verdana" w:hAnsi="Verdana"/>
          <w:smallCaps/>
          <w:sz w:val="20"/>
          <w:lang w:val="es-ES_tradnl"/>
        </w:rPr>
      </w:pPr>
      <w:proofErr w:type="gramStart"/>
      <w:r>
        <w:rPr>
          <w:rFonts w:ascii="Verdana" w:hAnsi="Verdana"/>
          <w:sz w:val="20"/>
          <w:lang w:val="es-ES_tradnl"/>
        </w:rPr>
        <w:t>de</w:t>
      </w:r>
      <w:proofErr w:type="gramEnd"/>
      <w:r>
        <w:rPr>
          <w:rFonts w:ascii="Verdana" w:hAnsi="Verdana"/>
          <w:sz w:val="20"/>
          <w:lang w:val="es-ES_tradnl"/>
        </w:rPr>
        <w:t xml:space="preserve"> conformid</w:t>
      </w:r>
      <w:r>
        <w:rPr>
          <w:rFonts w:ascii="Verdana" w:hAnsi="Verdana"/>
          <w:sz w:val="20"/>
          <w:lang w:val="es-ES_tradnl"/>
        </w:rPr>
        <w:t xml:space="preserve">ad con el artículo 67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y el artículo 58 del Reglamento</w:t>
      </w:r>
    </w:p>
    <w:p w:rsidR="00000000" w:rsidRDefault="00D8082A">
      <w:pPr>
        <w:jc w:val="both"/>
        <w:rPr>
          <w:rFonts w:ascii="Verdana" w:hAnsi="Verdana"/>
          <w:b/>
          <w:smallCaps/>
          <w:sz w:val="20"/>
          <w:lang w:val="es-ES_tradnl"/>
        </w:rPr>
      </w:pPr>
    </w:p>
    <w:p w:rsidR="00000000" w:rsidRDefault="00D8082A">
      <w:pPr>
        <w:jc w:val="both"/>
        <w:rPr>
          <w:rFonts w:ascii="Verdana" w:hAnsi="Verdana"/>
          <w:b/>
          <w:caps/>
          <w:sz w:val="20"/>
          <w:lang w:val="es-ES_tradnl"/>
        </w:rPr>
      </w:pPr>
      <w:r>
        <w:rPr>
          <w:rFonts w:ascii="Verdana" w:hAnsi="Verdana"/>
          <w:b/>
          <w:smallCaps/>
          <w:sz w:val="20"/>
          <w:lang w:val="es-ES_tradnl"/>
        </w:rPr>
        <w:tab/>
      </w:r>
      <w:r>
        <w:rPr>
          <w:rFonts w:ascii="Verdana" w:hAnsi="Verdana"/>
          <w:b/>
          <w:caps/>
          <w:sz w:val="20"/>
          <w:lang w:val="es-ES_tradnl"/>
        </w:rPr>
        <w:t>Decide:</w:t>
      </w:r>
    </w:p>
    <w:p w:rsidR="00000000" w:rsidRDefault="00D8082A">
      <w:pPr>
        <w:jc w:val="both"/>
        <w:rPr>
          <w:rFonts w:ascii="Verdana" w:hAnsi="Verdana"/>
          <w:b/>
          <w:smallCaps/>
          <w:sz w:val="20"/>
          <w:lang w:val="es-ES_tradnl"/>
        </w:rPr>
      </w:pPr>
    </w:p>
    <w:p w:rsidR="00000000" w:rsidRDefault="00D8082A">
      <w:pPr>
        <w:pStyle w:val="Encabezado"/>
        <w:tabs>
          <w:tab w:val="clear" w:pos="4320"/>
          <w:tab w:val="clear" w:pos="8640"/>
        </w:tabs>
        <w:rPr>
          <w:rFonts w:ascii="Verdana" w:hAnsi="Verdana"/>
          <w:sz w:val="20"/>
          <w:lang w:val="es-ES_tradnl"/>
        </w:rPr>
      </w:pPr>
      <w:proofErr w:type="gramStart"/>
      <w:r>
        <w:rPr>
          <w:rFonts w:ascii="Verdana" w:hAnsi="Verdana"/>
          <w:sz w:val="20"/>
          <w:lang w:val="es-ES_tradnl"/>
        </w:rPr>
        <w:t>por</w:t>
      </w:r>
      <w:proofErr w:type="gramEnd"/>
      <w:r>
        <w:rPr>
          <w:rFonts w:ascii="Verdana" w:hAnsi="Verdana"/>
          <w:sz w:val="20"/>
          <w:lang w:val="es-ES_tradnl"/>
        </w:rPr>
        <w:t xml:space="preserve"> unanimidad,</w:t>
      </w:r>
    </w:p>
    <w:p w:rsidR="00000000" w:rsidRDefault="00D8082A">
      <w:pPr>
        <w:pStyle w:val="Encabezado"/>
        <w:tabs>
          <w:tab w:val="clear" w:pos="4320"/>
          <w:tab w:val="clear" w:pos="8640"/>
        </w:tabs>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1.</w:t>
      </w:r>
      <w:r>
        <w:rPr>
          <w:rFonts w:ascii="Verdana" w:hAnsi="Verdana"/>
          <w:sz w:val="20"/>
          <w:lang w:val="es-ES_tradnl"/>
        </w:rPr>
        <w:tab/>
        <w:t xml:space="preserve">Que son admisibles las demandas de interpretación de la sentencia de 6 de febrero de 2001 en el caso Ivcher Bronstein, interpuestas por </w:t>
      </w:r>
      <w:smartTag w:uri="urn:schemas-microsoft-com:office:smarttags" w:element="PersonName">
        <w:smartTagPr>
          <w:attr w:name="ProductID" w:val="la Comisi￳n Interamericana"/>
        </w:smartTagPr>
        <w:r>
          <w:rPr>
            <w:rFonts w:ascii="Verdana" w:hAnsi="Verdana"/>
            <w:sz w:val="20"/>
            <w:lang w:val="es-ES_tradnl"/>
          </w:rPr>
          <w:t>la Comisión Intera</w:t>
        </w:r>
        <w:r>
          <w:rPr>
            <w:rFonts w:ascii="Verdana" w:hAnsi="Verdana"/>
            <w:sz w:val="20"/>
            <w:lang w:val="es-ES_tradnl"/>
          </w:rPr>
          <w:t>mericana</w:t>
        </w:r>
      </w:smartTag>
      <w:r>
        <w:rPr>
          <w:rFonts w:ascii="Verdana" w:hAnsi="Verdana"/>
          <w:sz w:val="20"/>
          <w:lang w:val="es-ES_tradnl"/>
        </w:rPr>
        <w:t xml:space="preserve"> de Derechos Humanos y el señor Baruch Ivcher Bronstein.</w:t>
      </w:r>
    </w:p>
    <w:p w:rsidR="00000000" w:rsidRDefault="00D8082A">
      <w:pPr>
        <w:jc w:val="both"/>
        <w:rPr>
          <w:rFonts w:ascii="Verdana" w:hAnsi="Verdana"/>
          <w:sz w:val="20"/>
          <w:lang w:val="es-ES_tradnl"/>
        </w:rPr>
      </w:pPr>
    </w:p>
    <w:p w:rsidR="00000000" w:rsidRDefault="00D8082A">
      <w:pPr>
        <w:pStyle w:val="Textoindependiente"/>
        <w:widowControl/>
        <w:rPr>
          <w:rFonts w:ascii="Verdana" w:hAnsi="Verdana"/>
          <w:sz w:val="20"/>
          <w:lang w:val="es-ES_tradnl"/>
        </w:rPr>
      </w:pPr>
      <w:r>
        <w:rPr>
          <w:rFonts w:ascii="Verdana" w:hAnsi="Verdana"/>
          <w:sz w:val="20"/>
          <w:lang w:val="es-ES_tradnl"/>
        </w:rPr>
        <w:t>2.</w:t>
      </w:r>
      <w:r>
        <w:rPr>
          <w:rFonts w:ascii="Verdana" w:hAnsi="Verdana"/>
          <w:sz w:val="20"/>
          <w:lang w:val="es-ES_tradnl"/>
        </w:rPr>
        <w:tab/>
        <w:t>Que para determinar la indemnización que pudiera corresponder por los daños materiales causados al señor Ivcher, se deberá atender a lo que resulte procedente en los términos de la legisl</w:t>
      </w:r>
      <w:r>
        <w:rPr>
          <w:rFonts w:ascii="Verdana" w:hAnsi="Verdana"/>
          <w:sz w:val="20"/>
          <w:lang w:val="es-ES_tradnl"/>
        </w:rPr>
        <w:t>ación peruana, formulando las reclamaciones respectivas ante las autoridades nacionales competentes para resolverlas.</w:t>
      </w:r>
    </w:p>
    <w:p w:rsidR="00000000" w:rsidRDefault="00D8082A">
      <w:pPr>
        <w:jc w:val="both"/>
        <w:rPr>
          <w:rFonts w:ascii="Verdana" w:hAnsi="Verdana"/>
          <w:sz w:val="20"/>
          <w:lang w:val="es-ES_tradnl"/>
        </w:rPr>
      </w:pPr>
    </w:p>
    <w:p w:rsidR="00000000" w:rsidRDefault="00D8082A">
      <w:pPr>
        <w:jc w:val="both"/>
        <w:rPr>
          <w:rFonts w:ascii="Verdana" w:hAnsi="Verdana"/>
          <w:b/>
          <w:sz w:val="20"/>
          <w:lang w:val="es-ES_tradnl"/>
        </w:rPr>
      </w:pPr>
      <w:r>
        <w:rPr>
          <w:rFonts w:ascii="Verdana" w:hAnsi="Verdana"/>
          <w:sz w:val="20"/>
          <w:lang w:val="es-ES_tradnl"/>
        </w:rPr>
        <w:t xml:space="preserve">Redactada en español e inglés haciendo fe el texto en español, en la sede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San José, Costa Rica, el día 4 de septiembre de </w:t>
      </w:r>
      <w:r>
        <w:rPr>
          <w:rFonts w:ascii="Verdana" w:hAnsi="Verdana"/>
          <w:sz w:val="20"/>
          <w:lang w:val="es-ES_tradnl"/>
        </w:rPr>
        <w:t>2001.</w:t>
      </w:r>
    </w:p>
    <w:p w:rsidR="00000000" w:rsidRDefault="00D8082A">
      <w:pPr>
        <w:jc w:val="both"/>
        <w:rPr>
          <w:rFonts w:ascii="Verdana" w:hAnsi="Verdana"/>
          <w:b/>
          <w:sz w:val="20"/>
          <w:lang w:val="es-ES_tradnl"/>
        </w:rPr>
      </w:pPr>
    </w:p>
    <w:p w:rsidR="00000000" w:rsidRDefault="00D8082A">
      <w:pPr>
        <w:jc w:val="both"/>
        <w:rPr>
          <w:rFonts w:ascii="Verdana" w:hAnsi="Verdana"/>
          <w:b/>
          <w:sz w:val="20"/>
          <w:lang w:val="es-ES_tradnl"/>
        </w:rPr>
      </w:pPr>
    </w:p>
    <w:p w:rsidR="00000000" w:rsidRDefault="00D8082A">
      <w:pPr>
        <w:jc w:val="both"/>
        <w:rPr>
          <w:rFonts w:ascii="Verdana" w:hAnsi="Verdana"/>
          <w:b/>
          <w:sz w:val="20"/>
          <w:lang w:val="es-ES_tradnl"/>
        </w:rPr>
      </w:pPr>
    </w:p>
    <w:p w:rsidR="00000000" w:rsidRDefault="00D8082A">
      <w:pPr>
        <w:jc w:val="both"/>
        <w:rPr>
          <w:rFonts w:ascii="Verdana" w:hAnsi="Verdana"/>
          <w:b/>
          <w:sz w:val="20"/>
          <w:lang w:val="es-ES_tradnl"/>
        </w:rPr>
      </w:pPr>
    </w:p>
    <w:p w:rsidR="00000000" w:rsidRDefault="00D8082A">
      <w:pPr>
        <w:pStyle w:val="Epgrafe"/>
        <w:rPr>
          <w:rFonts w:ascii="Verdana" w:hAnsi="Verdana"/>
          <w:caps/>
          <w:smallCaps w:val="0"/>
          <w:sz w:val="20"/>
          <w:lang w:val="es-ES_tradnl"/>
        </w:rPr>
      </w:pPr>
    </w:p>
    <w:p w:rsidR="00000000" w:rsidRDefault="00D8082A">
      <w:pPr>
        <w:tabs>
          <w:tab w:val="left" w:pos="0"/>
        </w:tabs>
        <w:jc w:val="center"/>
        <w:rPr>
          <w:rFonts w:ascii="Verdana" w:hAnsi="Verdana"/>
          <w:sz w:val="20"/>
          <w:lang w:val="es-ES_tradnl"/>
        </w:rPr>
      </w:pPr>
      <w:r>
        <w:rPr>
          <w:rFonts w:ascii="Verdana" w:hAnsi="Verdana"/>
          <w:sz w:val="20"/>
          <w:lang w:val="es-ES_tradnl"/>
        </w:rPr>
        <w:t>Antônio A. Cançado Trindade</w:t>
      </w:r>
    </w:p>
    <w:p w:rsidR="00000000" w:rsidRDefault="00D8082A">
      <w:pPr>
        <w:jc w:val="center"/>
        <w:rPr>
          <w:rFonts w:ascii="Verdana" w:hAnsi="Verdana"/>
          <w:sz w:val="20"/>
          <w:lang w:val="es-ES_tradnl"/>
        </w:rPr>
      </w:pPr>
      <w:r>
        <w:rPr>
          <w:rFonts w:ascii="Verdana" w:hAnsi="Verdana"/>
          <w:sz w:val="20"/>
          <w:lang w:val="es-ES_tradnl"/>
        </w:rPr>
        <w:t>Presidente</w:t>
      </w:r>
    </w:p>
    <w:p w:rsidR="00000000" w:rsidRDefault="00D8082A">
      <w:pPr>
        <w:pStyle w:val="Encabezado"/>
        <w:tabs>
          <w:tab w:val="clear" w:pos="4320"/>
        </w:tabs>
        <w:rPr>
          <w:rFonts w:ascii="Verdana" w:hAnsi="Verdana"/>
          <w:sz w:val="20"/>
          <w:lang w:val="es-ES_tradnl"/>
        </w:rPr>
      </w:pPr>
      <w:r>
        <w:rPr>
          <w:rFonts w:ascii="Verdana" w:hAnsi="Verdana"/>
          <w:sz w:val="20"/>
          <w:lang w:val="es-ES_tradnl"/>
        </w:rPr>
        <w:tab/>
      </w:r>
    </w:p>
    <w:p w:rsidR="00000000" w:rsidRDefault="00D8082A">
      <w:pPr>
        <w:pStyle w:val="Init1"/>
        <w:tabs>
          <w:tab w:val="clear" w:pos="600"/>
          <w:tab w:val="clear" w:pos="1200"/>
          <w:tab w:val="clear" w:pos="1800"/>
          <w:tab w:val="clear" w:pos="4320"/>
          <w:tab w:val="clear" w:pos="6240"/>
          <w:tab w:val="clear" w:pos="8760"/>
          <w:tab w:val="right" w:pos="7740"/>
        </w:tabs>
        <w:spacing w:line="240" w:lineRule="auto"/>
        <w:rPr>
          <w:rFonts w:ascii="Verdana" w:hAnsi="Verdana"/>
          <w:sz w:val="20"/>
          <w:lang w:val="es-ES_tradnl"/>
        </w:rPr>
      </w:pPr>
      <w:r>
        <w:rPr>
          <w:rFonts w:ascii="Verdana" w:hAnsi="Verdana"/>
          <w:sz w:val="20"/>
          <w:lang w:val="es-ES_tradnl"/>
        </w:rPr>
        <w:t>Hernán Salgado Pesantes</w:t>
      </w:r>
      <w:r>
        <w:rPr>
          <w:rFonts w:ascii="Verdana" w:hAnsi="Verdana"/>
          <w:sz w:val="20"/>
          <w:lang w:val="es-ES_tradnl"/>
        </w:rPr>
        <w:tab/>
        <w:t>Oliver Jackman</w:t>
      </w:r>
    </w:p>
    <w:p w:rsidR="00000000" w:rsidRDefault="00D8082A">
      <w:pPr>
        <w:tabs>
          <w:tab w:val="right" w:pos="8640"/>
        </w:tabs>
        <w:jc w:val="both"/>
        <w:rPr>
          <w:rFonts w:ascii="Verdana" w:hAnsi="Verdana"/>
          <w:sz w:val="20"/>
          <w:lang w:val="es-ES_tradnl"/>
        </w:rPr>
      </w:pPr>
      <w:r>
        <w:rPr>
          <w:rFonts w:ascii="Verdana" w:hAnsi="Verdana"/>
          <w:sz w:val="20"/>
          <w:lang w:val="es-ES_tradnl"/>
        </w:rPr>
        <w:tab/>
      </w:r>
    </w:p>
    <w:p w:rsidR="00000000" w:rsidRDefault="00D8082A">
      <w:pPr>
        <w:tabs>
          <w:tab w:val="right" w:pos="8550"/>
        </w:tabs>
        <w:ind w:firstLine="540"/>
        <w:jc w:val="both"/>
        <w:rPr>
          <w:rFonts w:ascii="Verdana" w:hAnsi="Verdana"/>
          <w:sz w:val="20"/>
          <w:lang w:val="es-ES_tradnl"/>
        </w:rPr>
      </w:pPr>
      <w:r>
        <w:rPr>
          <w:rFonts w:ascii="Verdana" w:hAnsi="Verdana"/>
          <w:sz w:val="20"/>
          <w:lang w:val="es-ES_tradnl"/>
        </w:rPr>
        <w:t>Alirio Abreu Burelli</w:t>
      </w:r>
      <w:r>
        <w:rPr>
          <w:rFonts w:ascii="Verdana" w:hAnsi="Verdana"/>
          <w:sz w:val="20"/>
          <w:lang w:val="es-ES_tradnl"/>
        </w:rPr>
        <w:tab/>
        <w:t>Sergio García Ramírez</w:t>
      </w:r>
    </w:p>
    <w:p w:rsidR="00000000" w:rsidRDefault="00D8082A">
      <w:pPr>
        <w:tabs>
          <w:tab w:val="right" w:pos="8550"/>
        </w:tabs>
        <w:jc w:val="both"/>
        <w:rPr>
          <w:rFonts w:ascii="Verdana" w:hAnsi="Verdana"/>
          <w:sz w:val="20"/>
          <w:lang w:val="es-ES_tradnl"/>
        </w:rPr>
      </w:pPr>
    </w:p>
    <w:p w:rsidR="00000000" w:rsidRDefault="00D8082A">
      <w:pPr>
        <w:tabs>
          <w:tab w:val="left" w:pos="4320"/>
          <w:tab w:val="left" w:pos="4410"/>
        </w:tabs>
        <w:jc w:val="center"/>
        <w:rPr>
          <w:rFonts w:ascii="Verdana" w:hAnsi="Verdana"/>
          <w:sz w:val="20"/>
          <w:lang w:val="es-ES_tradnl"/>
        </w:rPr>
      </w:pPr>
    </w:p>
    <w:p w:rsidR="00000000" w:rsidRDefault="00D8082A">
      <w:pPr>
        <w:tabs>
          <w:tab w:val="right" w:pos="8550"/>
        </w:tabs>
        <w:jc w:val="center"/>
        <w:rPr>
          <w:rFonts w:ascii="Verdana" w:hAnsi="Verdana"/>
          <w:sz w:val="20"/>
          <w:lang w:val="es-ES_tradnl"/>
        </w:rPr>
      </w:pPr>
      <w:r>
        <w:rPr>
          <w:rFonts w:ascii="Verdana" w:hAnsi="Verdana"/>
          <w:sz w:val="20"/>
          <w:lang w:val="es-ES_tradnl"/>
        </w:rPr>
        <w:t>Carlos Vicente de Roux Rengifo</w:t>
      </w:r>
    </w:p>
    <w:p w:rsidR="00000000" w:rsidRDefault="00D8082A">
      <w:pPr>
        <w:tabs>
          <w:tab w:val="right" w:pos="8550"/>
        </w:tabs>
        <w:jc w:val="center"/>
        <w:rPr>
          <w:rFonts w:ascii="Verdana" w:hAnsi="Verdana"/>
          <w:sz w:val="20"/>
          <w:lang w:val="es-ES_tradnl"/>
        </w:rPr>
      </w:pPr>
    </w:p>
    <w:p w:rsidR="00000000" w:rsidRDefault="00D8082A">
      <w:pPr>
        <w:tabs>
          <w:tab w:val="right" w:pos="8550"/>
        </w:tabs>
        <w:jc w:val="center"/>
        <w:rPr>
          <w:rFonts w:ascii="Verdana" w:hAnsi="Verdana"/>
          <w:sz w:val="20"/>
          <w:lang w:val="es-ES_tradnl"/>
        </w:rPr>
      </w:pPr>
    </w:p>
    <w:p w:rsidR="00000000" w:rsidRDefault="00D8082A">
      <w:pPr>
        <w:tabs>
          <w:tab w:val="right" w:pos="8550"/>
        </w:tabs>
        <w:jc w:val="center"/>
        <w:rPr>
          <w:rFonts w:ascii="Verdana" w:hAnsi="Verdana"/>
          <w:sz w:val="20"/>
          <w:lang w:val="es-ES_tradnl"/>
        </w:rPr>
      </w:pPr>
    </w:p>
    <w:p w:rsidR="00000000" w:rsidRDefault="00D8082A">
      <w:pPr>
        <w:jc w:val="center"/>
        <w:rPr>
          <w:rFonts w:ascii="Verdana" w:hAnsi="Verdana"/>
          <w:sz w:val="20"/>
          <w:lang w:val="es-ES_tradnl"/>
        </w:rPr>
      </w:pPr>
      <w:r>
        <w:rPr>
          <w:rFonts w:ascii="Verdana" w:hAnsi="Verdana"/>
          <w:sz w:val="20"/>
          <w:lang w:val="es-ES_tradnl"/>
        </w:rPr>
        <w:t>Manuel E. Ventura Robles</w:t>
      </w:r>
    </w:p>
    <w:p w:rsidR="00000000" w:rsidRDefault="00D8082A">
      <w:pPr>
        <w:jc w:val="center"/>
        <w:rPr>
          <w:rFonts w:ascii="Verdana" w:hAnsi="Verdana"/>
          <w:sz w:val="20"/>
          <w:lang w:val="es-ES_tradnl"/>
        </w:rPr>
      </w:pPr>
      <w:r>
        <w:rPr>
          <w:rFonts w:ascii="Verdana" w:hAnsi="Verdana"/>
          <w:sz w:val="20"/>
          <w:lang w:val="es-ES_tradnl"/>
        </w:rPr>
        <w:t>Secretario</w:t>
      </w:r>
    </w:p>
    <w:p w:rsidR="00000000" w:rsidRDefault="00D8082A">
      <w:pPr>
        <w:jc w:val="center"/>
        <w:rPr>
          <w:rFonts w:ascii="Verdana" w:hAnsi="Verdana"/>
          <w:sz w:val="20"/>
          <w:lang w:val="es-ES_tradnl"/>
        </w:rPr>
      </w:pPr>
    </w:p>
    <w:p w:rsidR="00000000" w:rsidRDefault="00D8082A">
      <w:pPr>
        <w:jc w:val="center"/>
        <w:rPr>
          <w:rFonts w:ascii="Verdana" w:hAnsi="Verdana"/>
          <w:sz w:val="20"/>
          <w:lang w:val="es-ES_tradnl"/>
        </w:rPr>
      </w:pPr>
    </w:p>
    <w:p w:rsidR="00000000" w:rsidRDefault="00D8082A">
      <w:pPr>
        <w:jc w:val="both"/>
        <w:rPr>
          <w:rFonts w:ascii="Verdana" w:hAnsi="Verdana"/>
          <w:sz w:val="20"/>
          <w:lang w:val="es-ES_tradnl"/>
        </w:rPr>
      </w:pPr>
      <w:r>
        <w:rPr>
          <w:rFonts w:ascii="Verdana" w:hAnsi="Verdana"/>
          <w:sz w:val="20"/>
          <w:lang w:val="es-ES_tradnl"/>
        </w:rPr>
        <w:t>Comuníquese y ejecútese,</w:t>
      </w:r>
    </w:p>
    <w:p w:rsidR="00000000" w:rsidRDefault="00D8082A">
      <w:pPr>
        <w:ind w:left="5040"/>
        <w:jc w:val="center"/>
        <w:rPr>
          <w:rFonts w:ascii="Verdana" w:hAnsi="Verdana"/>
          <w:sz w:val="20"/>
          <w:lang w:val="es-ES_tradnl"/>
        </w:rPr>
      </w:pPr>
    </w:p>
    <w:p w:rsidR="00000000" w:rsidRDefault="00D8082A">
      <w:pPr>
        <w:ind w:left="5040"/>
        <w:jc w:val="center"/>
        <w:rPr>
          <w:rFonts w:ascii="Verdana" w:hAnsi="Verdana"/>
          <w:sz w:val="20"/>
          <w:lang w:val="es-ES_tradnl"/>
        </w:rPr>
      </w:pPr>
    </w:p>
    <w:p w:rsidR="00000000" w:rsidRDefault="00D8082A">
      <w:pPr>
        <w:ind w:left="5040"/>
        <w:jc w:val="center"/>
        <w:rPr>
          <w:rFonts w:ascii="Verdana" w:hAnsi="Verdana"/>
          <w:sz w:val="20"/>
          <w:lang w:val="es-ES_tradnl"/>
        </w:rPr>
      </w:pPr>
      <w:r>
        <w:rPr>
          <w:rFonts w:ascii="Verdana" w:hAnsi="Verdana"/>
          <w:sz w:val="20"/>
          <w:lang w:val="es-ES_tradnl"/>
        </w:rPr>
        <w:t xml:space="preserve">Antônio A. Cançado </w:t>
      </w:r>
      <w:r>
        <w:rPr>
          <w:rFonts w:ascii="Verdana" w:hAnsi="Verdana"/>
          <w:sz w:val="20"/>
          <w:lang w:val="es-ES_tradnl"/>
        </w:rPr>
        <w:t>Trindade</w:t>
      </w:r>
    </w:p>
    <w:p w:rsidR="00000000" w:rsidRDefault="00D8082A">
      <w:pPr>
        <w:tabs>
          <w:tab w:val="left" w:pos="7620"/>
        </w:tabs>
        <w:ind w:left="5040"/>
        <w:jc w:val="center"/>
        <w:rPr>
          <w:rFonts w:ascii="Verdana" w:hAnsi="Verdana"/>
          <w:sz w:val="20"/>
          <w:lang w:val="es-ES_tradnl"/>
        </w:rPr>
      </w:pPr>
      <w:r>
        <w:rPr>
          <w:rFonts w:ascii="Verdana" w:hAnsi="Verdana"/>
          <w:sz w:val="20"/>
          <w:lang w:val="es-ES_tradnl"/>
        </w:rPr>
        <w:t>Presidente</w:t>
      </w:r>
    </w:p>
    <w:p w:rsidR="00000000" w:rsidRDefault="00D8082A">
      <w:pPr>
        <w:ind w:right="4680"/>
        <w:jc w:val="center"/>
        <w:rPr>
          <w:rFonts w:ascii="Verdana" w:hAnsi="Verdana"/>
          <w:sz w:val="20"/>
          <w:lang w:val="es-ES_tradnl"/>
        </w:rPr>
      </w:pPr>
      <w:r>
        <w:rPr>
          <w:rFonts w:ascii="Verdana" w:hAnsi="Verdana"/>
          <w:sz w:val="20"/>
          <w:lang w:val="es-ES_tradnl"/>
        </w:rPr>
        <w:t>Manuel E. Ventura Robles</w:t>
      </w:r>
    </w:p>
    <w:p w:rsidR="00D8082A" w:rsidRDefault="00D8082A">
      <w:pPr>
        <w:ind w:right="4680"/>
        <w:jc w:val="center"/>
        <w:rPr>
          <w:rFonts w:ascii="Verdana" w:hAnsi="Verdana"/>
          <w:sz w:val="20"/>
          <w:lang w:val="es-ES_tradnl"/>
        </w:rPr>
      </w:pPr>
      <w:r>
        <w:rPr>
          <w:rFonts w:ascii="Verdana" w:hAnsi="Verdana"/>
          <w:sz w:val="20"/>
          <w:lang w:val="es-ES_tradnl"/>
        </w:rPr>
        <w:t>Secretario</w:t>
      </w:r>
    </w:p>
    <w:sectPr w:rsidR="00D8082A">
      <w:headerReference w:type="default" r:id="rId7"/>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82A" w:rsidRDefault="00D8082A">
      <w:r>
        <w:separator/>
      </w:r>
    </w:p>
  </w:endnote>
  <w:endnote w:type="continuationSeparator" w:id="0">
    <w:p w:rsidR="00D8082A" w:rsidRDefault="00D80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82A" w:rsidRDefault="00D8082A">
      <w:r>
        <w:separator/>
      </w:r>
    </w:p>
  </w:footnote>
  <w:footnote w:type="continuationSeparator" w:id="0">
    <w:p w:rsidR="00D8082A" w:rsidRDefault="00D8082A">
      <w:r>
        <w:continuationSeparator/>
      </w:r>
    </w:p>
  </w:footnote>
  <w:footnote w:id="1">
    <w:p w:rsidR="00000000" w:rsidRDefault="00D8082A">
      <w:pPr>
        <w:pStyle w:val="Textonotapie"/>
        <w:jc w:val="both"/>
        <w:rPr>
          <w:lang w:val="es-ES"/>
        </w:rPr>
      </w:pPr>
      <w:r>
        <w:rPr>
          <w:rStyle w:val="Refdenotaalpie"/>
          <w:rFonts w:ascii="Verdana" w:hAnsi="Verdana"/>
          <w:sz w:val="16"/>
          <w:lang w:val="es-ES_tradnl"/>
        </w:rPr>
        <w:t>*</w:t>
      </w:r>
      <w:r>
        <w:rPr>
          <w:rFonts w:ascii="Verdana" w:hAnsi="Verdana"/>
          <w:sz w:val="16"/>
          <w:lang w:val="es-ES_tradnl"/>
        </w:rPr>
        <w:t xml:space="preserve"> </w:t>
      </w:r>
      <w:r>
        <w:rPr>
          <w:rFonts w:ascii="Verdana" w:hAnsi="Verdana"/>
          <w:sz w:val="16"/>
          <w:lang w:val="es-ES_tradnl"/>
        </w:rPr>
        <w:tab/>
        <w:t xml:space="preserve">El Juez Máximo Pacheco Gómez informó a </w:t>
      </w:r>
      <w:smartTag w:uri="urn:schemas-microsoft-com:office:smarttags" w:element="PersonName">
        <w:smartTagPr>
          <w:attr w:name="ProductID" w:val="la Corte"/>
        </w:smartTagPr>
        <w:r>
          <w:rPr>
            <w:rFonts w:ascii="Verdana" w:hAnsi="Verdana"/>
            <w:sz w:val="16"/>
            <w:lang w:val="es-ES_tradnl"/>
          </w:rPr>
          <w:t>la Corte</w:t>
        </w:r>
      </w:smartTag>
      <w:r>
        <w:rPr>
          <w:rFonts w:ascii="Verdana" w:hAnsi="Verdana"/>
          <w:sz w:val="16"/>
          <w:lang w:val="es-ES_tradnl"/>
        </w:rPr>
        <w:t xml:space="preserve"> que, por motivos de fuerza mayor, no podía participar en la deliberación y firma de esta sentencia.</w:t>
      </w:r>
    </w:p>
  </w:footnote>
  <w:footnote w:id="2">
    <w:p w:rsidR="00000000" w:rsidRDefault="00D8082A">
      <w:pPr>
        <w:pStyle w:val="Textonotapie"/>
        <w:jc w:val="both"/>
        <w:rPr>
          <w:rFonts w:ascii="Verdana" w:hAnsi="Verdana"/>
          <w:sz w:val="16"/>
          <w:lang w:val="es-ES_tradnl"/>
        </w:rPr>
      </w:pPr>
    </w:p>
    <w:p w:rsidR="00000000" w:rsidRDefault="00D8082A">
      <w:pPr>
        <w:pStyle w:val="Textonotapie"/>
        <w:jc w:val="both"/>
        <w:rPr>
          <w:lang w:val="es-ES"/>
        </w:rPr>
      </w:pPr>
      <w:r>
        <w:rPr>
          <w:rStyle w:val="Refdenotaalpie"/>
          <w:rFonts w:ascii="Verdana" w:hAnsi="Verdana"/>
          <w:sz w:val="16"/>
          <w:lang w:val="es-ES_tradnl"/>
        </w:rPr>
        <w:footnoteRef/>
      </w:r>
      <w:r>
        <w:rPr>
          <w:rFonts w:ascii="Verdana" w:hAnsi="Verdana"/>
          <w:sz w:val="16"/>
          <w:lang w:val="es-ES_tradnl"/>
        </w:rPr>
        <w:tab/>
        <w:t xml:space="preserve">De conformidad con </w:t>
      </w:r>
      <w:smartTag w:uri="urn:schemas-microsoft-com:office:smarttags" w:element="PersonName">
        <w:smartTagPr>
          <w:attr w:name="ProductID" w:val="la Resoluci￳n"/>
        </w:smartTagPr>
        <w:r>
          <w:rPr>
            <w:rFonts w:ascii="Verdana" w:hAnsi="Verdana"/>
            <w:sz w:val="16"/>
            <w:lang w:val="es-ES_tradnl"/>
          </w:rPr>
          <w:t>la Resolución</w:t>
        </w:r>
      </w:smartTag>
      <w:r>
        <w:rPr>
          <w:rFonts w:ascii="Verdana" w:hAnsi="Verdana"/>
          <w:sz w:val="16"/>
          <w:lang w:val="es-ES_tradnl"/>
        </w:rPr>
        <w:t xml:space="preserve"> de </w:t>
      </w:r>
      <w:smartTag w:uri="urn:schemas-microsoft-com:office:smarttags" w:element="PersonName">
        <w:smartTagPr>
          <w:attr w:name="ProductID" w:val="la Corte"/>
        </w:smartTagPr>
        <w:r>
          <w:rPr>
            <w:rFonts w:ascii="Verdana" w:hAnsi="Verdana"/>
            <w:sz w:val="16"/>
            <w:lang w:val="es-ES_tradnl"/>
          </w:rPr>
          <w:t>la Corte</w:t>
        </w:r>
      </w:smartTag>
      <w:r>
        <w:rPr>
          <w:rFonts w:ascii="Verdana" w:hAnsi="Verdana"/>
          <w:sz w:val="16"/>
          <w:lang w:val="es-ES_tradnl"/>
        </w:rPr>
        <w:t xml:space="preserve"> d</w:t>
      </w:r>
      <w:r>
        <w:rPr>
          <w:rFonts w:ascii="Verdana" w:hAnsi="Verdana"/>
          <w:sz w:val="16"/>
          <w:lang w:val="es-ES_tradnl"/>
        </w:rPr>
        <w:t xml:space="preserve">e 13 de marzo de 2001 sobre Disposiciones Transitorias al Reglamento de </w:t>
      </w:r>
      <w:smartTag w:uri="urn:schemas-microsoft-com:office:smarttags" w:element="PersonName">
        <w:smartTagPr>
          <w:attr w:name="ProductID" w:val="la Corte"/>
        </w:smartTagPr>
        <w:r>
          <w:rPr>
            <w:rFonts w:ascii="Verdana" w:hAnsi="Verdana"/>
            <w:sz w:val="16"/>
            <w:lang w:val="es-ES_tradnl"/>
          </w:rPr>
          <w:t>la Corte</w:t>
        </w:r>
      </w:smartTag>
      <w:r>
        <w:rPr>
          <w:rFonts w:ascii="Verdana" w:hAnsi="Verdana"/>
          <w:sz w:val="16"/>
          <w:lang w:val="es-ES_tradnl"/>
        </w:rPr>
        <w:t xml:space="preserve">, la presente Sentencia sobre interpretación de la sentencia de fondo se dicta  según los términos del Reglamento adoptado en </w:t>
      </w:r>
      <w:smartTag w:uri="urn:schemas-microsoft-com:office:smarttags" w:element="PersonName">
        <w:smartTagPr>
          <w:attr w:name="ProductID" w:val="la Resoluci￳n"/>
        </w:smartTagPr>
        <w:r>
          <w:rPr>
            <w:rFonts w:ascii="Verdana" w:hAnsi="Verdana"/>
            <w:sz w:val="16"/>
            <w:lang w:val="es-ES_tradnl"/>
          </w:rPr>
          <w:t>la Resolución</w:t>
        </w:r>
      </w:smartTag>
      <w:r>
        <w:rPr>
          <w:rFonts w:ascii="Verdana" w:hAnsi="Verdana"/>
          <w:sz w:val="16"/>
          <w:lang w:val="es-ES_tradnl"/>
        </w:rPr>
        <w:t xml:space="preserve"> de </w:t>
      </w:r>
      <w:smartTag w:uri="urn:schemas-microsoft-com:office:smarttags" w:element="PersonName">
        <w:smartTagPr>
          <w:attr w:name="ProductID" w:val="la Corte"/>
        </w:smartTagPr>
        <w:r>
          <w:rPr>
            <w:rFonts w:ascii="Verdana" w:hAnsi="Verdana"/>
            <w:sz w:val="16"/>
            <w:lang w:val="es-ES_tradnl"/>
          </w:rPr>
          <w:t>la Corte</w:t>
        </w:r>
      </w:smartTag>
      <w:r>
        <w:rPr>
          <w:rFonts w:ascii="Verdana" w:hAnsi="Verdana"/>
          <w:sz w:val="16"/>
          <w:lang w:val="es-ES_tradnl"/>
        </w:rPr>
        <w:t xml:space="preserve"> de 16 de septiembre de 1</w:t>
      </w:r>
      <w:r>
        <w:rPr>
          <w:rFonts w:ascii="Verdana" w:hAnsi="Verdana"/>
          <w:sz w:val="16"/>
          <w:lang w:val="es-ES_tradnl"/>
        </w:rPr>
        <w:t>996.</w:t>
      </w:r>
    </w:p>
  </w:footnote>
  <w:footnote w:id="3">
    <w:p w:rsidR="00000000" w:rsidRDefault="00D8082A">
      <w:pPr>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Cfr</w:t>
      </w:r>
      <w:r>
        <w:rPr>
          <w:rFonts w:ascii="Verdana" w:hAnsi="Verdana"/>
          <w:sz w:val="16"/>
          <w:lang w:val="es-ES_tradnl"/>
        </w:rPr>
        <w:t xml:space="preserve">. </w:t>
      </w:r>
      <w:r>
        <w:rPr>
          <w:rFonts w:ascii="Verdana" w:hAnsi="Verdana"/>
          <w:i/>
          <w:sz w:val="16"/>
          <w:lang w:val="es-ES_tradnl"/>
        </w:rPr>
        <w:t>Caso “La Última Tentación de Cristo” (Olmedo Bustos y otros).</w:t>
      </w:r>
      <w:r>
        <w:rPr>
          <w:rFonts w:ascii="Verdana" w:hAnsi="Verdana"/>
          <w:sz w:val="16"/>
          <w:lang w:val="es-ES_tradnl"/>
        </w:rPr>
        <w:t xml:space="preserve"> Sentencia de 5 de febrero de 2001. Serie C No. 73, párr. 41; </w:t>
      </w:r>
      <w:r>
        <w:rPr>
          <w:rFonts w:ascii="Verdana" w:hAnsi="Verdana"/>
          <w:i/>
          <w:sz w:val="16"/>
          <w:lang w:val="es-ES_tradnl"/>
        </w:rPr>
        <w:t>Caso Baena Ricardo y otros.</w:t>
      </w:r>
      <w:r>
        <w:rPr>
          <w:rFonts w:ascii="Verdana" w:hAnsi="Verdana"/>
          <w:sz w:val="16"/>
          <w:lang w:val="es-ES_tradnl"/>
        </w:rPr>
        <w:t xml:space="preserve"> Sentencia de 2 de febrero de 2001. Serie C No. 72, párr. 50; </w:t>
      </w:r>
      <w:r>
        <w:rPr>
          <w:rFonts w:ascii="Verdana" w:hAnsi="Verdana"/>
          <w:i/>
          <w:sz w:val="16"/>
          <w:lang w:val="es-ES_tradnl"/>
        </w:rPr>
        <w:t>Caso Castillo Páez, Excepciones</w:t>
      </w:r>
      <w:r>
        <w:rPr>
          <w:rFonts w:ascii="Verdana" w:hAnsi="Verdana"/>
          <w:i/>
          <w:sz w:val="16"/>
          <w:lang w:val="es-ES_tradnl"/>
        </w:rPr>
        <w:t xml:space="preserve"> Preliminares. </w:t>
      </w:r>
      <w:r>
        <w:rPr>
          <w:rFonts w:ascii="Verdana" w:hAnsi="Verdana"/>
          <w:sz w:val="16"/>
          <w:lang w:val="es-ES_tradnl"/>
        </w:rPr>
        <w:t xml:space="preserve">Sentencia de 30 de enero de 1996. Serie C No. 24, párr. 34; </w:t>
      </w:r>
      <w:r>
        <w:rPr>
          <w:rFonts w:ascii="Verdana" w:hAnsi="Verdana"/>
          <w:i/>
          <w:sz w:val="16"/>
          <w:lang w:val="es-ES_tradnl"/>
        </w:rPr>
        <w:t xml:space="preserve">Caso Paniagua Morales y Otros, Excepciones Preliminares. </w:t>
      </w:r>
      <w:r>
        <w:rPr>
          <w:rFonts w:ascii="Verdana" w:hAnsi="Verdana"/>
          <w:sz w:val="16"/>
          <w:lang w:val="es-ES_tradnl"/>
        </w:rPr>
        <w:t xml:space="preserve">Sentencia de 25 de enero de 1996. Serie C No. 23, párrs. 38, 40-42 y </w:t>
      </w:r>
      <w:r>
        <w:rPr>
          <w:rFonts w:ascii="Verdana" w:hAnsi="Verdana"/>
          <w:i/>
          <w:sz w:val="16"/>
          <w:lang w:val="es-ES_tradnl"/>
        </w:rPr>
        <w:t xml:space="preserve">Caso Cayara, Excepciones Preliminares. </w:t>
      </w:r>
      <w:r>
        <w:rPr>
          <w:rFonts w:ascii="Verdana" w:hAnsi="Verdana"/>
          <w:sz w:val="16"/>
          <w:lang w:val="es-ES_tradnl"/>
        </w:rPr>
        <w:t>Sentencia de 3 d</w:t>
      </w:r>
      <w:r>
        <w:rPr>
          <w:rFonts w:ascii="Verdana" w:hAnsi="Verdana"/>
          <w:sz w:val="16"/>
          <w:lang w:val="es-ES_tradnl"/>
        </w:rPr>
        <w:t>e febrero de 1993. Serie C No. 14, párrs. 42 y 63.</w:t>
      </w:r>
    </w:p>
    <w:p w:rsidR="00000000" w:rsidRDefault="00D8082A">
      <w:pPr>
        <w:jc w:val="both"/>
        <w:rPr>
          <w:lang w:val="es-ES"/>
        </w:rPr>
      </w:pPr>
    </w:p>
  </w:footnote>
  <w:footnote w:id="4">
    <w:p w:rsidR="00000000" w:rsidRDefault="00D8082A">
      <w:pPr>
        <w:pStyle w:val="Textonotapie"/>
        <w:jc w:val="both"/>
        <w:rPr>
          <w:rFonts w:ascii="Verdana" w:hAnsi="Verdana"/>
          <w:i/>
          <w:sz w:val="16"/>
          <w:lang w:val="es-ES_tradnl"/>
        </w:rPr>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 xml:space="preserve">Caso Blake. Interpretación de </w:t>
      </w:r>
      <w:smartTag w:uri="urn:schemas-microsoft-com:office:smarttags" w:element="PersonName">
        <w:smartTagPr>
          <w:attr w:name="ProductID" w:val="la Sentencia"/>
        </w:smartTagPr>
        <w:r>
          <w:rPr>
            <w:rFonts w:ascii="Verdana" w:hAnsi="Verdana"/>
            <w:i/>
            <w:sz w:val="16"/>
            <w:lang w:val="es-ES_tradnl"/>
          </w:rPr>
          <w:t>la Sentencia</w:t>
        </w:r>
      </w:smartTag>
      <w:r>
        <w:rPr>
          <w:rFonts w:ascii="Verdana" w:hAnsi="Verdana"/>
          <w:i/>
          <w:sz w:val="16"/>
          <w:lang w:val="es-ES_tradnl"/>
        </w:rPr>
        <w:t xml:space="preserve"> sobre Reparaciones</w:t>
      </w:r>
      <w:r>
        <w:rPr>
          <w:rFonts w:ascii="Verdana" w:hAnsi="Verdana"/>
          <w:sz w:val="16"/>
          <w:lang w:val="es-ES_tradnl"/>
        </w:rPr>
        <w:t xml:space="preserve"> (Art. 67 de </w:t>
      </w:r>
      <w:smartTag w:uri="urn:schemas-microsoft-com:office:smarttags" w:element="PersonName">
        <w:smartTagPr>
          <w:attr w:name="ProductID" w:val="la Convenci￳n Americana"/>
        </w:smartTagPr>
        <w:r>
          <w:rPr>
            <w:rFonts w:ascii="Verdana" w:hAnsi="Verdana"/>
            <w:sz w:val="16"/>
            <w:lang w:val="es-ES_tradnl"/>
          </w:rPr>
          <w:t>la Convención Americana</w:t>
        </w:r>
      </w:smartTag>
      <w:r>
        <w:rPr>
          <w:rFonts w:ascii="Verdana" w:hAnsi="Verdana"/>
          <w:sz w:val="16"/>
          <w:lang w:val="es-ES_tradnl"/>
        </w:rPr>
        <w:t xml:space="preserve"> sobre Derechos Humanos). Sentencia de 1 de octubre de 1999. Serie C No. 57, párr. 20 y </w:t>
      </w:r>
      <w:r>
        <w:rPr>
          <w:rFonts w:ascii="Verdana" w:hAnsi="Verdana"/>
          <w:i/>
          <w:sz w:val="16"/>
          <w:lang w:val="es-ES_tradnl"/>
        </w:rPr>
        <w:t xml:space="preserve">Caso El Amparo. </w:t>
      </w:r>
      <w:r>
        <w:rPr>
          <w:rFonts w:ascii="Verdana" w:hAnsi="Verdana"/>
          <w:i/>
          <w:sz w:val="16"/>
          <w:lang w:val="es-ES_tradnl"/>
        </w:rPr>
        <w:t xml:space="preserve"> Solicitud de Interpretación de Sentencia de 14 de septiembre de 1996.  </w:t>
      </w:r>
      <w:r>
        <w:rPr>
          <w:rFonts w:ascii="Verdana" w:hAnsi="Verdana"/>
          <w:sz w:val="16"/>
          <w:lang w:val="es-ES_tradnl"/>
        </w:rPr>
        <w:t xml:space="preserve">Resolución de </w:t>
      </w:r>
      <w:smartTag w:uri="urn:schemas-microsoft-com:office:smarttags" w:element="PersonName">
        <w:smartTagPr>
          <w:attr w:name="ProductID" w:val="la Corte"/>
        </w:smartTagPr>
        <w:r>
          <w:rPr>
            <w:rFonts w:ascii="Verdana" w:hAnsi="Verdana"/>
            <w:sz w:val="16"/>
            <w:lang w:val="es-ES_tradnl"/>
          </w:rPr>
          <w:t>la Corte</w:t>
        </w:r>
      </w:smartTag>
      <w:r>
        <w:rPr>
          <w:rFonts w:ascii="Verdana" w:hAnsi="Verdana"/>
          <w:sz w:val="16"/>
          <w:lang w:val="es-ES_tradnl"/>
        </w:rPr>
        <w:t xml:space="preserve"> de 16 de abril de 1997.  Serie C No. 46, Considerando 1.</w:t>
      </w:r>
    </w:p>
    <w:p w:rsidR="00000000" w:rsidRDefault="00D8082A">
      <w:pPr>
        <w:pStyle w:val="Textonotapie"/>
        <w:jc w:val="both"/>
        <w:rPr>
          <w:lang w:val="es-ES"/>
        </w:rPr>
      </w:pPr>
    </w:p>
  </w:footnote>
  <w:footnote w:id="5">
    <w:p w:rsidR="00000000" w:rsidRDefault="00D8082A">
      <w:pPr>
        <w:pStyle w:val="Textonotapie"/>
        <w:jc w:val="both"/>
        <w:rPr>
          <w:lang w:val="es-ES"/>
        </w:rPr>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 xml:space="preserve">Cfr. Caso Barrios Altos.  Interpretación de la sentencia de fondo (Art. 67 de </w:t>
      </w:r>
      <w:smartTag w:uri="urn:schemas-microsoft-com:office:smarttags" w:element="PersonName">
        <w:smartTagPr>
          <w:attr w:name="ProductID" w:val="la Convenci￳n Americana"/>
        </w:smartTagPr>
        <w:r>
          <w:rPr>
            <w:rFonts w:ascii="Verdana" w:hAnsi="Verdana"/>
            <w:i/>
            <w:sz w:val="16"/>
            <w:lang w:val="es-ES_tradnl"/>
          </w:rPr>
          <w:t>la Convención American</w:t>
        </w:r>
        <w:r>
          <w:rPr>
            <w:rFonts w:ascii="Verdana" w:hAnsi="Verdana"/>
            <w:i/>
            <w:sz w:val="16"/>
            <w:lang w:val="es-ES_tradnl"/>
          </w:rPr>
          <w:t>a</w:t>
        </w:r>
      </w:smartTag>
      <w:r>
        <w:rPr>
          <w:rFonts w:ascii="Verdana" w:hAnsi="Verdana"/>
          <w:i/>
          <w:sz w:val="16"/>
          <w:lang w:val="es-ES_tradnl"/>
        </w:rPr>
        <w:t xml:space="preserve"> sobre Derechos Humanos).</w:t>
      </w:r>
      <w:r>
        <w:rPr>
          <w:rFonts w:ascii="Verdana" w:hAnsi="Verdana"/>
          <w:sz w:val="16"/>
          <w:lang w:val="es-ES_tradnl"/>
        </w:rPr>
        <w:t xml:space="preserve">  Sentencia de 3 de septiembre de 2001.  Serie C No. 83, párr.11.</w:t>
      </w:r>
    </w:p>
  </w:footnote>
  <w:footnote w:id="6">
    <w:p w:rsidR="00000000" w:rsidRDefault="00D8082A">
      <w:pPr>
        <w:pStyle w:val="Textonotapie"/>
        <w:jc w:val="both"/>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 xml:space="preserve">Caso Suárez Rosero.  Interpretación de </w:t>
      </w:r>
      <w:smartTag w:uri="urn:schemas-microsoft-com:office:smarttags" w:element="PersonName">
        <w:smartTagPr>
          <w:attr w:name="ProductID" w:val="la Sentencia"/>
        </w:smartTagPr>
        <w:r>
          <w:rPr>
            <w:rFonts w:ascii="Verdana" w:hAnsi="Verdana"/>
            <w:i/>
            <w:sz w:val="16"/>
            <w:lang w:val="es-ES_tradnl"/>
          </w:rPr>
          <w:t>la Sentencia</w:t>
        </w:r>
      </w:smartTag>
      <w:r>
        <w:rPr>
          <w:rFonts w:ascii="Verdana" w:hAnsi="Verdana"/>
          <w:i/>
          <w:sz w:val="16"/>
          <w:lang w:val="es-ES_tradnl"/>
        </w:rPr>
        <w:t xml:space="preserve"> sobre Reparaciones. </w:t>
      </w:r>
      <w:r>
        <w:rPr>
          <w:rFonts w:ascii="Verdana" w:hAnsi="Verdana"/>
          <w:sz w:val="16"/>
          <w:lang w:val="es-ES_tradnl"/>
        </w:rPr>
        <w:t xml:space="preserve"> (Art. 67 de </w:t>
      </w:r>
      <w:smartTag w:uri="urn:schemas-microsoft-com:office:smarttags" w:element="PersonName">
        <w:smartTagPr>
          <w:attr w:name="ProductID" w:val="la Convenci￳n Americana"/>
        </w:smartTagPr>
        <w:r>
          <w:rPr>
            <w:rFonts w:ascii="Verdana" w:hAnsi="Verdana"/>
            <w:sz w:val="16"/>
            <w:lang w:val="es-ES_tradnl"/>
          </w:rPr>
          <w:t>la Convención Americana</w:t>
        </w:r>
      </w:smartTag>
      <w:r>
        <w:rPr>
          <w:rFonts w:ascii="Verdana" w:hAnsi="Verdana"/>
          <w:sz w:val="16"/>
          <w:lang w:val="es-ES_tradnl"/>
        </w:rPr>
        <w:t xml:space="preserve"> sobre Derechos Humanos).</w:t>
      </w:r>
      <w:r>
        <w:rPr>
          <w:rFonts w:ascii="Verdana" w:hAnsi="Verdana"/>
          <w:i/>
          <w:sz w:val="16"/>
          <w:lang w:val="es-ES_tradnl"/>
        </w:rPr>
        <w:t xml:space="preserve">  </w:t>
      </w:r>
      <w:r>
        <w:rPr>
          <w:rFonts w:ascii="Verdana" w:hAnsi="Verdana"/>
          <w:sz w:val="16"/>
          <w:lang w:val="es-ES_tradnl"/>
        </w:rPr>
        <w:t>Sentencia de 29 de mayo de</w:t>
      </w:r>
      <w:r>
        <w:rPr>
          <w:rFonts w:ascii="Verdana" w:hAnsi="Verdana"/>
          <w:sz w:val="16"/>
          <w:lang w:val="es-ES_tradnl"/>
        </w:rPr>
        <w:t xml:space="preserve"> 1999</w:t>
      </w:r>
      <w:r>
        <w:rPr>
          <w:rFonts w:ascii="Verdana" w:hAnsi="Verdana"/>
          <w:i/>
          <w:sz w:val="16"/>
          <w:lang w:val="es-ES_tradnl"/>
        </w:rPr>
        <w:t>.</w:t>
      </w:r>
      <w:r>
        <w:rPr>
          <w:rFonts w:ascii="Verdana" w:hAnsi="Verdana"/>
          <w:sz w:val="16"/>
          <w:lang w:val="es-ES_tradnl"/>
        </w:rPr>
        <w:t xml:space="preserve">  Serie C No. 51, párr. 20;</w:t>
      </w:r>
      <w:r>
        <w:rPr>
          <w:rFonts w:ascii="Verdana" w:hAnsi="Verdana"/>
          <w:i/>
          <w:sz w:val="16"/>
          <w:lang w:val="es-ES_tradnl"/>
        </w:rPr>
        <w:t xml:space="preserve"> </w:t>
      </w:r>
      <w:r>
        <w:rPr>
          <w:rFonts w:ascii="Verdana" w:hAnsi="Verdana"/>
          <w:i/>
          <w:color w:val="000000"/>
          <w:sz w:val="16"/>
          <w:lang w:val="es-ES_tradnl"/>
        </w:rPr>
        <w:t xml:space="preserve">Caso Loayza Tamayo.  Solicitud de Interpretación de </w:t>
      </w:r>
      <w:smartTag w:uri="urn:schemas-microsoft-com:office:smarttags" w:element="PersonName">
        <w:smartTagPr>
          <w:attr w:name="ProductID" w:val="la Sentencia"/>
        </w:smartTagPr>
        <w:r>
          <w:rPr>
            <w:rFonts w:ascii="Verdana" w:hAnsi="Verdana"/>
            <w:i/>
            <w:color w:val="000000"/>
            <w:sz w:val="16"/>
            <w:lang w:val="es-ES_tradnl"/>
          </w:rPr>
          <w:t>la Sentencia</w:t>
        </w:r>
      </w:smartTag>
      <w:r>
        <w:rPr>
          <w:rFonts w:ascii="Verdana" w:hAnsi="Verdana"/>
          <w:i/>
          <w:color w:val="000000"/>
          <w:sz w:val="16"/>
          <w:lang w:val="es-ES_tradnl"/>
        </w:rPr>
        <w:t xml:space="preserve"> de 1 de septiembre de 1997.  </w:t>
      </w:r>
      <w:r>
        <w:rPr>
          <w:rFonts w:ascii="Verdana" w:hAnsi="Verdana"/>
          <w:color w:val="000000"/>
          <w:sz w:val="16"/>
          <w:lang w:val="es-ES_tradnl"/>
        </w:rPr>
        <w:t xml:space="preserve">Resolución de </w:t>
      </w:r>
      <w:smartTag w:uri="urn:schemas-microsoft-com:office:smarttags" w:element="PersonName">
        <w:smartTagPr>
          <w:attr w:name="ProductID" w:val="la Corte"/>
        </w:smartTagPr>
        <w:r>
          <w:rPr>
            <w:rFonts w:ascii="Verdana" w:hAnsi="Verdana"/>
            <w:color w:val="000000"/>
            <w:sz w:val="16"/>
            <w:lang w:val="es-ES_tradnl"/>
          </w:rPr>
          <w:t>la Corte</w:t>
        </w:r>
      </w:smartTag>
      <w:r>
        <w:rPr>
          <w:rFonts w:ascii="Verdana" w:hAnsi="Verdana"/>
          <w:color w:val="000000"/>
          <w:sz w:val="16"/>
          <w:lang w:val="es-ES_tradnl"/>
        </w:rPr>
        <w:t xml:space="preserve"> de 8 de marzo de 1999</w:t>
      </w:r>
      <w:r>
        <w:rPr>
          <w:rFonts w:ascii="Verdana" w:hAnsi="Verdana"/>
          <w:i/>
          <w:color w:val="000000"/>
          <w:sz w:val="16"/>
          <w:lang w:val="es-ES_tradnl"/>
        </w:rPr>
        <w:t xml:space="preserve">.  </w:t>
      </w:r>
      <w:r>
        <w:rPr>
          <w:rFonts w:ascii="Verdana" w:hAnsi="Verdana"/>
          <w:color w:val="000000"/>
          <w:sz w:val="16"/>
          <w:lang w:val="es-ES_tradnl"/>
        </w:rPr>
        <w:t xml:space="preserve">Serie C No. 47, párr. 16; en concordancia con </w:t>
      </w:r>
      <w:r>
        <w:rPr>
          <w:rFonts w:ascii="Verdana" w:hAnsi="Verdana"/>
          <w:i/>
          <w:color w:val="000000"/>
          <w:sz w:val="16"/>
          <w:lang w:val="es-ES_tradnl"/>
        </w:rPr>
        <w:t xml:space="preserve">Caso Neira Alegría y otros. </w:t>
      </w:r>
      <w:r>
        <w:rPr>
          <w:rFonts w:ascii="Verdana" w:hAnsi="Verdana"/>
          <w:color w:val="000000"/>
          <w:sz w:val="16"/>
          <w:lang w:val="es-ES_tradnl"/>
        </w:rPr>
        <w:t>Resoluc</w:t>
      </w:r>
      <w:r>
        <w:rPr>
          <w:rFonts w:ascii="Verdana" w:hAnsi="Verdana"/>
          <w:color w:val="000000"/>
          <w:sz w:val="16"/>
          <w:lang w:val="es-ES_tradnl"/>
        </w:rPr>
        <w:t xml:space="preserve">ión de </w:t>
      </w:r>
      <w:smartTag w:uri="urn:schemas-microsoft-com:office:smarttags" w:element="PersonName">
        <w:smartTagPr>
          <w:attr w:name="ProductID" w:val="la Corte"/>
        </w:smartTagPr>
        <w:r>
          <w:rPr>
            <w:rFonts w:ascii="Verdana" w:hAnsi="Verdana"/>
            <w:color w:val="000000"/>
            <w:sz w:val="16"/>
            <w:lang w:val="es-ES_tradnl"/>
          </w:rPr>
          <w:t>la Corte</w:t>
        </w:r>
      </w:smartTag>
      <w:r>
        <w:rPr>
          <w:rFonts w:ascii="Verdana" w:hAnsi="Verdana"/>
          <w:color w:val="000000"/>
          <w:sz w:val="16"/>
          <w:lang w:val="es-ES_tradnl"/>
        </w:rPr>
        <w:t xml:space="preserve"> de 3 de julio de 1992.</w:t>
      </w:r>
      <w:r>
        <w:rPr>
          <w:rFonts w:ascii="Verdana" w:hAnsi="Verdana"/>
          <w:i/>
          <w:color w:val="000000"/>
          <w:sz w:val="16"/>
          <w:lang w:val="es-ES_tradnl"/>
        </w:rPr>
        <w:t xml:space="preserve"> </w:t>
      </w:r>
      <w:r>
        <w:rPr>
          <w:rFonts w:ascii="Verdana" w:hAnsi="Verdana"/>
          <w:color w:val="000000"/>
          <w:sz w:val="16"/>
          <w:lang w:val="es-ES_tradnl"/>
        </w:rPr>
        <w:t>Informe Anual 1992, p.79, párr.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8082A">
    <w:pPr>
      <w:pStyle w:val="Encabezado"/>
      <w:framePr w:wrap="auto"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A20EA4">
      <w:rPr>
        <w:rStyle w:val="Nmerodepgina"/>
        <w:rFonts w:ascii="Verdana" w:hAnsi="Verdana"/>
        <w:noProof/>
        <w:sz w:val="20"/>
      </w:rPr>
      <w:t>8</w:t>
    </w:r>
    <w:r>
      <w:rPr>
        <w:rStyle w:val="Nmerodepgina"/>
        <w:rFonts w:ascii="Verdana" w:hAnsi="Verdana"/>
        <w:sz w:val="20"/>
      </w:rPr>
      <w:fldChar w:fldCharType="end"/>
    </w:r>
  </w:p>
  <w:p w:rsidR="00000000" w:rsidRDefault="00D8082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8B2A84A"/>
    <w:lvl w:ilvl="0">
      <w:start w:val="3"/>
      <w:numFmt w:val="decimal"/>
      <w:pStyle w:val="Ttulo9"/>
      <w:lvlText w:val="%1)"/>
      <w:legacy w:legacy="1" w:legacySpace="12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628722FC"/>
    <w:multiLevelType w:val="multilevel"/>
    <w:tmpl w:val="CAFA6B10"/>
    <w:lvl w:ilvl="0">
      <w:start w:val="1"/>
      <w:numFmt w:val="lowerLetter"/>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5E0B"/>
    <w:rsid w:val="00985E0B"/>
    <w:rsid w:val="00A20EA4"/>
    <w:rsid w:val="00D808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Times" w:hAnsi="Times"/>
      <w:sz w:val="24"/>
      <w:lang w:val="en-US" w:eastAsia="es-ES"/>
    </w:rPr>
  </w:style>
  <w:style w:type="paragraph" w:styleId="Ttulo1">
    <w:name w:val="heading 1"/>
    <w:basedOn w:val="Normal"/>
    <w:next w:val="Normal"/>
    <w:qFormat/>
    <w:pPr>
      <w:keepNext/>
      <w:jc w:val="center"/>
      <w:outlineLvl w:val="0"/>
    </w:pPr>
    <w:rPr>
      <w:b/>
      <w:sz w:val="20"/>
    </w:rPr>
  </w:style>
  <w:style w:type="paragraph" w:styleId="Ttulo2">
    <w:name w:val="heading 2"/>
    <w:basedOn w:val="Normal"/>
    <w:next w:val="Normal"/>
    <w:qFormat/>
    <w:pPr>
      <w:keepNext/>
      <w:ind w:right="-720"/>
      <w:outlineLvl w:val="1"/>
    </w:pPr>
    <w:rPr>
      <w:rFonts w:ascii="Palatino" w:hAnsi="Palatino"/>
      <w:b/>
      <w:lang w:val="es-ES_tradnl"/>
    </w:rPr>
  </w:style>
  <w:style w:type="paragraph" w:styleId="Ttulo3">
    <w:name w:val="heading 3"/>
    <w:basedOn w:val="Normal"/>
    <w:next w:val="Normal"/>
    <w:qFormat/>
    <w:pPr>
      <w:keepNext/>
      <w:ind w:right="-720"/>
      <w:jc w:val="center"/>
      <w:outlineLvl w:val="2"/>
    </w:pPr>
    <w:rPr>
      <w:rFonts w:ascii="Palatino" w:hAnsi="Palatino"/>
      <w:b/>
      <w:lang w:val="es-ES_tradnl"/>
    </w:rPr>
  </w:style>
  <w:style w:type="paragraph" w:styleId="Ttulo4">
    <w:name w:val="heading 4"/>
    <w:basedOn w:val="Normal"/>
    <w:next w:val="Normal"/>
    <w:qFormat/>
    <w:pPr>
      <w:keepNext/>
      <w:ind w:right="-540"/>
      <w:jc w:val="both"/>
      <w:outlineLvl w:val="3"/>
    </w:pPr>
    <w:rPr>
      <w:b/>
    </w:rPr>
  </w:style>
  <w:style w:type="paragraph" w:styleId="Ttulo5">
    <w:name w:val="heading 5"/>
    <w:basedOn w:val="Normal"/>
    <w:next w:val="Normal"/>
    <w:qFormat/>
    <w:pPr>
      <w:keepNext/>
      <w:ind w:right="10"/>
      <w:jc w:val="center"/>
      <w:outlineLvl w:val="4"/>
    </w:pPr>
    <w:rPr>
      <w:b/>
      <w:sz w:val="20"/>
    </w:rPr>
  </w:style>
  <w:style w:type="paragraph" w:styleId="Ttulo6">
    <w:name w:val="heading 6"/>
    <w:basedOn w:val="Normal"/>
    <w:next w:val="Normal"/>
    <w:qFormat/>
    <w:pPr>
      <w:keepNext/>
      <w:ind w:right="-80"/>
      <w:outlineLvl w:val="5"/>
    </w:pPr>
    <w:rPr>
      <w:b/>
      <w:sz w:val="20"/>
    </w:rPr>
  </w:style>
  <w:style w:type="paragraph" w:styleId="Ttulo7">
    <w:name w:val="heading 7"/>
    <w:basedOn w:val="Normal"/>
    <w:next w:val="Normal"/>
    <w:qFormat/>
    <w:pPr>
      <w:keepNext/>
      <w:tabs>
        <w:tab w:val="left" w:pos="720"/>
      </w:tabs>
      <w:ind w:left="720" w:right="-720" w:hanging="720"/>
      <w:jc w:val="both"/>
      <w:outlineLvl w:val="6"/>
    </w:pPr>
    <w:rPr>
      <w:rFonts w:ascii="Palatino" w:hAnsi="Palatino"/>
      <w:b/>
      <w:smallCaps/>
      <w:lang w:val="es-ES_tradnl"/>
    </w:rPr>
  </w:style>
  <w:style w:type="paragraph" w:styleId="Ttulo8">
    <w:name w:val="heading 8"/>
    <w:basedOn w:val="Normal"/>
    <w:next w:val="Normal"/>
    <w:qFormat/>
    <w:pPr>
      <w:keepNext/>
      <w:jc w:val="center"/>
      <w:outlineLvl w:val="7"/>
    </w:pPr>
    <w:rPr>
      <w:rFonts w:ascii="Garamond" w:hAnsi="Garamond"/>
      <w:b/>
      <w:smallCaps/>
    </w:rPr>
  </w:style>
  <w:style w:type="paragraph" w:styleId="Ttulo9">
    <w:name w:val="heading 9"/>
    <w:basedOn w:val="Normal"/>
    <w:next w:val="Normal"/>
    <w:qFormat/>
    <w:pPr>
      <w:keepNext/>
      <w:numPr>
        <w:numId w:val="1"/>
      </w:numPr>
      <w:tabs>
        <w:tab w:val="left" w:pos="360"/>
      </w:tabs>
      <w:jc w:val="both"/>
      <w:outlineLvl w:val="8"/>
    </w:pPr>
    <w:rPr>
      <w:b/>
      <w:smallCaps/>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normal">
    <w:name w:val="Normal Indent"/>
    <w:basedOn w:val="Normal"/>
    <w:pPr>
      <w:jc w:val="center"/>
    </w:pPr>
    <w:rPr>
      <w:b/>
    </w:rPr>
  </w:style>
  <w:style w:type="paragraph" w:customStyle="1" w:styleId="BodyText2">
    <w:name w:val="Body Text 2"/>
    <w:basedOn w:val="Normal"/>
    <w:pPr>
      <w:ind w:right="-720"/>
      <w:jc w:val="both"/>
    </w:pPr>
    <w:rPr>
      <w:rFonts w:ascii="Palatino" w:hAnsi="Palatino"/>
    </w:rPr>
  </w:style>
  <w:style w:type="character" w:styleId="Refdenotaalpie">
    <w:name w:val="footnote reference"/>
    <w:semiHidden/>
    <w:rPr>
      <w:vertAlign w:val="superscript"/>
    </w:rPr>
  </w:style>
  <w:style w:type="paragraph" w:styleId="Textonotapie">
    <w:name w:val="footnote text"/>
    <w:basedOn w:val="Normal"/>
    <w:semiHidden/>
    <w:rPr>
      <w:rFonts w:ascii="New York" w:hAnsi="New York"/>
      <w:sz w:val="20"/>
    </w:rPr>
  </w:style>
  <w:style w:type="paragraph" w:styleId="Encabezado">
    <w:name w:val="header"/>
    <w:basedOn w:val="Normal"/>
    <w:pPr>
      <w:tabs>
        <w:tab w:val="center" w:pos="4320"/>
        <w:tab w:val="right" w:pos="8640"/>
      </w:tabs>
    </w:pPr>
    <w:rPr>
      <w:rFonts w:ascii="Garamond" w:hAnsi="Garamond"/>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hAnsi="Courier"/>
    </w:rPr>
  </w:style>
  <w:style w:type="paragraph" w:customStyle="1" w:styleId="BlockText">
    <w:name w:val="Block Text"/>
    <w:basedOn w:val="Normal"/>
    <w:pPr>
      <w:ind w:left="720" w:right="-540" w:hanging="720"/>
      <w:jc w:val="both"/>
    </w:pPr>
    <w:rPr>
      <w:b/>
      <w:smallCaps/>
      <w:sz w:val="20"/>
    </w:rPr>
  </w:style>
  <w:style w:type="paragraph" w:styleId="Textoindependiente">
    <w:name w:val="Body Text"/>
    <w:basedOn w:val="Normal"/>
    <w:pPr>
      <w:widowControl w:val="0"/>
      <w:jc w:val="both"/>
    </w:pPr>
    <w:rPr>
      <w:rFonts w:ascii="Times New Roman" w:hAnsi="Times New Roman"/>
      <w:lang w:val="es-ES"/>
    </w:rPr>
  </w:style>
  <w:style w:type="paragraph" w:customStyle="1" w:styleId="BodyTextIndent3">
    <w:name w:val="Body Text Indent 3"/>
    <w:basedOn w:val="Normal"/>
    <w:pPr>
      <w:ind w:left="709" w:hanging="709"/>
      <w:jc w:val="both"/>
    </w:pPr>
  </w:style>
  <w:style w:type="paragraph" w:styleId="Ttulo">
    <w:name w:val="Title"/>
    <w:basedOn w:val="Normal"/>
    <w:qFormat/>
    <w:pPr>
      <w:spacing w:line="360" w:lineRule="atLeast"/>
      <w:jc w:val="center"/>
    </w:pPr>
    <w:rPr>
      <w:rFonts w:ascii="Palatino" w:hAnsi="Palatino"/>
      <w:b/>
      <w:sz w:val="28"/>
    </w:rPr>
  </w:style>
  <w:style w:type="paragraph" w:customStyle="1" w:styleId="BodyText20">
    <w:name w:val="Body Text 2"/>
    <w:basedOn w:val="Normal"/>
    <w:pPr>
      <w:ind w:left="1440"/>
      <w:jc w:val="both"/>
    </w:pPr>
    <w:rPr>
      <w:rFonts w:ascii="Palatino" w:hAnsi="Palatino"/>
      <w:lang w:val="es-ES_tradnl"/>
    </w:rPr>
  </w:style>
  <w:style w:type="paragraph" w:customStyle="1" w:styleId="BodyTextIndent2">
    <w:name w:val="Body Text Indent 2"/>
    <w:basedOn w:val="Normal"/>
    <w:pPr>
      <w:tabs>
        <w:tab w:val="left" w:pos="360"/>
        <w:tab w:val="left" w:pos="709"/>
      </w:tabs>
      <w:ind w:left="2160"/>
      <w:jc w:val="both"/>
    </w:pPr>
    <w:rPr>
      <w:rFonts w:ascii="Palatino" w:hAnsi="Palatino"/>
      <w:lang w:val="es-ES_tradnl"/>
    </w:rPr>
  </w:style>
  <w:style w:type="paragraph" w:customStyle="1" w:styleId="DocumentMap">
    <w:name w:val="Document Map"/>
    <w:basedOn w:val="Normal"/>
    <w:pPr>
      <w:shd w:val="clear" w:color="auto" w:fill="000080"/>
    </w:pPr>
    <w:rPr>
      <w:rFonts w:ascii="Geneva" w:hAnsi="Geneva"/>
    </w:rPr>
  </w:style>
  <w:style w:type="paragraph" w:customStyle="1" w:styleId="BodyText1">
    <w:name w:val="Body Text 1"/>
    <w:basedOn w:val="BodyText2"/>
    <w:rPr>
      <w:b/>
      <w:smallCaps/>
      <w:lang w:val="es-ES_tradnl"/>
    </w:rPr>
  </w:style>
  <w:style w:type="paragraph" w:customStyle="1" w:styleId="BodyText3">
    <w:name w:val="Body Text 3"/>
    <w:basedOn w:val="Normal"/>
    <w:rPr>
      <w:b/>
      <w:caps/>
    </w:r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Epgrafe">
    <w:name w:val="caption"/>
    <w:basedOn w:val="Normal"/>
    <w:qFormat/>
    <w:pPr>
      <w:jc w:val="center"/>
    </w:pPr>
    <w:rPr>
      <w:rFonts w:ascii="Garamond" w:hAnsi="Garamond"/>
      <w:b/>
      <w:smallCaps/>
    </w:rPr>
  </w:style>
  <w:style w:type="paragraph" w:customStyle="1" w:styleId="Textoindependiente1">
    <w:name w:val="Texto independiente1"/>
    <w:basedOn w:val="Normal"/>
    <w:pPr>
      <w:spacing w:line="360" w:lineRule="atLeast"/>
      <w:jc w:val="both"/>
    </w:pPr>
    <w:rPr>
      <w:rFonts w:ascii="Garamond" w:hAnsi="Garamond"/>
      <w:sz w:val="28"/>
      <w:lang w:val="es-ES_tradnl"/>
    </w:rPr>
  </w:style>
  <w:style w:type="paragraph" w:customStyle="1" w:styleId="BlockText0">
    <w:name w:val="Block Text"/>
    <w:basedOn w:val="Normal"/>
    <w:pPr>
      <w:ind w:left="720" w:right="720"/>
      <w:jc w:val="both"/>
    </w:pPr>
    <w:rPr>
      <w:rFonts w:ascii="Verdana" w:hAnsi="Verdana"/>
      <w:sz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2529</Words>
  <Characters>13911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INDICE DE TEMAS:</vt:lpstr>
    </vt:vector>
  </TitlesOfParts>
  <Company>LUCIA MENDEZ</Company>
  <LinksUpToDate>false</LinksUpToDate>
  <CharactersWithSpaces>16408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 TEMAS:</dc:title>
  <dc:creator>cla</dc:creator>
  <cp:lastModifiedBy>Liliana Tojo</cp:lastModifiedBy>
  <cp:revision>4</cp:revision>
  <cp:lastPrinted>2017-06-25T21:43:00Z</cp:lastPrinted>
  <dcterms:created xsi:type="dcterms:W3CDTF">2017-06-25T21:43:00Z</dcterms:created>
  <dcterms:modified xsi:type="dcterms:W3CDTF">2017-06-25T21:43:00Z</dcterms:modified>
</cp:coreProperties>
</file>