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92C" w:rsidRDefault="00B1292C" w:rsidP="00F75AD0">
      <w:pPr>
        <w:tabs>
          <w:tab w:val="left" w:pos="567"/>
        </w:tabs>
        <w:spacing w:after="0" w:line="240" w:lineRule="auto"/>
        <w:ind w:right="4"/>
        <w:jc w:val="center"/>
        <w:rPr>
          <w:rFonts w:ascii="Verdana" w:hAnsi="Verdana"/>
          <w:b/>
          <w:smallCaps/>
          <w:sz w:val="20"/>
          <w:szCs w:val="20"/>
        </w:rPr>
      </w:pPr>
      <w:bookmarkStart w:id="0" w:name="_GoBack"/>
      <w:bookmarkEnd w:id="0"/>
    </w:p>
    <w:p w:rsidR="00AA14EA" w:rsidRPr="0029480F" w:rsidRDefault="00AA14EA" w:rsidP="00F75AD0">
      <w:pPr>
        <w:tabs>
          <w:tab w:val="left" w:pos="567"/>
        </w:tabs>
        <w:spacing w:after="0" w:line="240" w:lineRule="auto"/>
        <w:ind w:right="4"/>
        <w:jc w:val="center"/>
        <w:rPr>
          <w:rFonts w:ascii="Verdana" w:hAnsi="Verdana"/>
          <w:b/>
          <w:smallCaps/>
          <w:sz w:val="20"/>
          <w:szCs w:val="20"/>
        </w:rPr>
      </w:pPr>
      <w:r w:rsidRPr="0029480F">
        <w:rPr>
          <w:rFonts w:ascii="Verdana" w:hAnsi="Verdana"/>
          <w:b/>
          <w:smallCaps/>
          <w:sz w:val="20"/>
          <w:szCs w:val="20"/>
        </w:rPr>
        <w:t xml:space="preserve">RESOLUCIÓN DE LA </w:t>
      </w:r>
    </w:p>
    <w:p w:rsidR="00AA14EA" w:rsidRPr="0029480F" w:rsidRDefault="00AA14EA" w:rsidP="00F75AD0">
      <w:pPr>
        <w:tabs>
          <w:tab w:val="left" w:pos="567"/>
        </w:tabs>
        <w:spacing w:after="0" w:line="240" w:lineRule="auto"/>
        <w:ind w:right="4"/>
        <w:jc w:val="center"/>
        <w:rPr>
          <w:rFonts w:ascii="Verdana" w:hAnsi="Verdana"/>
          <w:b/>
          <w:smallCaps/>
          <w:sz w:val="20"/>
          <w:szCs w:val="20"/>
        </w:rPr>
      </w:pPr>
      <w:r w:rsidRPr="0029480F">
        <w:rPr>
          <w:rFonts w:ascii="Verdana" w:hAnsi="Verdana"/>
          <w:b/>
          <w:smallCaps/>
          <w:sz w:val="20"/>
          <w:szCs w:val="20"/>
        </w:rPr>
        <w:t>CORTE INTERAMERICANA DE DERECHOS HUMANOS</w:t>
      </w:r>
    </w:p>
    <w:p w:rsidR="00AA14EA" w:rsidRPr="0029480F" w:rsidRDefault="00AA14EA" w:rsidP="00F75AD0">
      <w:pPr>
        <w:tabs>
          <w:tab w:val="left" w:pos="567"/>
        </w:tabs>
        <w:spacing w:after="0" w:line="240" w:lineRule="auto"/>
        <w:ind w:right="4"/>
        <w:jc w:val="center"/>
        <w:rPr>
          <w:rFonts w:ascii="Verdana" w:hAnsi="Verdana"/>
          <w:b/>
          <w:smallCaps/>
          <w:sz w:val="20"/>
          <w:szCs w:val="20"/>
        </w:rPr>
      </w:pPr>
    </w:p>
    <w:p w:rsidR="00AA14EA" w:rsidRPr="0029480F" w:rsidRDefault="008C5DE0" w:rsidP="00F75AD0">
      <w:pPr>
        <w:tabs>
          <w:tab w:val="left" w:pos="567"/>
        </w:tabs>
        <w:spacing w:after="0" w:line="240" w:lineRule="auto"/>
        <w:ind w:right="4"/>
        <w:jc w:val="center"/>
        <w:rPr>
          <w:rFonts w:ascii="Verdana" w:hAnsi="Verdana"/>
          <w:b/>
          <w:smallCaps/>
          <w:sz w:val="20"/>
          <w:szCs w:val="20"/>
        </w:rPr>
      </w:pPr>
      <w:r>
        <w:rPr>
          <w:rFonts w:ascii="Verdana" w:hAnsi="Verdana"/>
          <w:b/>
          <w:smallCaps/>
          <w:sz w:val="20"/>
          <w:szCs w:val="20"/>
        </w:rPr>
        <w:t xml:space="preserve">DE </w:t>
      </w:r>
      <w:r w:rsidR="00D91ABA">
        <w:rPr>
          <w:rFonts w:ascii="Verdana" w:hAnsi="Verdana"/>
          <w:b/>
          <w:smallCaps/>
          <w:sz w:val="20"/>
          <w:szCs w:val="20"/>
        </w:rPr>
        <w:t>22</w:t>
      </w:r>
      <w:r w:rsidR="00C04563" w:rsidRPr="00C04563">
        <w:rPr>
          <w:rFonts w:ascii="Verdana" w:hAnsi="Verdana"/>
          <w:b/>
          <w:smallCaps/>
          <w:sz w:val="20"/>
          <w:szCs w:val="20"/>
        </w:rPr>
        <w:t xml:space="preserve"> DE NOVIEMBRE</w:t>
      </w:r>
      <w:r w:rsidR="00AA14EA" w:rsidRPr="00C04563">
        <w:rPr>
          <w:rFonts w:ascii="Verdana" w:hAnsi="Verdana"/>
          <w:b/>
          <w:smallCaps/>
          <w:sz w:val="20"/>
          <w:szCs w:val="20"/>
        </w:rPr>
        <w:t xml:space="preserve"> DE 2016</w:t>
      </w:r>
    </w:p>
    <w:p w:rsidR="00AA14EA" w:rsidRPr="0029480F" w:rsidRDefault="00AA14EA" w:rsidP="00F75AD0">
      <w:pPr>
        <w:tabs>
          <w:tab w:val="left" w:pos="567"/>
        </w:tabs>
        <w:spacing w:after="0" w:line="240" w:lineRule="auto"/>
        <w:ind w:right="4"/>
        <w:jc w:val="center"/>
        <w:rPr>
          <w:rFonts w:ascii="Verdana" w:hAnsi="Verdana"/>
          <w:b/>
          <w:smallCaps/>
          <w:sz w:val="20"/>
          <w:szCs w:val="20"/>
        </w:rPr>
      </w:pPr>
    </w:p>
    <w:p w:rsidR="00AA14EA" w:rsidRPr="0029480F" w:rsidRDefault="00AA14EA" w:rsidP="00F75AD0">
      <w:pPr>
        <w:tabs>
          <w:tab w:val="left" w:pos="567"/>
        </w:tabs>
        <w:spacing w:after="0" w:line="240" w:lineRule="auto"/>
        <w:ind w:right="4"/>
        <w:jc w:val="center"/>
        <w:rPr>
          <w:rFonts w:ascii="Verdana" w:hAnsi="Verdana"/>
          <w:b/>
          <w:bCs/>
          <w:smallCaps/>
          <w:sz w:val="20"/>
          <w:szCs w:val="20"/>
          <w:lang w:val="es-ES_tradnl"/>
        </w:rPr>
      </w:pPr>
      <w:r w:rsidRPr="0029480F">
        <w:rPr>
          <w:rFonts w:ascii="Verdana" w:hAnsi="Verdana"/>
          <w:b/>
          <w:bCs/>
          <w:smallCaps/>
          <w:sz w:val="20"/>
          <w:szCs w:val="20"/>
          <w:lang w:val="es-ES_tradnl"/>
        </w:rPr>
        <w:t>CASO FAMILIA BARRIOS VS</w:t>
      </w:r>
      <w:r>
        <w:rPr>
          <w:rFonts w:ascii="Verdana" w:hAnsi="Verdana"/>
          <w:b/>
          <w:bCs/>
          <w:smallCaps/>
          <w:sz w:val="20"/>
          <w:szCs w:val="20"/>
          <w:lang w:val="es-ES_tradnl"/>
        </w:rPr>
        <w:t>.</w:t>
      </w:r>
      <w:r w:rsidRPr="0029480F">
        <w:rPr>
          <w:rFonts w:ascii="Verdana" w:hAnsi="Verdana"/>
          <w:b/>
          <w:bCs/>
          <w:smallCaps/>
          <w:sz w:val="20"/>
          <w:szCs w:val="20"/>
          <w:lang w:val="es-ES_tradnl"/>
        </w:rPr>
        <w:t xml:space="preserve"> VENEZUELA   </w:t>
      </w:r>
    </w:p>
    <w:p w:rsidR="00AA14EA" w:rsidRPr="0029480F" w:rsidRDefault="00AA14EA" w:rsidP="00F75AD0">
      <w:pPr>
        <w:tabs>
          <w:tab w:val="left" w:pos="567"/>
        </w:tabs>
        <w:spacing w:after="0" w:line="240" w:lineRule="auto"/>
        <w:ind w:right="4"/>
        <w:jc w:val="center"/>
        <w:rPr>
          <w:rFonts w:ascii="Verdana" w:hAnsi="Verdana"/>
          <w:bCs/>
          <w:iCs/>
          <w:smallCaps/>
          <w:sz w:val="20"/>
          <w:szCs w:val="20"/>
          <w:lang w:val="es-ES_tradnl"/>
        </w:rPr>
      </w:pPr>
    </w:p>
    <w:p w:rsidR="00AA14EA" w:rsidRPr="0029480F" w:rsidRDefault="00AA14EA" w:rsidP="00F75AD0">
      <w:pPr>
        <w:tabs>
          <w:tab w:val="left" w:pos="567"/>
        </w:tabs>
        <w:spacing w:after="0" w:line="240" w:lineRule="auto"/>
        <w:ind w:right="4"/>
        <w:jc w:val="center"/>
        <w:rPr>
          <w:rFonts w:ascii="Verdana" w:hAnsi="Verdana"/>
          <w:b/>
          <w:smallCaps/>
          <w:sz w:val="20"/>
          <w:szCs w:val="20"/>
        </w:rPr>
      </w:pPr>
      <w:r w:rsidRPr="0029480F">
        <w:rPr>
          <w:rFonts w:ascii="Verdana" w:hAnsi="Verdana"/>
          <w:b/>
          <w:smallCaps/>
          <w:sz w:val="20"/>
          <w:szCs w:val="20"/>
        </w:rPr>
        <w:t>SUPERVISIÓN DE CUMPLIMIENTO DE SENTENCIA</w:t>
      </w:r>
    </w:p>
    <w:p w:rsidR="00AA14EA" w:rsidRPr="00814CDB" w:rsidRDefault="00AA14EA" w:rsidP="00F75AD0">
      <w:pPr>
        <w:spacing w:line="240" w:lineRule="auto"/>
        <w:ind w:right="4"/>
        <w:rPr>
          <w:rFonts w:ascii="Verdana" w:hAnsi="Verdana"/>
          <w:sz w:val="20"/>
          <w:szCs w:val="20"/>
        </w:rPr>
      </w:pPr>
    </w:p>
    <w:p w:rsidR="00AA14EA" w:rsidRPr="00814CDB" w:rsidRDefault="00AA14EA" w:rsidP="00F75AD0">
      <w:pPr>
        <w:spacing w:line="240" w:lineRule="auto"/>
        <w:ind w:right="4"/>
        <w:jc w:val="both"/>
        <w:rPr>
          <w:rFonts w:ascii="Verdana" w:hAnsi="Verdana"/>
          <w:b/>
          <w:sz w:val="20"/>
          <w:szCs w:val="20"/>
        </w:rPr>
      </w:pPr>
      <w:r w:rsidRPr="00814CDB">
        <w:rPr>
          <w:rFonts w:ascii="Verdana" w:hAnsi="Verdana"/>
          <w:b/>
          <w:sz w:val="20"/>
          <w:szCs w:val="20"/>
        </w:rPr>
        <w:t>VISTO:</w:t>
      </w:r>
    </w:p>
    <w:p w:rsidR="00AA14EA" w:rsidRPr="00814CDB" w:rsidRDefault="00AA14EA" w:rsidP="00F75AD0">
      <w:pPr>
        <w:numPr>
          <w:ilvl w:val="0"/>
          <w:numId w:val="1"/>
        </w:numPr>
        <w:tabs>
          <w:tab w:val="left" w:pos="567"/>
        </w:tabs>
        <w:spacing w:after="0" w:line="240" w:lineRule="auto"/>
        <w:ind w:left="0" w:right="4" w:firstLine="0"/>
        <w:contextualSpacing/>
        <w:jc w:val="both"/>
        <w:rPr>
          <w:rFonts w:ascii="Verdana" w:hAnsi="Verdana"/>
          <w:noProof/>
          <w:sz w:val="20"/>
          <w:szCs w:val="20"/>
        </w:rPr>
      </w:pPr>
      <w:r w:rsidRPr="00814CDB">
        <w:rPr>
          <w:rFonts w:ascii="Verdana" w:hAnsi="Verdana"/>
          <w:sz w:val="20"/>
          <w:szCs w:val="20"/>
        </w:rPr>
        <w:t xml:space="preserve"> </w:t>
      </w:r>
      <w:bookmarkStart w:id="1" w:name="_Ref464731909"/>
      <w:r w:rsidRPr="00814CDB">
        <w:rPr>
          <w:rFonts w:ascii="Verdana" w:hAnsi="Verdana"/>
          <w:sz w:val="20"/>
          <w:szCs w:val="20"/>
        </w:rPr>
        <w:t xml:space="preserve">La Sentencia de fondo, reparaciones y costas (en adelante “la Sentencia”) dictada por la Corte Interamericana de Derechos Humanos (en adelante “la Corte Interamericana”, “la Corte” o “el Tribunal”) el 24 de </w:t>
      </w:r>
      <w:r w:rsidRPr="00814CDB">
        <w:rPr>
          <w:rFonts w:ascii="Verdana" w:eastAsia="Times" w:hAnsi="Verdana" w:cs="Arial"/>
          <w:sz w:val="20"/>
          <w:szCs w:val="20"/>
          <w:lang w:val="es-ES_tradnl"/>
        </w:rPr>
        <w:t>noviembre</w:t>
      </w:r>
      <w:r w:rsidRPr="00814CDB">
        <w:rPr>
          <w:rFonts w:ascii="Verdana" w:hAnsi="Verdana"/>
          <w:sz w:val="20"/>
          <w:szCs w:val="20"/>
        </w:rPr>
        <w:t xml:space="preserve"> de 2011</w:t>
      </w:r>
      <w:r>
        <w:rPr>
          <w:rStyle w:val="Refdenotaalpie"/>
          <w:rFonts w:ascii="Verdana" w:hAnsi="Verdana"/>
          <w:sz w:val="20"/>
          <w:szCs w:val="20"/>
        </w:rPr>
        <w:footnoteReference w:id="1"/>
      </w:r>
      <w:r w:rsidRPr="00814CDB">
        <w:rPr>
          <w:rFonts w:ascii="Verdana" w:hAnsi="Verdana"/>
          <w:sz w:val="20"/>
          <w:szCs w:val="20"/>
        </w:rPr>
        <w:t xml:space="preserve">. </w:t>
      </w:r>
      <w:r w:rsidRPr="00814CDB">
        <w:rPr>
          <w:rFonts w:ascii="Verdana" w:hAnsi="Verdana"/>
          <w:noProof/>
          <w:sz w:val="20"/>
          <w:szCs w:val="20"/>
        </w:rPr>
        <w:t xml:space="preserve">El caso se refiere a la privación de la vida de </w:t>
      </w:r>
      <w:r>
        <w:rPr>
          <w:rFonts w:ascii="Verdana" w:hAnsi="Verdana"/>
          <w:noProof/>
          <w:sz w:val="20"/>
          <w:szCs w:val="20"/>
        </w:rPr>
        <w:t xml:space="preserve">siete </w:t>
      </w:r>
      <w:r w:rsidRPr="00814CDB">
        <w:rPr>
          <w:rFonts w:ascii="Verdana" w:hAnsi="Verdana"/>
          <w:noProof/>
          <w:sz w:val="20"/>
          <w:szCs w:val="20"/>
        </w:rPr>
        <w:t xml:space="preserve">integrantes de </w:t>
      </w:r>
      <w:r>
        <w:rPr>
          <w:rFonts w:ascii="Verdana" w:hAnsi="Verdana"/>
          <w:noProof/>
          <w:sz w:val="20"/>
          <w:szCs w:val="20"/>
        </w:rPr>
        <w:t>la</w:t>
      </w:r>
      <w:r w:rsidRPr="00814CDB">
        <w:rPr>
          <w:rFonts w:ascii="Verdana" w:hAnsi="Verdana"/>
          <w:noProof/>
          <w:sz w:val="20"/>
          <w:szCs w:val="20"/>
        </w:rPr>
        <w:t xml:space="preserve"> familia </w:t>
      </w:r>
      <w:r>
        <w:rPr>
          <w:rFonts w:ascii="Verdana" w:hAnsi="Verdana"/>
          <w:noProof/>
          <w:sz w:val="20"/>
          <w:szCs w:val="20"/>
        </w:rPr>
        <w:t>Barrios a partir d</w:t>
      </w:r>
      <w:r w:rsidRPr="00814CDB">
        <w:rPr>
          <w:rFonts w:ascii="Verdana" w:hAnsi="Verdana"/>
          <w:noProof/>
          <w:sz w:val="20"/>
          <w:szCs w:val="20"/>
        </w:rPr>
        <w:t>el año 1998</w:t>
      </w:r>
      <w:r>
        <w:rPr>
          <w:rFonts w:ascii="Verdana" w:hAnsi="Verdana"/>
          <w:noProof/>
          <w:sz w:val="20"/>
          <w:szCs w:val="20"/>
        </w:rPr>
        <w:t xml:space="preserve"> en el estado Aragua</w:t>
      </w:r>
      <w:r w:rsidRPr="00814CDB">
        <w:rPr>
          <w:rFonts w:ascii="Verdana" w:hAnsi="Verdana"/>
          <w:noProof/>
          <w:sz w:val="20"/>
          <w:szCs w:val="20"/>
        </w:rPr>
        <w:t xml:space="preserve">, al igual que el </w:t>
      </w:r>
      <w:r w:rsidRPr="00814CDB">
        <w:rPr>
          <w:rFonts w:ascii="Verdana" w:hAnsi="Verdana"/>
          <w:sz w:val="20"/>
          <w:szCs w:val="20"/>
        </w:rPr>
        <w:t>allanamiento</w:t>
      </w:r>
      <w:r w:rsidRPr="00814CDB">
        <w:rPr>
          <w:rFonts w:ascii="Verdana" w:hAnsi="Verdana"/>
          <w:noProof/>
          <w:sz w:val="20"/>
          <w:szCs w:val="20"/>
        </w:rPr>
        <w:t xml:space="preserve"> de las residencias de algunos de </w:t>
      </w:r>
      <w:r>
        <w:rPr>
          <w:rFonts w:ascii="Verdana" w:hAnsi="Verdana"/>
          <w:noProof/>
          <w:sz w:val="20"/>
          <w:szCs w:val="20"/>
        </w:rPr>
        <w:t>los integrantes de dicha familia</w:t>
      </w:r>
      <w:r w:rsidRPr="00814CDB">
        <w:rPr>
          <w:rFonts w:ascii="Verdana" w:hAnsi="Verdana"/>
          <w:noProof/>
          <w:sz w:val="20"/>
          <w:szCs w:val="20"/>
        </w:rPr>
        <w:t>, la sustracción y destrucción de bienes, y la detención, agresión y amenaza en contra de otros</w:t>
      </w:r>
      <w:r>
        <w:rPr>
          <w:rFonts w:ascii="Verdana" w:hAnsi="Verdana"/>
          <w:noProof/>
          <w:sz w:val="20"/>
          <w:szCs w:val="20"/>
        </w:rPr>
        <w:t xml:space="preserve"> integrantres de la misma</w:t>
      </w:r>
      <w:r w:rsidRPr="00814CDB">
        <w:rPr>
          <w:rFonts w:ascii="Verdana" w:hAnsi="Verdana"/>
          <w:noProof/>
          <w:sz w:val="20"/>
          <w:szCs w:val="20"/>
        </w:rPr>
        <w:t xml:space="preserve">, incluidos </w:t>
      </w:r>
      <w:r>
        <w:rPr>
          <w:rFonts w:ascii="Verdana" w:hAnsi="Verdana"/>
          <w:noProof/>
          <w:sz w:val="20"/>
          <w:szCs w:val="20"/>
        </w:rPr>
        <w:t>menores de edad</w:t>
      </w:r>
      <w:r w:rsidRPr="00814CDB">
        <w:rPr>
          <w:rFonts w:ascii="Verdana" w:hAnsi="Verdana"/>
          <w:noProof/>
          <w:sz w:val="20"/>
          <w:szCs w:val="20"/>
        </w:rPr>
        <w:t xml:space="preserve">. </w:t>
      </w:r>
      <w:r>
        <w:rPr>
          <w:rFonts w:ascii="Verdana" w:hAnsi="Verdana"/>
          <w:noProof/>
          <w:sz w:val="20"/>
          <w:szCs w:val="20"/>
        </w:rPr>
        <w:t>La Corte determinó que tres miembros de la familia Barrios fueron privados de la vida por funcionarios</w:t>
      </w:r>
      <w:r w:rsidR="00AD20B6">
        <w:rPr>
          <w:rFonts w:ascii="Verdana" w:hAnsi="Verdana"/>
          <w:noProof/>
          <w:sz w:val="20"/>
          <w:szCs w:val="20"/>
        </w:rPr>
        <w:t xml:space="preserve"> policiales</w:t>
      </w:r>
      <w:r>
        <w:rPr>
          <w:rStyle w:val="Refdenotaalpie"/>
          <w:rFonts w:ascii="Verdana" w:hAnsi="Verdana"/>
          <w:noProof/>
          <w:sz w:val="20"/>
          <w:szCs w:val="20"/>
        </w:rPr>
        <w:footnoteReference w:id="2"/>
      </w:r>
      <w:r>
        <w:rPr>
          <w:rFonts w:ascii="Verdana" w:hAnsi="Verdana"/>
          <w:noProof/>
          <w:sz w:val="20"/>
          <w:szCs w:val="20"/>
        </w:rPr>
        <w:t xml:space="preserve"> y, respecto a la muerte de los otros cuatro miembros de la familia, encontró que la República Bolivariana de Venezuela (en adelante “el Estado” o “Venezuela”) no adoptó medidas de prevención y protección suficientes y efectivas para garantizarles el derecho a la vida teniendo conocimiento del riesgo que corrían. </w:t>
      </w:r>
      <w:r w:rsidRPr="00814CDB">
        <w:rPr>
          <w:rFonts w:ascii="Verdana" w:hAnsi="Verdana"/>
          <w:noProof/>
          <w:sz w:val="20"/>
          <w:szCs w:val="20"/>
        </w:rPr>
        <w:t xml:space="preserve">En </w:t>
      </w:r>
      <w:r>
        <w:rPr>
          <w:rFonts w:ascii="Verdana" w:hAnsi="Verdana"/>
          <w:noProof/>
          <w:sz w:val="20"/>
          <w:szCs w:val="20"/>
        </w:rPr>
        <w:t xml:space="preserve">lo que respecta a </w:t>
      </w:r>
      <w:r w:rsidRPr="00814CDB">
        <w:rPr>
          <w:rFonts w:ascii="Verdana" w:hAnsi="Verdana"/>
          <w:noProof/>
          <w:sz w:val="20"/>
          <w:szCs w:val="20"/>
        </w:rPr>
        <w:t>las investigaciones penales realizadas a nivel interno relacionadas con los hechos del presente caso, la Corte concluyó que no se llevaron a cabo las diligencias necesarias para proceder a la comprobación material de los hechos, en ninguna de éstas se identificó y sancionó a los responsables, y hubo retardo en la práctica de diligencias claves para el desarrollo de las investigaciones. Con base en lo anterior, la Corte declaró que el Estado de Venezuela resultó internacionalmente responsable por la violación, entre otros, de los derechos a la vida, a la integridad y a la libertad personal, a la vida privada, a la propiedad privada, de circulación y residencia, a las garantías judiciales y a la protección judicial</w:t>
      </w:r>
      <w:r w:rsidR="0037167C">
        <w:rPr>
          <w:rFonts w:ascii="Verdana" w:hAnsi="Verdana"/>
          <w:noProof/>
          <w:sz w:val="20"/>
          <w:szCs w:val="20"/>
        </w:rPr>
        <w:t>, consagrados, rspectivamente en los artículos 4.1, 5, 7, 11.2, 21.1, 21.2, 22.1, 8.1 y 2</w:t>
      </w:r>
      <w:r w:rsidR="0003086C">
        <w:rPr>
          <w:rFonts w:ascii="Verdana" w:hAnsi="Verdana"/>
          <w:noProof/>
          <w:sz w:val="20"/>
          <w:szCs w:val="20"/>
        </w:rPr>
        <w:t>5</w:t>
      </w:r>
      <w:r w:rsidR="0037167C">
        <w:rPr>
          <w:rFonts w:ascii="Verdana" w:hAnsi="Verdana"/>
          <w:noProof/>
          <w:sz w:val="20"/>
          <w:szCs w:val="20"/>
        </w:rPr>
        <w:t>.1</w:t>
      </w:r>
      <w:r w:rsidR="00865304" w:rsidRPr="00865304">
        <w:rPr>
          <w:rFonts w:ascii="Verdana" w:hAnsi="Verdana" w:cs="Arial"/>
          <w:sz w:val="20"/>
          <w:szCs w:val="20"/>
        </w:rPr>
        <w:t xml:space="preserve"> </w:t>
      </w:r>
      <w:r w:rsidR="00865304">
        <w:rPr>
          <w:rFonts w:ascii="Verdana" w:hAnsi="Verdana" w:cs="Arial"/>
          <w:sz w:val="20"/>
          <w:szCs w:val="20"/>
        </w:rPr>
        <w:t xml:space="preserve">de la Convención Americana sobre Derechos Humanos (en adelante “la </w:t>
      </w:r>
      <w:r w:rsidR="008624BC">
        <w:rPr>
          <w:rFonts w:ascii="Verdana" w:hAnsi="Verdana" w:cs="Arial"/>
          <w:sz w:val="20"/>
          <w:szCs w:val="20"/>
        </w:rPr>
        <w:t>C</w:t>
      </w:r>
      <w:r w:rsidR="00865304">
        <w:rPr>
          <w:rFonts w:ascii="Verdana" w:hAnsi="Verdana" w:cs="Arial"/>
          <w:sz w:val="20"/>
          <w:szCs w:val="20"/>
        </w:rPr>
        <w:t xml:space="preserve">onvención Americana” o “la Convención”), en relación con </w:t>
      </w:r>
      <w:r w:rsidR="00632F2C">
        <w:rPr>
          <w:rFonts w:ascii="Verdana" w:hAnsi="Verdana" w:cs="Arial"/>
          <w:sz w:val="20"/>
          <w:szCs w:val="20"/>
        </w:rPr>
        <w:t>los</w:t>
      </w:r>
      <w:r w:rsidR="00865304">
        <w:rPr>
          <w:rFonts w:ascii="Verdana" w:hAnsi="Verdana" w:cs="Arial"/>
          <w:sz w:val="20"/>
          <w:szCs w:val="20"/>
        </w:rPr>
        <w:t xml:space="preserve"> artículo</w:t>
      </w:r>
      <w:r w:rsidR="00632F2C">
        <w:rPr>
          <w:rFonts w:ascii="Verdana" w:hAnsi="Verdana" w:cs="Arial"/>
          <w:sz w:val="20"/>
          <w:szCs w:val="20"/>
        </w:rPr>
        <w:t>s</w:t>
      </w:r>
      <w:r w:rsidR="00865304">
        <w:rPr>
          <w:rFonts w:ascii="Verdana" w:hAnsi="Verdana" w:cs="Arial"/>
          <w:sz w:val="20"/>
          <w:szCs w:val="20"/>
        </w:rPr>
        <w:t xml:space="preserve"> 1.1 y 19 de la misma, en perjuicio de </w:t>
      </w:r>
      <w:r w:rsidRPr="00814CDB">
        <w:rPr>
          <w:rFonts w:ascii="Verdana" w:hAnsi="Verdana"/>
          <w:noProof/>
          <w:sz w:val="20"/>
          <w:szCs w:val="20"/>
        </w:rPr>
        <w:t>determinados integrantes de la familia Barrios</w:t>
      </w:r>
      <w:r>
        <w:rPr>
          <w:rFonts w:ascii="Verdana" w:hAnsi="Verdana"/>
          <w:noProof/>
          <w:sz w:val="20"/>
          <w:szCs w:val="20"/>
        </w:rPr>
        <w:t xml:space="preserve">, siendo </w:t>
      </w:r>
      <w:r w:rsidRPr="00E4482B">
        <w:rPr>
          <w:rFonts w:ascii="Verdana" w:hAnsi="Verdana"/>
          <w:noProof/>
          <w:sz w:val="20"/>
          <w:szCs w:val="20"/>
        </w:rPr>
        <w:t>en total 48 miembros</w:t>
      </w:r>
      <w:r>
        <w:rPr>
          <w:rFonts w:ascii="Verdana" w:hAnsi="Verdana"/>
          <w:noProof/>
          <w:sz w:val="20"/>
          <w:szCs w:val="20"/>
        </w:rPr>
        <w:t xml:space="preserve"> de esa familia víctimas de este caso.</w:t>
      </w:r>
      <w:r w:rsidRPr="00814CDB">
        <w:rPr>
          <w:rFonts w:ascii="Verdana" w:hAnsi="Verdana"/>
          <w:sz w:val="20"/>
          <w:szCs w:val="20"/>
        </w:rPr>
        <w:t xml:space="preserve"> El Tribunal estableció que su Sentencia constituye </w:t>
      </w:r>
      <w:r w:rsidR="00AD20B6" w:rsidRPr="002D31ED">
        <w:rPr>
          <w:rFonts w:ascii="Verdana" w:hAnsi="Verdana"/>
          <w:sz w:val="20"/>
          <w:szCs w:val="20"/>
        </w:rPr>
        <w:t>por sí misma</w:t>
      </w:r>
      <w:r w:rsidRPr="00814CDB">
        <w:rPr>
          <w:rFonts w:ascii="Verdana" w:hAnsi="Verdana"/>
          <w:sz w:val="20"/>
          <w:szCs w:val="20"/>
        </w:rPr>
        <w:t xml:space="preserve"> una forma de reparación y, adicionalmente, ordenó al Estado determinadas medidas de reparación </w:t>
      </w:r>
      <w:r w:rsidRPr="00865304">
        <w:rPr>
          <w:rFonts w:ascii="Verdana" w:hAnsi="Verdana"/>
          <w:sz w:val="20"/>
          <w:szCs w:val="20"/>
        </w:rPr>
        <w:t>(</w:t>
      </w:r>
      <w:r w:rsidRPr="00865304">
        <w:rPr>
          <w:rFonts w:ascii="Verdana" w:hAnsi="Verdana"/>
          <w:i/>
          <w:sz w:val="20"/>
          <w:szCs w:val="20"/>
        </w:rPr>
        <w:t>infra</w:t>
      </w:r>
      <w:r w:rsidR="00865304" w:rsidRPr="00865304">
        <w:rPr>
          <w:rFonts w:ascii="Verdana" w:hAnsi="Verdana"/>
          <w:sz w:val="20"/>
          <w:szCs w:val="20"/>
        </w:rPr>
        <w:t xml:space="preserve"> Considerando </w:t>
      </w:r>
      <w:r w:rsidR="00F75AD0">
        <w:rPr>
          <w:rFonts w:ascii="Verdana" w:hAnsi="Verdana"/>
          <w:sz w:val="20"/>
          <w:szCs w:val="20"/>
          <w:highlight w:val="yellow"/>
        </w:rPr>
        <w:fldChar w:fldCharType="begin"/>
      </w:r>
      <w:r w:rsidR="00F75AD0">
        <w:rPr>
          <w:rFonts w:ascii="Verdana" w:hAnsi="Verdana"/>
          <w:sz w:val="20"/>
          <w:szCs w:val="20"/>
        </w:rPr>
        <w:instrText xml:space="preserve"> REF _Ref464731894 \r \h </w:instrText>
      </w:r>
      <w:r w:rsidR="00F75AD0">
        <w:rPr>
          <w:rFonts w:ascii="Verdana" w:hAnsi="Verdana"/>
          <w:sz w:val="20"/>
          <w:szCs w:val="20"/>
          <w:highlight w:val="yellow"/>
        </w:rPr>
        <w:instrText xml:space="preserve"> \* MERGEFORMAT </w:instrText>
      </w:r>
      <w:r w:rsidR="00F75AD0">
        <w:rPr>
          <w:rFonts w:ascii="Verdana" w:hAnsi="Verdana"/>
          <w:sz w:val="20"/>
          <w:szCs w:val="20"/>
          <w:highlight w:val="yellow"/>
        </w:rPr>
      </w:r>
      <w:r w:rsidR="00F75AD0">
        <w:rPr>
          <w:rFonts w:ascii="Verdana" w:hAnsi="Verdana"/>
          <w:sz w:val="20"/>
          <w:szCs w:val="20"/>
          <w:highlight w:val="yellow"/>
        </w:rPr>
        <w:fldChar w:fldCharType="separate"/>
      </w:r>
      <w:r w:rsidR="00711324">
        <w:rPr>
          <w:rFonts w:ascii="Verdana" w:hAnsi="Verdana"/>
          <w:sz w:val="20"/>
          <w:szCs w:val="20"/>
        </w:rPr>
        <w:t>1</w:t>
      </w:r>
      <w:r w:rsidR="00F75AD0">
        <w:rPr>
          <w:rFonts w:ascii="Verdana" w:hAnsi="Verdana"/>
          <w:sz w:val="20"/>
          <w:szCs w:val="20"/>
          <w:highlight w:val="yellow"/>
        </w:rPr>
        <w:fldChar w:fldCharType="end"/>
      </w:r>
      <w:r w:rsidRPr="00865304">
        <w:rPr>
          <w:rFonts w:ascii="Verdana" w:hAnsi="Verdana"/>
          <w:sz w:val="20"/>
          <w:szCs w:val="20"/>
        </w:rPr>
        <w:t>)</w:t>
      </w:r>
      <w:r w:rsidRPr="00814CDB">
        <w:rPr>
          <w:rFonts w:ascii="Verdana" w:hAnsi="Verdana"/>
          <w:sz w:val="20"/>
          <w:szCs w:val="20"/>
        </w:rPr>
        <w:t>.</w:t>
      </w:r>
      <w:bookmarkEnd w:id="1"/>
      <w:r w:rsidRPr="00814CDB">
        <w:rPr>
          <w:rFonts w:ascii="Verdana" w:hAnsi="Verdana"/>
          <w:noProof/>
          <w:sz w:val="20"/>
          <w:szCs w:val="20"/>
        </w:rPr>
        <w:t xml:space="preserve"> </w:t>
      </w:r>
    </w:p>
    <w:p w:rsidR="00AA14EA" w:rsidRPr="00814CDB" w:rsidRDefault="00AA14EA" w:rsidP="00F75AD0">
      <w:pPr>
        <w:pStyle w:val="Textoindependiente2"/>
        <w:ind w:right="4"/>
        <w:rPr>
          <w:rFonts w:cs="Arial"/>
        </w:rPr>
      </w:pPr>
    </w:p>
    <w:p w:rsidR="00FC29AF" w:rsidRDefault="00CA1DAC" w:rsidP="00F772F5">
      <w:pPr>
        <w:numPr>
          <w:ilvl w:val="0"/>
          <w:numId w:val="1"/>
        </w:numPr>
        <w:tabs>
          <w:tab w:val="left" w:pos="567"/>
        </w:tabs>
        <w:spacing w:after="0" w:line="240" w:lineRule="auto"/>
        <w:ind w:left="0" w:right="4" w:firstLine="0"/>
        <w:contextualSpacing/>
        <w:jc w:val="both"/>
        <w:rPr>
          <w:rFonts w:ascii="Verdana" w:hAnsi="Verdana"/>
          <w:sz w:val="20"/>
          <w:szCs w:val="20"/>
        </w:rPr>
      </w:pPr>
      <w:bookmarkStart w:id="2" w:name="_Ref467833670"/>
      <w:bookmarkStart w:id="3" w:name="_Ref464732012"/>
      <w:r>
        <w:rPr>
          <w:rFonts w:ascii="Verdana" w:hAnsi="Verdana"/>
          <w:sz w:val="20"/>
          <w:szCs w:val="20"/>
        </w:rPr>
        <w:t>La</w:t>
      </w:r>
      <w:r w:rsidR="00576FE7">
        <w:rPr>
          <w:rFonts w:ascii="Verdana" w:hAnsi="Verdana"/>
          <w:sz w:val="20"/>
          <w:szCs w:val="20"/>
        </w:rPr>
        <w:t>s</w:t>
      </w:r>
      <w:r>
        <w:rPr>
          <w:rFonts w:ascii="Verdana" w:hAnsi="Verdana"/>
          <w:sz w:val="20"/>
          <w:szCs w:val="20"/>
        </w:rPr>
        <w:t xml:space="preserve"> </w:t>
      </w:r>
      <w:r w:rsidR="00576FE7">
        <w:rPr>
          <w:rFonts w:ascii="Verdana" w:hAnsi="Verdana"/>
          <w:sz w:val="20"/>
          <w:szCs w:val="20"/>
        </w:rPr>
        <w:t xml:space="preserve">resoluciones </w:t>
      </w:r>
      <w:r w:rsidR="004D52B5">
        <w:rPr>
          <w:rFonts w:ascii="Verdana" w:hAnsi="Verdana"/>
          <w:sz w:val="20"/>
          <w:szCs w:val="20"/>
        </w:rPr>
        <w:t xml:space="preserve">de </w:t>
      </w:r>
      <w:r w:rsidR="00A400DB">
        <w:rPr>
          <w:rFonts w:ascii="Verdana" w:hAnsi="Verdana"/>
          <w:sz w:val="20"/>
          <w:szCs w:val="20"/>
        </w:rPr>
        <w:t xml:space="preserve">supervisión </w:t>
      </w:r>
      <w:r w:rsidR="00637C09">
        <w:rPr>
          <w:rFonts w:ascii="Verdana" w:hAnsi="Verdana"/>
          <w:sz w:val="20"/>
          <w:szCs w:val="20"/>
        </w:rPr>
        <w:t xml:space="preserve">de cumplimiento de </w:t>
      </w:r>
      <w:r w:rsidR="00576FE7">
        <w:rPr>
          <w:rFonts w:ascii="Verdana" w:hAnsi="Verdana"/>
          <w:sz w:val="20"/>
          <w:szCs w:val="20"/>
        </w:rPr>
        <w:t>s</w:t>
      </w:r>
      <w:r w:rsidR="00637C09">
        <w:rPr>
          <w:rFonts w:ascii="Verdana" w:hAnsi="Verdana"/>
          <w:sz w:val="20"/>
          <w:szCs w:val="20"/>
        </w:rPr>
        <w:t>entencia emitida</w:t>
      </w:r>
      <w:r w:rsidR="00576FE7">
        <w:rPr>
          <w:rFonts w:ascii="Verdana" w:hAnsi="Verdana"/>
          <w:sz w:val="20"/>
          <w:szCs w:val="20"/>
        </w:rPr>
        <w:t>s</w:t>
      </w:r>
      <w:r w:rsidR="00637C09">
        <w:rPr>
          <w:rFonts w:ascii="Verdana" w:hAnsi="Verdana"/>
          <w:sz w:val="20"/>
          <w:szCs w:val="20"/>
        </w:rPr>
        <w:t xml:space="preserve"> </w:t>
      </w:r>
      <w:r w:rsidR="00576FE7">
        <w:rPr>
          <w:rFonts w:ascii="Verdana" w:hAnsi="Verdana"/>
          <w:sz w:val="20"/>
          <w:szCs w:val="20"/>
        </w:rPr>
        <w:t>por la Corte los días</w:t>
      </w:r>
      <w:r w:rsidR="00637C09">
        <w:rPr>
          <w:rFonts w:ascii="Verdana" w:hAnsi="Verdana"/>
          <w:sz w:val="20"/>
          <w:szCs w:val="20"/>
        </w:rPr>
        <w:t xml:space="preserve"> </w:t>
      </w:r>
      <w:r>
        <w:rPr>
          <w:rFonts w:ascii="Verdana" w:hAnsi="Verdana"/>
          <w:sz w:val="20"/>
          <w:szCs w:val="20"/>
        </w:rPr>
        <w:t>2 de septiembre de 2015</w:t>
      </w:r>
      <w:bookmarkStart w:id="4" w:name="_Ref469499627"/>
      <w:r w:rsidR="00440DE4">
        <w:rPr>
          <w:rStyle w:val="Refdenotaalpie"/>
          <w:rFonts w:ascii="Verdana" w:hAnsi="Verdana"/>
          <w:sz w:val="20"/>
          <w:szCs w:val="20"/>
        </w:rPr>
        <w:footnoteReference w:id="3"/>
      </w:r>
      <w:bookmarkEnd w:id="4"/>
      <w:r w:rsidR="00576FE7">
        <w:rPr>
          <w:rFonts w:ascii="Verdana" w:hAnsi="Verdana"/>
          <w:sz w:val="20"/>
          <w:szCs w:val="20"/>
        </w:rPr>
        <w:t xml:space="preserve"> y 23 de febrero de 2016</w:t>
      </w:r>
      <w:bookmarkStart w:id="5" w:name="_Ref469499675"/>
      <w:r w:rsidR="00440DE4">
        <w:rPr>
          <w:rStyle w:val="Refdenotaalpie"/>
          <w:rFonts w:ascii="Verdana" w:hAnsi="Verdana"/>
          <w:sz w:val="20"/>
          <w:szCs w:val="20"/>
        </w:rPr>
        <w:footnoteReference w:id="4"/>
      </w:r>
      <w:bookmarkEnd w:id="5"/>
      <w:r w:rsidR="00576FE7">
        <w:rPr>
          <w:rFonts w:ascii="Verdana" w:hAnsi="Verdana"/>
          <w:sz w:val="20"/>
          <w:szCs w:val="20"/>
        </w:rPr>
        <w:t xml:space="preserve"> (</w:t>
      </w:r>
      <w:r w:rsidR="00576FE7" w:rsidRPr="002D31ED">
        <w:rPr>
          <w:rFonts w:ascii="Verdana" w:hAnsi="Verdana"/>
          <w:i/>
          <w:sz w:val="20"/>
          <w:szCs w:val="20"/>
        </w:rPr>
        <w:t>infra</w:t>
      </w:r>
      <w:r w:rsidR="00576FE7">
        <w:rPr>
          <w:rFonts w:ascii="Verdana" w:hAnsi="Verdana"/>
          <w:sz w:val="20"/>
          <w:szCs w:val="20"/>
        </w:rPr>
        <w:t xml:space="preserve"> Considerando </w:t>
      </w:r>
      <w:r w:rsidR="00632F2C">
        <w:rPr>
          <w:rFonts w:ascii="Verdana" w:hAnsi="Verdana"/>
          <w:sz w:val="20"/>
          <w:szCs w:val="20"/>
        </w:rPr>
        <w:fldChar w:fldCharType="begin"/>
      </w:r>
      <w:r w:rsidR="00632F2C">
        <w:rPr>
          <w:rFonts w:ascii="Verdana" w:hAnsi="Verdana"/>
          <w:sz w:val="20"/>
          <w:szCs w:val="20"/>
        </w:rPr>
        <w:instrText xml:space="preserve"> REF _Ref464731894 \r \h </w:instrText>
      </w:r>
      <w:r w:rsidR="00632F2C">
        <w:rPr>
          <w:rFonts w:ascii="Verdana" w:hAnsi="Verdana"/>
          <w:sz w:val="20"/>
          <w:szCs w:val="20"/>
        </w:rPr>
      </w:r>
      <w:r w:rsidR="00632F2C">
        <w:rPr>
          <w:rFonts w:ascii="Verdana" w:hAnsi="Verdana"/>
          <w:sz w:val="20"/>
          <w:szCs w:val="20"/>
        </w:rPr>
        <w:fldChar w:fldCharType="separate"/>
      </w:r>
      <w:r w:rsidR="00711324">
        <w:rPr>
          <w:rFonts w:ascii="Verdana" w:hAnsi="Verdana"/>
          <w:sz w:val="20"/>
          <w:szCs w:val="20"/>
        </w:rPr>
        <w:t>1</w:t>
      </w:r>
      <w:r w:rsidR="00632F2C">
        <w:rPr>
          <w:rFonts w:ascii="Verdana" w:hAnsi="Verdana"/>
          <w:sz w:val="20"/>
          <w:szCs w:val="20"/>
        </w:rPr>
        <w:fldChar w:fldCharType="end"/>
      </w:r>
      <w:r w:rsidR="00576FE7">
        <w:rPr>
          <w:rFonts w:ascii="Verdana" w:hAnsi="Verdana"/>
          <w:sz w:val="20"/>
          <w:szCs w:val="20"/>
        </w:rPr>
        <w:t>).</w:t>
      </w:r>
      <w:bookmarkEnd w:id="2"/>
      <w:r w:rsidR="00576FE7">
        <w:rPr>
          <w:rFonts w:ascii="Verdana" w:hAnsi="Verdana"/>
          <w:sz w:val="20"/>
          <w:szCs w:val="20"/>
        </w:rPr>
        <w:t xml:space="preserve"> </w:t>
      </w:r>
    </w:p>
    <w:bookmarkEnd w:id="3"/>
    <w:p w:rsidR="00EF2F89" w:rsidRPr="00EF2F89" w:rsidRDefault="00EF2F89" w:rsidP="00FC29AF">
      <w:pPr>
        <w:tabs>
          <w:tab w:val="left" w:pos="567"/>
        </w:tabs>
        <w:spacing w:after="0" w:line="240" w:lineRule="auto"/>
        <w:ind w:right="4"/>
        <w:contextualSpacing/>
        <w:jc w:val="both"/>
        <w:rPr>
          <w:rFonts w:ascii="Verdana" w:hAnsi="Verdana"/>
          <w:sz w:val="20"/>
          <w:szCs w:val="20"/>
        </w:rPr>
      </w:pPr>
    </w:p>
    <w:p w:rsidR="004D52B5" w:rsidRDefault="00EF2F89" w:rsidP="00F75AD0">
      <w:pPr>
        <w:numPr>
          <w:ilvl w:val="0"/>
          <w:numId w:val="1"/>
        </w:numPr>
        <w:tabs>
          <w:tab w:val="left" w:pos="567"/>
        </w:tabs>
        <w:spacing w:after="0" w:line="240" w:lineRule="auto"/>
        <w:ind w:left="0" w:right="4" w:firstLine="0"/>
        <w:contextualSpacing/>
        <w:jc w:val="both"/>
        <w:rPr>
          <w:rFonts w:ascii="Verdana" w:hAnsi="Verdana"/>
          <w:sz w:val="20"/>
          <w:szCs w:val="20"/>
        </w:rPr>
      </w:pPr>
      <w:bookmarkStart w:id="6" w:name="_Ref464732108"/>
      <w:r w:rsidRPr="0033258F">
        <w:rPr>
          <w:rFonts w:ascii="Verdana" w:hAnsi="Verdana"/>
          <w:sz w:val="20"/>
          <w:szCs w:val="20"/>
        </w:rPr>
        <w:t>La</w:t>
      </w:r>
      <w:r w:rsidR="004D52B5">
        <w:rPr>
          <w:rFonts w:ascii="Verdana" w:hAnsi="Verdana"/>
          <w:sz w:val="20"/>
          <w:szCs w:val="20"/>
        </w:rPr>
        <w:t>s</w:t>
      </w:r>
      <w:r w:rsidRPr="0033258F">
        <w:rPr>
          <w:rFonts w:ascii="Verdana" w:hAnsi="Verdana"/>
          <w:sz w:val="20"/>
          <w:szCs w:val="20"/>
        </w:rPr>
        <w:t xml:space="preserve"> nota</w:t>
      </w:r>
      <w:r w:rsidR="004D52B5">
        <w:rPr>
          <w:rFonts w:ascii="Verdana" w:hAnsi="Verdana"/>
          <w:sz w:val="20"/>
          <w:szCs w:val="20"/>
        </w:rPr>
        <w:t>s</w:t>
      </w:r>
      <w:r w:rsidRPr="0033258F">
        <w:rPr>
          <w:rFonts w:ascii="Verdana" w:hAnsi="Verdana"/>
          <w:sz w:val="20"/>
          <w:szCs w:val="20"/>
        </w:rPr>
        <w:t xml:space="preserve"> de la </w:t>
      </w:r>
      <w:r w:rsidR="00F772F5">
        <w:rPr>
          <w:rFonts w:ascii="Verdana" w:hAnsi="Verdana"/>
          <w:sz w:val="20"/>
          <w:szCs w:val="20"/>
        </w:rPr>
        <w:t>S</w:t>
      </w:r>
      <w:r w:rsidRPr="0033258F">
        <w:rPr>
          <w:rFonts w:ascii="Verdana" w:hAnsi="Verdana"/>
          <w:sz w:val="20"/>
          <w:szCs w:val="20"/>
        </w:rPr>
        <w:t>ecretaría de la Corte</w:t>
      </w:r>
      <w:r w:rsidR="0033258F" w:rsidRPr="0033258F">
        <w:rPr>
          <w:rFonts w:ascii="Verdana" w:hAnsi="Verdana"/>
          <w:sz w:val="20"/>
          <w:szCs w:val="20"/>
        </w:rPr>
        <w:t xml:space="preserve"> de </w:t>
      </w:r>
      <w:r w:rsidR="004D52B5">
        <w:rPr>
          <w:rFonts w:ascii="Verdana" w:hAnsi="Verdana"/>
          <w:sz w:val="20"/>
          <w:szCs w:val="20"/>
        </w:rPr>
        <w:t xml:space="preserve">8 de febrero y </w:t>
      </w:r>
      <w:r w:rsidR="0033258F" w:rsidRPr="0033258F">
        <w:rPr>
          <w:rFonts w:ascii="Verdana" w:hAnsi="Verdana"/>
          <w:sz w:val="20"/>
          <w:szCs w:val="20"/>
        </w:rPr>
        <w:t>11</w:t>
      </w:r>
      <w:r w:rsidRPr="0033258F">
        <w:rPr>
          <w:rFonts w:ascii="Verdana" w:hAnsi="Verdana"/>
          <w:sz w:val="20"/>
          <w:szCs w:val="20"/>
        </w:rPr>
        <w:t xml:space="preserve"> de </w:t>
      </w:r>
      <w:r w:rsidR="0033258F" w:rsidRPr="0033258F">
        <w:rPr>
          <w:rFonts w:ascii="Verdana" w:hAnsi="Verdana"/>
          <w:sz w:val="20"/>
          <w:szCs w:val="20"/>
        </w:rPr>
        <w:t>julio</w:t>
      </w:r>
      <w:r w:rsidRPr="0033258F">
        <w:rPr>
          <w:rFonts w:ascii="Verdana" w:hAnsi="Verdana"/>
          <w:sz w:val="20"/>
          <w:szCs w:val="20"/>
        </w:rPr>
        <w:t xml:space="preserve"> de 201</w:t>
      </w:r>
      <w:r w:rsidR="0033258F" w:rsidRPr="0033258F">
        <w:rPr>
          <w:rFonts w:ascii="Verdana" w:hAnsi="Verdana"/>
          <w:sz w:val="20"/>
          <w:szCs w:val="20"/>
        </w:rPr>
        <w:t>6</w:t>
      </w:r>
      <w:r w:rsidRPr="0033258F">
        <w:rPr>
          <w:rFonts w:ascii="Verdana" w:hAnsi="Verdana"/>
          <w:sz w:val="20"/>
          <w:szCs w:val="20"/>
        </w:rPr>
        <w:t>, mediante la</w:t>
      </w:r>
      <w:r w:rsidR="004D52B5">
        <w:rPr>
          <w:rFonts w:ascii="Verdana" w:hAnsi="Verdana"/>
          <w:sz w:val="20"/>
          <w:szCs w:val="20"/>
        </w:rPr>
        <w:t>s</w:t>
      </w:r>
      <w:r w:rsidRPr="0033258F">
        <w:rPr>
          <w:rFonts w:ascii="Verdana" w:hAnsi="Verdana"/>
          <w:sz w:val="20"/>
          <w:szCs w:val="20"/>
        </w:rPr>
        <w:t xml:space="preserve"> cual</w:t>
      </w:r>
      <w:r w:rsidR="004D52B5">
        <w:rPr>
          <w:rFonts w:ascii="Verdana" w:hAnsi="Verdana"/>
          <w:sz w:val="20"/>
          <w:szCs w:val="20"/>
        </w:rPr>
        <w:t>es</w:t>
      </w:r>
      <w:r w:rsidRPr="0033258F">
        <w:rPr>
          <w:rFonts w:ascii="Verdana" w:hAnsi="Verdana"/>
          <w:sz w:val="20"/>
          <w:szCs w:val="20"/>
        </w:rPr>
        <w:t>, siguiendo instrucciones del Preside</w:t>
      </w:r>
      <w:r w:rsidR="0033258F" w:rsidRPr="0033258F">
        <w:rPr>
          <w:rFonts w:ascii="Verdana" w:hAnsi="Verdana"/>
          <w:sz w:val="20"/>
          <w:szCs w:val="20"/>
        </w:rPr>
        <w:t>nte del Tribunal, se recordó</w:t>
      </w:r>
      <w:r w:rsidRPr="0033258F">
        <w:rPr>
          <w:rFonts w:ascii="Verdana" w:hAnsi="Verdana"/>
          <w:sz w:val="20"/>
          <w:szCs w:val="20"/>
        </w:rPr>
        <w:t xml:space="preserve"> </w:t>
      </w:r>
      <w:r w:rsidR="0033258F" w:rsidRPr="00814CDB">
        <w:rPr>
          <w:rFonts w:ascii="Verdana" w:hAnsi="Verdana"/>
          <w:noProof/>
          <w:sz w:val="20"/>
          <w:szCs w:val="20"/>
        </w:rPr>
        <w:t xml:space="preserve">al Estado que </w:t>
      </w:r>
      <w:r w:rsidR="0033258F">
        <w:rPr>
          <w:rFonts w:ascii="Verdana" w:hAnsi="Verdana"/>
          <w:noProof/>
          <w:sz w:val="20"/>
          <w:szCs w:val="20"/>
        </w:rPr>
        <w:t>había</w:t>
      </w:r>
      <w:r w:rsidR="004D52B5">
        <w:rPr>
          <w:rFonts w:ascii="Verdana" w:hAnsi="Verdana"/>
          <w:noProof/>
          <w:sz w:val="20"/>
          <w:szCs w:val="20"/>
        </w:rPr>
        <w:t xml:space="preserve">n vencido </w:t>
      </w:r>
      <w:r w:rsidR="0033258F">
        <w:rPr>
          <w:rFonts w:ascii="Verdana" w:hAnsi="Verdana"/>
          <w:noProof/>
          <w:sz w:val="20"/>
          <w:szCs w:val="20"/>
        </w:rPr>
        <w:t>l</w:t>
      </w:r>
      <w:r w:rsidR="004D52B5">
        <w:rPr>
          <w:rFonts w:ascii="Verdana" w:hAnsi="Verdana"/>
          <w:noProof/>
          <w:sz w:val="20"/>
          <w:szCs w:val="20"/>
        </w:rPr>
        <w:t>os</w:t>
      </w:r>
      <w:r w:rsidR="0033258F">
        <w:rPr>
          <w:rFonts w:ascii="Verdana" w:hAnsi="Verdana"/>
          <w:noProof/>
          <w:sz w:val="20"/>
          <w:szCs w:val="20"/>
        </w:rPr>
        <w:t xml:space="preserve"> plazo</w:t>
      </w:r>
      <w:r w:rsidR="004D52B5">
        <w:rPr>
          <w:rFonts w:ascii="Verdana" w:hAnsi="Verdana"/>
          <w:noProof/>
          <w:sz w:val="20"/>
          <w:szCs w:val="20"/>
        </w:rPr>
        <w:t>s</w:t>
      </w:r>
      <w:r w:rsidR="0033258F">
        <w:rPr>
          <w:rFonts w:ascii="Verdana" w:hAnsi="Verdana"/>
          <w:noProof/>
          <w:sz w:val="20"/>
          <w:szCs w:val="20"/>
        </w:rPr>
        <w:t xml:space="preserve"> para que </w:t>
      </w:r>
      <w:r w:rsidR="00041A18">
        <w:rPr>
          <w:rFonts w:ascii="Verdana" w:hAnsi="Verdana"/>
          <w:noProof/>
          <w:sz w:val="20"/>
          <w:szCs w:val="20"/>
        </w:rPr>
        <w:t xml:space="preserve">se </w:t>
      </w:r>
      <w:r w:rsidR="0033258F" w:rsidRPr="00814CDB">
        <w:rPr>
          <w:rFonts w:ascii="Verdana" w:hAnsi="Verdana"/>
          <w:noProof/>
          <w:sz w:val="20"/>
          <w:szCs w:val="20"/>
        </w:rPr>
        <w:t>presentara</w:t>
      </w:r>
      <w:r w:rsidR="00632F2C">
        <w:rPr>
          <w:rFonts w:ascii="Verdana" w:hAnsi="Verdana"/>
          <w:noProof/>
          <w:sz w:val="20"/>
          <w:szCs w:val="20"/>
        </w:rPr>
        <w:t>n</w:t>
      </w:r>
      <w:r w:rsidR="0033258F" w:rsidRPr="00814CDB">
        <w:rPr>
          <w:rFonts w:ascii="Verdana" w:hAnsi="Verdana"/>
          <w:noProof/>
          <w:sz w:val="20"/>
          <w:szCs w:val="20"/>
        </w:rPr>
        <w:t xml:space="preserve"> </w:t>
      </w:r>
      <w:r w:rsidR="004D52B5">
        <w:rPr>
          <w:rFonts w:ascii="Verdana" w:hAnsi="Verdana"/>
          <w:noProof/>
          <w:sz w:val="20"/>
          <w:szCs w:val="20"/>
        </w:rPr>
        <w:t>los</w:t>
      </w:r>
      <w:r w:rsidR="0033258F" w:rsidRPr="00814CDB">
        <w:rPr>
          <w:rFonts w:ascii="Verdana" w:hAnsi="Verdana"/>
          <w:noProof/>
          <w:sz w:val="20"/>
          <w:szCs w:val="20"/>
        </w:rPr>
        <w:t xml:space="preserve"> informe</w:t>
      </w:r>
      <w:r w:rsidR="004D52B5">
        <w:rPr>
          <w:rFonts w:ascii="Verdana" w:hAnsi="Verdana"/>
          <w:noProof/>
          <w:sz w:val="20"/>
          <w:szCs w:val="20"/>
        </w:rPr>
        <w:t>s</w:t>
      </w:r>
      <w:r w:rsidR="0033258F" w:rsidRPr="00814CDB">
        <w:rPr>
          <w:rFonts w:ascii="Verdana" w:hAnsi="Verdana"/>
          <w:noProof/>
          <w:sz w:val="20"/>
          <w:szCs w:val="20"/>
        </w:rPr>
        <w:t xml:space="preserve"> </w:t>
      </w:r>
      <w:r w:rsidR="0033258F">
        <w:rPr>
          <w:rFonts w:ascii="Verdana" w:hAnsi="Verdana"/>
          <w:noProof/>
          <w:sz w:val="20"/>
          <w:szCs w:val="20"/>
        </w:rPr>
        <w:t>requerido</w:t>
      </w:r>
      <w:r w:rsidR="004D52B5">
        <w:rPr>
          <w:rFonts w:ascii="Verdana" w:hAnsi="Verdana"/>
          <w:noProof/>
          <w:sz w:val="20"/>
          <w:szCs w:val="20"/>
        </w:rPr>
        <w:t>s</w:t>
      </w:r>
      <w:r w:rsidR="0033258F">
        <w:rPr>
          <w:rFonts w:ascii="Verdana" w:hAnsi="Verdana"/>
          <w:noProof/>
          <w:sz w:val="20"/>
          <w:szCs w:val="20"/>
        </w:rPr>
        <w:t xml:space="preserve"> por la Corte en </w:t>
      </w:r>
      <w:r w:rsidR="004D52B5">
        <w:rPr>
          <w:rFonts w:ascii="Verdana" w:hAnsi="Verdana"/>
          <w:noProof/>
          <w:sz w:val="20"/>
          <w:szCs w:val="20"/>
        </w:rPr>
        <w:t>las Resoluciones</w:t>
      </w:r>
      <w:r w:rsidR="00041A18">
        <w:rPr>
          <w:rFonts w:ascii="Verdana" w:hAnsi="Verdana"/>
          <w:noProof/>
          <w:sz w:val="20"/>
          <w:szCs w:val="20"/>
        </w:rPr>
        <w:t xml:space="preserve"> de 2015 y 2016</w:t>
      </w:r>
      <w:r w:rsidR="0033258F">
        <w:rPr>
          <w:rFonts w:ascii="Verdana" w:hAnsi="Verdana"/>
          <w:noProof/>
          <w:sz w:val="20"/>
          <w:szCs w:val="20"/>
        </w:rPr>
        <w:t xml:space="preserve"> (</w:t>
      </w:r>
      <w:r w:rsidR="0033258F">
        <w:rPr>
          <w:rFonts w:ascii="Verdana" w:hAnsi="Verdana"/>
          <w:i/>
          <w:noProof/>
          <w:sz w:val="20"/>
          <w:szCs w:val="20"/>
        </w:rPr>
        <w:t>supra</w:t>
      </w:r>
      <w:r w:rsidR="0033258F">
        <w:rPr>
          <w:rFonts w:ascii="Verdana" w:hAnsi="Verdana"/>
          <w:noProof/>
          <w:sz w:val="20"/>
          <w:szCs w:val="20"/>
        </w:rPr>
        <w:t xml:space="preserve"> </w:t>
      </w:r>
      <w:r w:rsidR="00DB33F2">
        <w:rPr>
          <w:rFonts w:ascii="Verdana" w:hAnsi="Verdana"/>
          <w:noProof/>
          <w:sz w:val="20"/>
          <w:szCs w:val="20"/>
        </w:rPr>
        <w:t>Visto</w:t>
      </w:r>
      <w:r w:rsidR="002D31ED">
        <w:rPr>
          <w:rFonts w:ascii="Verdana" w:hAnsi="Verdana"/>
          <w:noProof/>
          <w:sz w:val="20"/>
          <w:szCs w:val="20"/>
        </w:rPr>
        <w:t xml:space="preserve"> </w:t>
      </w:r>
      <w:r w:rsidR="00632F2C">
        <w:rPr>
          <w:rFonts w:ascii="Verdana" w:hAnsi="Verdana"/>
          <w:noProof/>
          <w:sz w:val="20"/>
          <w:szCs w:val="20"/>
        </w:rPr>
        <w:fldChar w:fldCharType="begin"/>
      </w:r>
      <w:r w:rsidR="00632F2C">
        <w:rPr>
          <w:rFonts w:ascii="Verdana" w:hAnsi="Verdana"/>
          <w:noProof/>
          <w:sz w:val="20"/>
          <w:szCs w:val="20"/>
        </w:rPr>
        <w:instrText xml:space="preserve"> REF _Ref467833670 \r \h </w:instrText>
      </w:r>
      <w:r w:rsidR="00632F2C">
        <w:rPr>
          <w:rFonts w:ascii="Verdana" w:hAnsi="Verdana"/>
          <w:noProof/>
          <w:sz w:val="20"/>
          <w:szCs w:val="20"/>
        </w:rPr>
      </w:r>
      <w:r w:rsidR="00632F2C">
        <w:rPr>
          <w:rFonts w:ascii="Verdana" w:hAnsi="Verdana"/>
          <w:noProof/>
          <w:sz w:val="20"/>
          <w:szCs w:val="20"/>
        </w:rPr>
        <w:fldChar w:fldCharType="separate"/>
      </w:r>
      <w:r w:rsidR="00711324">
        <w:rPr>
          <w:rFonts w:ascii="Verdana" w:hAnsi="Verdana"/>
          <w:noProof/>
          <w:sz w:val="20"/>
          <w:szCs w:val="20"/>
        </w:rPr>
        <w:t>2</w:t>
      </w:r>
      <w:r w:rsidR="00632F2C">
        <w:rPr>
          <w:rFonts w:ascii="Verdana" w:hAnsi="Verdana"/>
          <w:noProof/>
          <w:sz w:val="20"/>
          <w:szCs w:val="20"/>
        </w:rPr>
        <w:fldChar w:fldCharType="end"/>
      </w:r>
      <w:r w:rsidR="00F44765">
        <w:rPr>
          <w:rFonts w:ascii="Verdana" w:hAnsi="Verdana"/>
          <w:noProof/>
          <w:sz w:val="20"/>
          <w:szCs w:val="20"/>
        </w:rPr>
        <w:t>).</w:t>
      </w:r>
      <w:bookmarkEnd w:id="6"/>
      <w:r w:rsidR="0033258F">
        <w:rPr>
          <w:rFonts w:ascii="Verdana" w:hAnsi="Verdana"/>
          <w:noProof/>
          <w:sz w:val="20"/>
          <w:szCs w:val="20"/>
        </w:rPr>
        <w:t xml:space="preserve"> </w:t>
      </w:r>
    </w:p>
    <w:p w:rsidR="001E5F79" w:rsidRDefault="001E5F79" w:rsidP="001E5F79">
      <w:pPr>
        <w:tabs>
          <w:tab w:val="left" w:pos="567"/>
        </w:tabs>
        <w:spacing w:after="0" w:line="240" w:lineRule="auto"/>
        <w:ind w:right="4"/>
        <w:contextualSpacing/>
        <w:jc w:val="both"/>
        <w:rPr>
          <w:rFonts w:ascii="Verdana" w:hAnsi="Verdana"/>
          <w:sz w:val="20"/>
          <w:szCs w:val="20"/>
        </w:rPr>
      </w:pPr>
    </w:p>
    <w:p w:rsidR="001E5F79" w:rsidRDefault="001E5F79" w:rsidP="001E5F79">
      <w:pPr>
        <w:numPr>
          <w:ilvl w:val="0"/>
          <w:numId w:val="1"/>
        </w:numPr>
        <w:tabs>
          <w:tab w:val="left" w:pos="567"/>
        </w:tabs>
        <w:spacing w:after="0" w:line="240" w:lineRule="auto"/>
        <w:ind w:left="0" w:right="4" w:firstLine="0"/>
        <w:contextualSpacing/>
        <w:jc w:val="both"/>
        <w:rPr>
          <w:rFonts w:ascii="Verdana" w:hAnsi="Verdana"/>
          <w:i/>
          <w:sz w:val="20"/>
          <w:szCs w:val="20"/>
        </w:rPr>
      </w:pPr>
      <w:bookmarkStart w:id="7" w:name="_Ref467837089"/>
      <w:r>
        <w:rPr>
          <w:rFonts w:ascii="Verdana" w:hAnsi="Verdana"/>
          <w:sz w:val="20"/>
          <w:szCs w:val="20"/>
        </w:rPr>
        <w:t xml:space="preserve">El escrito presentado el 8 de julio de 2016 por los representantes de las víctimas </w:t>
      </w:r>
      <w:r w:rsidR="007F2B3F">
        <w:rPr>
          <w:rFonts w:ascii="Verdana" w:hAnsi="Verdana"/>
          <w:sz w:val="20"/>
          <w:szCs w:val="20"/>
        </w:rPr>
        <w:t>de siete casos contra Venezuela</w:t>
      </w:r>
      <w:r>
        <w:rPr>
          <w:rFonts w:ascii="Verdana" w:hAnsi="Verdana"/>
          <w:sz w:val="20"/>
          <w:szCs w:val="20"/>
        </w:rPr>
        <w:t>, incluyendo el presente caso</w:t>
      </w:r>
      <w:r>
        <w:rPr>
          <w:rStyle w:val="Refdenotaalpie"/>
          <w:rFonts w:ascii="Verdana" w:hAnsi="Verdana"/>
          <w:sz w:val="20"/>
          <w:szCs w:val="20"/>
        </w:rPr>
        <w:footnoteReference w:id="5"/>
      </w:r>
      <w:r>
        <w:rPr>
          <w:rFonts w:ascii="Verdana" w:hAnsi="Verdana"/>
          <w:sz w:val="20"/>
          <w:szCs w:val="20"/>
        </w:rPr>
        <w:t>, en el cual se refirieron al incumplimiento de lo ordenado en estos casos, y solicitaron “que se ordene la realización de una audiencia conjunta de supervisión de cumplimiento de [sus] sentencias”.</w:t>
      </w:r>
      <w:bookmarkEnd w:id="7"/>
      <w:r>
        <w:rPr>
          <w:rFonts w:ascii="Verdana" w:hAnsi="Verdana"/>
          <w:sz w:val="20"/>
          <w:szCs w:val="20"/>
        </w:rPr>
        <w:t xml:space="preserve"> </w:t>
      </w:r>
    </w:p>
    <w:p w:rsidR="004D52B5" w:rsidRDefault="004D52B5" w:rsidP="00F75AD0">
      <w:pPr>
        <w:tabs>
          <w:tab w:val="left" w:pos="567"/>
        </w:tabs>
        <w:spacing w:after="0" w:line="240" w:lineRule="auto"/>
        <w:ind w:right="4"/>
        <w:contextualSpacing/>
        <w:jc w:val="both"/>
      </w:pPr>
    </w:p>
    <w:p w:rsidR="00AA14EA" w:rsidRPr="0029480F" w:rsidRDefault="00AA14EA" w:rsidP="00F75AD0">
      <w:pPr>
        <w:spacing w:before="120" w:after="120" w:line="240" w:lineRule="auto"/>
        <w:ind w:right="4"/>
        <w:rPr>
          <w:rFonts w:ascii="Verdana" w:hAnsi="Verdana"/>
          <w:b/>
          <w:sz w:val="20"/>
          <w:szCs w:val="20"/>
        </w:rPr>
      </w:pPr>
      <w:r w:rsidRPr="0029480F">
        <w:rPr>
          <w:rFonts w:ascii="Verdana" w:hAnsi="Verdana"/>
          <w:b/>
          <w:sz w:val="20"/>
          <w:szCs w:val="20"/>
        </w:rPr>
        <w:t>CONSIDERANDO QUE:</w:t>
      </w:r>
    </w:p>
    <w:p w:rsidR="00F60879" w:rsidRPr="00F75AD0" w:rsidRDefault="00AA14EA" w:rsidP="00F75AD0">
      <w:pPr>
        <w:pStyle w:val="Prrafodelista"/>
        <w:numPr>
          <w:ilvl w:val="0"/>
          <w:numId w:val="2"/>
        </w:numPr>
        <w:spacing w:before="120" w:after="0" w:line="240" w:lineRule="auto"/>
        <w:ind w:left="0" w:right="4" w:firstLine="0"/>
        <w:contextualSpacing w:val="0"/>
        <w:jc w:val="both"/>
        <w:rPr>
          <w:rFonts w:ascii="Verdana" w:hAnsi="Verdana"/>
          <w:sz w:val="20"/>
          <w:lang w:val="es-MX"/>
        </w:rPr>
      </w:pPr>
      <w:bookmarkStart w:id="8" w:name="_Ref464731894"/>
      <w:r w:rsidRPr="00804E1B">
        <w:rPr>
          <w:rFonts w:ascii="Verdana" w:hAnsi="Verdana"/>
          <w:sz w:val="20"/>
          <w:szCs w:val="20"/>
          <w:lang w:val="es-ES"/>
        </w:rPr>
        <w:t>En el ejercicio de su función jurisdiccional de supervisar el cumplimiento de sus decisiones</w:t>
      </w:r>
      <w:r w:rsidRPr="00712FD7">
        <w:rPr>
          <w:rStyle w:val="Refdenotaalpie"/>
          <w:rFonts w:ascii="Verdana" w:hAnsi="Verdana"/>
          <w:sz w:val="20"/>
          <w:szCs w:val="20"/>
        </w:rPr>
        <w:footnoteReference w:id="6"/>
      </w:r>
      <w:r w:rsidRPr="00804E1B">
        <w:rPr>
          <w:rFonts w:ascii="Verdana" w:hAnsi="Verdana"/>
          <w:sz w:val="20"/>
          <w:szCs w:val="20"/>
          <w:lang w:val="es-ES"/>
        </w:rPr>
        <w:t xml:space="preserve">, la Corte ha venido supervisando la ejecución de la Sentencia emitida </w:t>
      </w:r>
      <w:r w:rsidRPr="00804E1B">
        <w:rPr>
          <w:rFonts w:ascii="Verdana" w:hAnsi="Verdana"/>
          <w:sz w:val="20"/>
          <w:szCs w:val="20"/>
          <w:lang w:val="es-MX"/>
        </w:rPr>
        <w:t>en el presente caso</w:t>
      </w:r>
      <w:r w:rsidRPr="00804E1B">
        <w:rPr>
          <w:rFonts w:ascii="Verdana" w:hAnsi="Verdana"/>
          <w:i/>
          <w:sz w:val="20"/>
          <w:szCs w:val="20"/>
          <w:lang w:val="es-MX"/>
        </w:rPr>
        <w:t xml:space="preserve"> </w:t>
      </w:r>
      <w:r w:rsidRPr="00804E1B">
        <w:rPr>
          <w:rFonts w:ascii="Verdana" w:hAnsi="Verdana"/>
          <w:sz w:val="20"/>
          <w:szCs w:val="20"/>
          <w:lang w:val="es-MX"/>
        </w:rPr>
        <w:t xml:space="preserve">hace </w:t>
      </w:r>
      <w:r w:rsidR="00292A6C" w:rsidRPr="00804E1B">
        <w:rPr>
          <w:rFonts w:ascii="Verdana" w:hAnsi="Verdana"/>
          <w:sz w:val="20"/>
          <w:szCs w:val="20"/>
          <w:lang w:val="es-MX"/>
        </w:rPr>
        <w:t>más de cuatro</w:t>
      </w:r>
      <w:r w:rsidRPr="00804E1B">
        <w:rPr>
          <w:rFonts w:ascii="Verdana" w:hAnsi="Verdana"/>
          <w:sz w:val="20"/>
          <w:szCs w:val="20"/>
          <w:lang w:val="es-MX"/>
        </w:rPr>
        <w:t xml:space="preserve"> años (</w:t>
      </w:r>
      <w:r w:rsidRPr="00804E1B">
        <w:rPr>
          <w:rFonts w:ascii="Verdana" w:hAnsi="Verdana"/>
          <w:i/>
          <w:sz w:val="20"/>
          <w:szCs w:val="20"/>
          <w:lang w:val="es-MX"/>
        </w:rPr>
        <w:t>supra</w:t>
      </w:r>
      <w:r w:rsidRPr="00804E1B">
        <w:rPr>
          <w:rFonts w:ascii="Verdana" w:hAnsi="Verdana"/>
          <w:sz w:val="20"/>
          <w:szCs w:val="20"/>
          <w:lang w:val="es-MX"/>
        </w:rPr>
        <w:t xml:space="preserve"> Visto </w:t>
      </w:r>
      <w:r w:rsidR="00F75AD0">
        <w:rPr>
          <w:rFonts w:ascii="Verdana" w:hAnsi="Verdana"/>
          <w:sz w:val="20"/>
          <w:szCs w:val="20"/>
          <w:highlight w:val="yellow"/>
          <w:lang w:val="es-MX"/>
        </w:rPr>
        <w:fldChar w:fldCharType="begin"/>
      </w:r>
      <w:r w:rsidR="00F75AD0">
        <w:rPr>
          <w:rFonts w:ascii="Verdana" w:hAnsi="Verdana"/>
          <w:sz w:val="20"/>
          <w:szCs w:val="20"/>
          <w:lang w:val="es-MX"/>
        </w:rPr>
        <w:instrText xml:space="preserve"> REF _Ref464731909 \r \h </w:instrText>
      </w:r>
      <w:r w:rsidR="00F75AD0">
        <w:rPr>
          <w:rFonts w:ascii="Verdana" w:hAnsi="Verdana"/>
          <w:sz w:val="20"/>
          <w:szCs w:val="20"/>
          <w:highlight w:val="yellow"/>
          <w:lang w:val="es-MX"/>
        </w:rPr>
        <w:instrText xml:space="preserve"> \* MERGEFORMAT </w:instrText>
      </w:r>
      <w:r w:rsidR="00F75AD0">
        <w:rPr>
          <w:rFonts w:ascii="Verdana" w:hAnsi="Verdana"/>
          <w:sz w:val="20"/>
          <w:szCs w:val="20"/>
          <w:highlight w:val="yellow"/>
          <w:lang w:val="es-MX"/>
        </w:rPr>
      </w:r>
      <w:r w:rsidR="00F75AD0">
        <w:rPr>
          <w:rFonts w:ascii="Verdana" w:hAnsi="Verdana"/>
          <w:sz w:val="20"/>
          <w:szCs w:val="20"/>
          <w:highlight w:val="yellow"/>
          <w:lang w:val="es-MX"/>
        </w:rPr>
        <w:fldChar w:fldCharType="separate"/>
      </w:r>
      <w:r w:rsidR="00711324">
        <w:rPr>
          <w:rFonts w:ascii="Verdana" w:hAnsi="Verdana"/>
          <w:sz w:val="20"/>
          <w:szCs w:val="20"/>
          <w:lang w:val="es-MX"/>
        </w:rPr>
        <w:t>1</w:t>
      </w:r>
      <w:r w:rsidR="00F75AD0">
        <w:rPr>
          <w:rFonts w:ascii="Verdana" w:hAnsi="Verdana"/>
          <w:sz w:val="20"/>
          <w:szCs w:val="20"/>
          <w:highlight w:val="yellow"/>
          <w:lang w:val="es-MX"/>
        </w:rPr>
        <w:fldChar w:fldCharType="end"/>
      </w:r>
      <w:r w:rsidRPr="00804E1B">
        <w:rPr>
          <w:rFonts w:ascii="Verdana" w:hAnsi="Verdana"/>
          <w:sz w:val="20"/>
          <w:szCs w:val="20"/>
          <w:lang w:val="es-MX"/>
        </w:rPr>
        <w:t xml:space="preserve">). </w:t>
      </w:r>
      <w:r w:rsidR="00F44765">
        <w:rPr>
          <w:rFonts w:ascii="Verdana" w:hAnsi="Verdana"/>
          <w:sz w:val="20"/>
          <w:lang w:val="es-MX"/>
        </w:rPr>
        <w:t xml:space="preserve">En la </w:t>
      </w:r>
      <w:r w:rsidR="00086521">
        <w:rPr>
          <w:rFonts w:ascii="Verdana" w:hAnsi="Verdana"/>
          <w:sz w:val="20"/>
          <w:lang w:val="es-MX"/>
        </w:rPr>
        <w:t xml:space="preserve">Resolución </w:t>
      </w:r>
      <w:r w:rsidR="007F2B3F">
        <w:rPr>
          <w:rFonts w:ascii="Verdana" w:hAnsi="Verdana"/>
          <w:sz w:val="20"/>
          <w:lang w:val="es-MX"/>
        </w:rPr>
        <w:t>que dictó</w:t>
      </w:r>
      <w:r w:rsidR="00F44765">
        <w:rPr>
          <w:rFonts w:ascii="Verdana" w:hAnsi="Verdana"/>
          <w:sz w:val="20"/>
          <w:lang w:val="es-MX"/>
        </w:rPr>
        <w:t xml:space="preserve"> en</w:t>
      </w:r>
      <w:r w:rsidR="007F2B3F">
        <w:rPr>
          <w:rFonts w:ascii="Verdana" w:hAnsi="Verdana"/>
          <w:sz w:val="20"/>
          <w:lang w:val="es-MX"/>
        </w:rPr>
        <w:t xml:space="preserve"> el</w:t>
      </w:r>
      <w:r w:rsidR="00712FD7" w:rsidRPr="00804E1B">
        <w:rPr>
          <w:rFonts w:ascii="Verdana" w:hAnsi="Verdana"/>
          <w:sz w:val="20"/>
          <w:lang w:val="es-MX"/>
        </w:rPr>
        <w:t xml:space="preserve"> 2015 (</w:t>
      </w:r>
      <w:r w:rsidR="00712FD7" w:rsidRPr="00CA2085">
        <w:rPr>
          <w:rFonts w:ascii="Verdana" w:hAnsi="Verdana"/>
          <w:i/>
          <w:sz w:val="20"/>
          <w:lang w:val="es-MX"/>
        </w:rPr>
        <w:t>supra</w:t>
      </w:r>
      <w:r w:rsidR="00712FD7" w:rsidRPr="00CA2085">
        <w:rPr>
          <w:rFonts w:ascii="Verdana" w:hAnsi="Verdana"/>
          <w:sz w:val="20"/>
          <w:lang w:val="es-MX"/>
        </w:rPr>
        <w:t xml:space="preserve"> Visto</w:t>
      </w:r>
      <w:r w:rsidR="00F44765">
        <w:rPr>
          <w:rFonts w:ascii="Verdana" w:hAnsi="Verdana"/>
          <w:sz w:val="20"/>
          <w:lang w:val="es-MX"/>
        </w:rPr>
        <w:t xml:space="preserve"> </w:t>
      </w:r>
      <w:r w:rsidR="00A050C6">
        <w:rPr>
          <w:rFonts w:ascii="Verdana" w:hAnsi="Verdana"/>
          <w:sz w:val="20"/>
          <w:lang w:val="es-MX"/>
        </w:rPr>
        <w:fldChar w:fldCharType="begin"/>
      </w:r>
      <w:r w:rsidR="00A050C6">
        <w:rPr>
          <w:rFonts w:ascii="Verdana" w:hAnsi="Verdana"/>
          <w:sz w:val="20"/>
          <w:lang w:val="es-MX"/>
        </w:rPr>
        <w:instrText xml:space="preserve"> REF _Ref467833670 \r \h </w:instrText>
      </w:r>
      <w:r w:rsidR="00A050C6">
        <w:rPr>
          <w:rFonts w:ascii="Verdana" w:hAnsi="Verdana"/>
          <w:sz w:val="20"/>
          <w:lang w:val="es-MX"/>
        </w:rPr>
      </w:r>
      <w:r w:rsidR="00A050C6">
        <w:rPr>
          <w:rFonts w:ascii="Verdana" w:hAnsi="Verdana"/>
          <w:sz w:val="20"/>
          <w:lang w:val="es-MX"/>
        </w:rPr>
        <w:fldChar w:fldCharType="separate"/>
      </w:r>
      <w:r w:rsidR="00711324">
        <w:rPr>
          <w:rFonts w:ascii="Verdana" w:hAnsi="Verdana"/>
          <w:sz w:val="20"/>
          <w:lang w:val="es-MX"/>
        </w:rPr>
        <w:t>2</w:t>
      </w:r>
      <w:r w:rsidR="00A050C6">
        <w:rPr>
          <w:rFonts w:ascii="Verdana" w:hAnsi="Verdana"/>
          <w:sz w:val="20"/>
          <w:lang w:val="es-MX"/>
        </w:rPr>
        <w:fldChar w:fldCharType="end"/>
      </w:r>
      <w:r w:rsidR="00F44765">
        <w:rPr>
          <w:rFonts w:ascii="Verdana" w:hAnsi="Verdana"/>
          <w:sz w:val="20"/>
          <w:lang w:val="es-MX"/>
        </w:rPr>
        <w:t>)</w:t>
      </w:r>
      <w:r w:rsidR="00712FD7" w:rsidRPr="00804E1B">
        <w:rPr>
          <w:rFonts w:ascii="Verdana" w:hAnsi="Verdana"/>
          <w:sz w:val="20"/>
          <w:lang w:val="es-MX"/>
        </w:rPr>
        <w:t xml:space="preserve">, la Corte declaró que </w:t>
      </w:r>
      <w:r w:rsidR="0011444B" w:rsidRPr="00804E1B">
        <w:rPr>
          <w:rFonts w:ascii="Verdana" w:hAnsi="Verdana"/>
          <w:sz w:val="20"/>
          <w:lang w:val="es-MX"/>
        </w:rPr>
        <w:t>Venezuela</w:t>
      </w:r>
      <w:r w:rsidR="00AC185F" w:rsidRPr="00804E1B">
        <w:rPr>
          <w:rFonts w:ascii="Verdana" w:hAnsi="Verdana"/>
          <w:sz w:val="20"/>
          <w:lang w:val="es-MX"/>
        </w:rPr>
        <w:t xml:space="preserve"> no</w:t>
      </w:r>
      <w:r w:rsidR="00712FD7" w:rsidRPr="00804E1B">
        <w:rPr>
          <w:rFonts w:ascii="Verdana" w:hAnsi="Verdana"/>
          <w:sz w:val="20"/>
          <w:lang w:val="es-MX"/>
        </w:rPr>
        <w:t xml:space="preserve"> había dado cumplimiento a</w:t>
      </w:r>
      <w:r w:rsidR="00AC185F" w:rsidRPr="00804E1B">
        <w:rPr>
          <w:rFonts w:ascii="Verdana" w:hAnsi="Verdana"/>
          <w:sz w:val="20"/>
          <w:lang w:val="es-MX"/>
        </w:rPr>
        <w:t xml:space="preserve"> las</w:t>
      </w:r>
      <w:r w:rsidR="00712FD7" w:rsidRPr="00804E1B">
        <w:rPr>
          <w:rFonts w:ascii="Verdana" w:hAnsi="Verdana"/>
          <w:sz w:val="20"/>
          <w:lang w:val="es-MX"/>
        </w:rPr>
        <w:t xml:space="preserve"> </w:t>
      </w:r>
      <w:r w:rsidR="00AC185F" w:rsidRPr="00804E1B">
        <w:rPr>
          <w:rFonts w:ascii="Verdana" w:hAnsi="Verdana"/>
          <w:sz w:val="20"/>
          <w:lang w:val="es-MX"/>
        </w:rPr>
        <w:t>r</w:t>
      </w:r>
      <w:r w:rsidR="00712FD7" w:rsidRPr="00804E1B">
        <w:rPr>
          <w:rFonts w:ascii="Verdana" w:hAnsi="Verdana"/>
          <w:sz w:val="20"/>
          <w:lang w:val="es-MX"/>
        </w:rPr>
        <w:t>eparaciones ordenadas</w:t>
      </w:r>
      <w:r w:rsidR="00AC185F" w:rsidRPr="00804E1B">
        <w:rPr>
          <w:rFonts w:ascii="Verdana" w:hAnsi="Verdana"/>
          <w:sz w:val="20"/>
          <w:lang w:val="es-MX"/>
        </w:rPr>
        <w:t xml:space="preserve"> en la </w:t>
      </w:r>
      <w:r w:rsidR="0015557D">
        <w:rPr>
          <w:rFonts w:ascii="Verdana" w:hAnsi="Verdana"/>
          <w:sz w:val="20"/>
          <w:lang w:val="es-MX"/>
        </w:rPr>
        <w:t>S</w:t>
      </w:r>
      <w:r w:rsidR="0015557D" w:rsidRPr="00804E1B">
        <w:rPr>
          <w:rFonts w:ascii="Verdana" w:hAnsi="Verdana"/>
          <w:sz w:val="20"/>
          <w:lang w:val="es-MX"/>
        </w:rPr>
        <w:t>entencia</w:t>
      </w:r>
      <w:r w:rsidR="002D31ED">
        <w:rPr>
          <w:rStyle w:val="Refdenotaalpie"/>
          <w:rFonts w:ascii="Verdana" w:hAnsi="Verdana"/>
          <w:sz w:val="20"/>
          <w:lang w:val="es-MX"/>
        </w:rPr>
        <w:footnoteReference w:id="7"/>
      </w:r>
      <w:r w:rsidR="0015557D" w:rsidRPr="00804E1B">
        <w:rPr>
          <w:rFonts w:ascii="Verdana" w:hAnsi="Verdana"/>
          <w:sz w:val="20"/>
          <w:lang w:val="es-MX"/>
        </w:rPr>
        <w:t xml:space="preserve"> </w:t>
      </w:r>
      <w:r w:rsidR="0083433C">
        <w:rPr>
          <w:rFonts w:ascii="Verdana" w:hAnsi="Verdana"/>
          <w:sz w:val="20"/>
          <w:lang w:val="es-MX"/>
        </w:rPr>
        <w:t>y que no</w:t>
      </w:r>
      <w:r w:rsidR="0083433C" w:rsidRPr="00804E1B">
        <w:rPr>
          <w:rFonts w:ascii="Verdana" w:hAnsi="Verdana"/>
          <w:sz w:val="20"/>
          <w:lang w:val="es-MX"/>
        </w:rPr>
        <w:t xml:space="preserve"> </w:t>
      </w:r>
      <w:r w:rsidR="00AC185F" w:rsidRPr="00804E1B">
        <w:rPr>
          <w:rFonts w:ascii="Verdana" w:hAnsi="Verdana"/>
          <w:sz w:val="20"/>
          <w:lang w:val="es-MX"/>
        </w:rPr>
        <w:t>ha</w:t>
      </w:r>
      <w:r w:rsidR="0053393A">
        <w:rPr>
          <w:rFonts w:ascii="Verdana" w:hAnsi="Verdana"/>
          <w:sz w:val="20"/>
          <w:lang w:val="es-MX"/>
        </w:rPr>
        <w:t>bía</w:t>
      </w:r>
      <w:r w:rsidR="00AC185F" w:rsidRPr="00804E1B">
        <w:rPr>
          <w:rFonts w:ascii="Verdana" w:hAnsi="Verdana"/>
          <w:sz w:val="20"/>
          <w:lang w:val="es-MX"/>
        </w:rPr>
        <w:t xml:space="preserve"> informado sobre las mismas</w:t>
      </w:r>
      <w:r w:rsidR="0083433C">
        <w:rPr>
          <w:rStyle w:val="Refdenotaalpie"/>
          <w:rFonts w:ascii="Verdana" w:hAnsi="Verdana"/>
          <w:sz w:val="20"/>
          <w:lang w:val="es-MX"/>
        </w:rPr>
        <w:footnoteReference w:id="8"/>
      </w:r>
      <w:r w:rsidR="00AC185F" w:rsidRPr="00804E1B">
        <w:rPr>
          <w:rFonts w:ascii="Verdana" w:hAnsi="Verdana"/>
          <w:sz w:val="20"/>
          <w:lang w:val="es-MX"/>
        </w:rPr>
        <w:t>, con excepción de la obligación de investigar las muertes de tres de las víctimas</w:t>
      </w:r>
      <w:r w:rsidR="0015557D">
        <w:rPr>
          <w:rStyle w:val="Refdenotaalpie"/>
          <w:rFonts w:ascii="Verdana" w:hAnsi="Verdana"/>
          <w:sz w:val="20"/>
          <w:lang w:val="es-MX"/>
        </w:rPr>
        <w:footnoteReference w:id="9"/>
      </w:r>
      <w:r w:rsidR="002D31ED">
        <w:rPr>
          <w:rFonts w:ascii="Verdana" w:hAnsi="Verdana"/>
          <w:sz w:val="20"/>
          <w:lang w:val="es-MX"/>
        </w:rPr>
        <w:t>.</w:t>
      </w:r>
      <w:r w:rsidR="00AE5091">
        <w:rPr>
          <w:rFonts w:ascii="Verdana" w:hAnsi="Verdana"/>
          <w:sz w:val="20"/>
          <w:lang w:val="es-MX"/>
        </w:rPr>
        <w:t xml:space="preserve"> </w:t>
      </w:r>
      <w:bookmarkStart w:id="9" w:name="_Ref437596496"/>
      <w:r w:rsidR="00F60879">
        <w:rPr>
          <w:rFonts w:ascii="Verdana" w:hAnsi="Verdana"/>
          <w:sz w:val="20"/>
          <w:lang w:val="es-MX"/>
        </w:rPr>
        <w:t>En esa Resolución</w:t>
      </w:r>
      <w:r w:rsidR="00086521">
        <w:rPr>
          <w:rFonts w:ascii="Verdana" w:hAnsi="Verdana"/>
          <w:sz w:val="20"/>
          <w:lang w:val="es-MX"/>
        </w:rPr>
        <w:t>,</w:t>
      </w:r>
      <w:r w:rsidR="00292A6C" w:rsidRPr="002034B0">
        <w:rPr>
          <w:rFonts w:ascii="Verdana" w:hAnsi="Verdana"/>
          <w:sz w:val="20"/>
          <w:lang w:val="es-MX"/>
        </w:rPr>
        <w:t xml:space="preserve"> la Corte</w:t>
      </w:r>
      <w:r w:rsidR="00BF4453" w:rsidRPr="002034B0">
        <w:rPr>
          <w:rFonts w:ascii="Verdana" w:hAnsi="Verdana"/>
          <w:sz w:val="20"/>
          <w:lang w:val="es-MX"/>
        </w:rPr>
        <w:t xml:space="preserve"> requirió al </w:t>
      </w:r>
      <w:r w:rsidR="00BF4453">
        <w:rPr>
          <w:rFonts w:ascii="Verdana" w:hAnsi="Verdana"/>
          <w:sz w:val="20"/>
          <w:lang w:val="es-MX"/>
        </w:rPr>
        <w:t>Estado presentar</w:t>
      </w:r>
      <w:r w:rsidR="00292A6C" w:rsidRPr="006146E8">
        <w:rPr>
          <w:rFonts w:ascii="Verdana" w:hAnsi="Verdana"/>
          <w:sz w:val="20"/>
          <w:lang w:val="es-MX"/>
        </w:rPr>
        <w:t xml:space="preserve"> “</w:t>
      </w:r>
      <w:r w:rsidR="00BF4453">
        <w:rPr>
          <w:rFonts w:ascii="Verdana" w:hAnsi="Verdana"/>
          <w:sz w:val="20"/>
          <w:lang w:val="es-MX"/>
        </w:rPr>
        <w:t xml:space="preserve">un informe en el cual </w:t>
      </w:r>
      <w:proofErr w:type="spellStart"/>
      <w:proofErr w:type="gramStart"/>
      <w:r w:rsidR="00A87BE8">
        <w:rPr>
          <w:rFonts w:ascii="Verdana" w:hAnsi="Verdana"/>
          <w:sz w:val="20"/>
          <w:lang w:val="es-MX"/>
        </w:rPr>
        <w:t>indi</w:t>
      </w:r>
      <w:proofErr w:type="spellEnd"/>
      <w:r w:rsidR="00A87BE8">
        <w:rPr>
          <w:rFonts w:ascii="Verdana" w:hAnsi="Verdana"/>
          <w:sz w:val="20"/>
          <w:lang w:val="es-MX"/>
        </w:rPr>
        <w:t>[</w:t>
      </w:r>
      <w:proofErr w:type="gramEnd"/>
      <w:r w:rsidR="00BF4453">
        <w:rPr>
          <w:rFonts w:ascii="Verdana" w:hAnsi="Verdana"/>
          <w:sz w:val="20"/>
          <w:lang w:val="es-MX"/>
        </w:rPr>
        <w:t xml:space="preserve">cara] las medidas adoptadas para cumplir con las reparaciones ordenadas por la </w:t>
      </w:r>
      <w:r w:rsidR="00514FE6">
        <w:rPr>
          <w:rFonts w:ascii="Verdana" w:hAnsi="Verdana"/>
          <w:sz w:val="20"/>
          <w:lang w:val="es-MX"/>
        </w:rPr>
        <w:t>C</w:t>
      </w:r>
      <w:r w:rsidR="00BF4453">
        <w:rPr>
          <w:rFonts w:ascii="Verdana" w:hAnsi="Verdana"/>
          <w:sz w:val="20"/>
          <w:lang w:val="es-MX"/>
        </w:rPr>
        <w:t>orte</w:t>
      </w:r>
      <w:r w:rsidR="00292A6C">
        <w:rPr>
          <w:rFonts w:ascii="Verdana" w:hAnsi="Verdana"/>
          <w:sz w:val="20"/>
          <w:lang w:val="es-MX"/>
        </w:rPr>
        <w:t>”</w:t>
      </w:r>
      <w:r w:rsidR="00BF4453">
        <w:rPr>
          <w:rFonts w:ascii="Verdana" w:hAnsi="Verdana"/>
          <w:sz w:val="20"/>
          <w:lang w:val="es-MX"/>
        </w:rPr>
        <w:t>,</w:t>
      </w:r>
      <w:r w:rsidR="00292A6C">
        <w:rPr>
          <w:rFonts w:ascii="Verdana" w:hAnsi="Verdana"/>
          <w:sz w:val="20"/>
          <w:lang w:val="es-MX"/>
        </w:rPr>
        <w:t xml:space="preserve"> </w:t>
      </w:r>
      <w:r w:rsidR="00BF4453">
        <w:rPr>
          <w:rFonts w:ascii="Verdana" w:hAnsi="Verdana"/>
          <w:sz w:val="20"/>
          <w:lang w:val="es-MX"/>
        </w:rPr>
        <w:t xml:space="preserve">otorgándole </w:t>
      </w:r>
      <w:r w:rsidR="00292A6C">
        <w:rPr>
          <w:rFonts w:ascii="Verdana" w:hAnsi="Verdana"/>
          <w:sz w:val="20"/>
          <w:lang w:val="es-MX"/>
        </w:rPr>
        <w:t>un</w:t>
      </w:r>
      <w:r w:rsidR="00292A6C" w:rsidRPr="002160E3">
        <w:rPr>
          <w:rFonts w:ascii="Verdana" w:hAnsi="Verdana"/>
          <w:sz w:val="20"/>
          <w:lang w:val="es-MX"/>
        </w:rPr>
        <w:t xml:space="preserve"> plazo </w:t>
      </w:r>
      <w:r w:rsidR="00BF4453">
        <w:rPr>
          <w:rFonts w:ascii="Verdana" w:hAnsi="Verdana"/>
          <w:sz w:val="20"/>
          <w:lang w:val="es-MX"/>
        </w:rPr>
        <w:t>hasta el 11</w:t>
      </w:r>
      <w:r w:rsidR="00292A6C" w:rsidRPr="002160E3">
        <w:rPr>
          <w:rFonts w:ascii="Verdana" w:hAnsi="Verdana"/>
          <w:sz w:val="20"/>
          <w:lang w:val="es-MX"/>
        </w:rPr>
        <w:t xml:space="preserve"> de </w:t>
      </w:r>
      <w:r w:rsidR="00BF4453">
        <w:rPr>
          <w:rFonts w:ascii="Verdana" w:hAnsi="Verdana"/>
          <w:sz w:val="20"/>
          <w:lang w:val="es-MX"/>
        </w:rPr>
        <w:t>diciembre</w:t>
      </w:r>
      <w:r w:rsidR="00292A6C" w:rsidRPr="002160E3">
        <w:rPr>
          <w:rFonts w:ascii="Verdana" w:hAnsi="Verdana"/>
          <w:sz w:val="20"/>
          <w:lang w:val="es-MX"/>
        </w:rPr>
        <w:t xml:space="preserve"> de 201</w:t>
      </w:r>
      <w:r w:rsidR="00BF4453">
        <w:rPr>
          <w:rFonts w:ascii="Verdana" w:hAnsi="Verdana"/>
          <w:sz w:val="20"/>
          <w:lang w:val="es-MX"/>
        </w:rPr>
        <w:t>5</w:t>
      </w:r>
      <w:r w:rsidR="00292A6C" w:rsidRPr="002160E3">
        <w:rPr>
          <w:rFonts w:ascii="Verdana" w:hAnsi="Verdana"/>
          <w:sz w:val="20"/>
          <w:lang w:val="es-MX"/>
        </w:rPr>
        <w:t>.</w:t>
      </w:r>
      <w:r w:rsidR="00902C84">
        <w:rPr>
          <w:rFonts w:ascii="Verdana" w:hAnsi="Verdana"/>
          <w:sz w:val="20"/>
          <w:lang w:val="es-MX"/>
        </w:rPr>
        <w:t xml:space="preserve"> Además, mediante Resolución de 2016 (</w:t>
      </w:r>
      <w:r w:rsidR="00902C84">
        <w:rPr>
          <w:rFonts w:ascii="Verdana" w:hAnsi="Verdana"/>
          <w:i/>
          <w:sz w:val="20"/>
          <w:lang w:val="es-MX"/>
        </w:rPr>
        <w:t>supra</w:t>
      </w:r>
      <w:r w:rsidR="00902C84">
        <w:rPr>
          <w:rFonts w:ascii="Verdana" w:hAnsi="Verdana"/>
          <w:sz w:val="20"/>
          <w:lang w:val="es-MX"/>
        </w:rPr>
        <w:t xml:space="preserve"> </w:t>
      </w:r>
      <w:r w:rsidR="00DB5B78">
        <w:rPr>
          <w:rFonts w:ascii="Verdana" w:hAnsi="Verdana"/>
          <w:sz w:val="20"/>
          <w:lang w:val="es-MX"/>
        </w:rPr>
        <w:t xml:space="preserve">Visto </w:t>
      </w:r>
      <w:r w:rsidR="0001236C">
        <w:rPr>
          <w:rFonts w:ascii="Verdana" w:hAnsi="Verdana"/>
          <w:sz w:val="20"/>
          <w:lang w:val="es-MX"/>
        </w:rPr>
        <w:t>2</w:t>
      </w:r>
      <w:r w:rsidR="00902C84">
        <w:rPr>
          <w:rFonts w:ascii="Verdana" w:hAnsi="Verdana"/>
          <w:sz w:val="20"/>
          <w:lang w:val="es-MX"/>
        </w:rPr>
        <w:t xml:space="preserve">), el Tribunal ordenó </w:t>
      </w:r>
      <w:r w:rsidR="00677A2B">
        <w:rPr>
          <w:rFonts w:ascii="Verdana" w:hAnsi="Verdana"/>
          <w:sz w:val="20"/>
          <w:lang w:val="es-MX"/>
        </w:rPr>
        <w:t xml:space="preserve">a Venezuela que realizara </w:t>
      </w:r>
      <w:r w:rsidR="00902C84">
        <w:rPr>
          <w:rFonts w:ascii="Verdana" w:hAnsi="Verdana"/>
          <w:sz w:val="20"/>
          <w:lang w:val="es-MX"/>
        </w:rPr>
        <w:t>el reintegro</w:t>
      </w:r>
      <w:r w:rsidR="00DB5B78">
        <w:rPr>
          <w:rFonts w:ascii="Verdana" w:hAnsi="Verdana"/>
          <w:sz w:val="20"/>
          <w:lang w:val="es-MX"/>
        </w:rPr>
        <w:t xml:space="preserve"> al Fondo de Asistencia Legal de Víctimas de la Corte de las erogaciones por </w:t>
      </w:r>
      <w:r w:rsidR="00473855">
        <w:rPr>
          <w:rFonts w:ascii="Verdana" w:hAnsi="Verdana"/>
          <w:sz w:val="20"/>
          <w:lang w:val="es-MX"/>
        </w:rPr>
        <w:t>determinados</w:t>
      </w:r>
      <w:r w:rsidR="00DB5B78">
        <w:rPr>
          <w:rFonts w:ascii="Verdana" w:hAnsi="Verdana"/>
          <w:sz w:val="20"/>
          <w:lang w:val="es-MX"/>
        </w:rPr>
        <w:t xml:space="preserve"> gastos incurridos en relación con la audiencia de supervisión de cumplimiento de Sentencia </w:t>
      </w:r>
      <w:r w:rsidR="0001236C">
        <w:rPr>
          <w:rFonts w:ascii="Verdana" w:hAnsi="Verdana"/>
          <w:sz w:val="20"/>
          <w:lang w:val="es-MX"/>
        </w:rPr>
        <w:t xml:space="preserve">celebrada en el </w:t>
      </w:r>
      <w:r w:rsidR="0001236C">
        <w:rPr>
          <w:rFonts w:ascii="Verdana" w:hAnsi="Verdana"/>
          <w:sz w:val="20"/>
          <w:lang w:val="es-MX"/>
        </w:rPr>
        <w:lastRenderedPageBreak/>
        <w:t>2015</w:t>
      </w:r>
      <w:r w:rsidR="00677A2B">
        <w:rPr>
          <w:rFonts w:ascii="Verdana" w:hAnsi="Verdana"/>
          <w:sz w:val="20"/>
          <w:lang w:val="es-MX"/>
        </w:rPr>
        <w:t xml:space="preserve">, para cuyo cumplimiento </w:t>
      </w:r>
      <w:r w:rsidR="00902C84">
        <w:rPr>
          <w:rFonts w:ascii="Verdana" w:hAnsi="Verdana"/>
          <w:sz w:val="20"/>
          <w:lang w:val="es-MX"/>
        </w:rPr>
        <w:t>dispuso un plazo de 90 días</w:t>
      </w:r>
      <w:r w:rsidR="00677A2B">
        <w:rPr>
          <w:rFonts w:ascii="Verdana" w:hAnsi="Verdana"/>
          <w:sz w:val="20"/>
          <w:lang w:val="es-MX"/>
        </w:rPr>
        <w:t xml:space="preserve"> y le requirió</w:t>
      </w:r>
      <w:r w:rsidR="00DB5B78">
        <w:rPr>
          <w:rFonts w:ascii="Verdana" w:hAnsi="Verdana"/>
          <w:sz w:val="20"/>
          <w:lang w:val="es-MX"/>
        </w:rPr>
        <w:t xml:space="preserve"> que present</w:t>
      </w:r>
      <w:r w:rsidR="00677A2B">
        <w:rPr>
          <w:rFonts w:ascii="Verdana" w:hAnsi="Verdana"/>
          <w:sz w:val="20"/>
          <w:lang w:val="es-MX"/>
        </w:rPr>
        <w:t>ara</w:t>
      </w:r>
      <w:r w:rsidR="00DB5B78">
        <w:rPr>
          <w:rFonts w:ascii="Verdana" w:hAnsi="Verdana"/>
          <w:sz w:val="20"/>
          <w:lang w:val="es-MX"/>
        </w:rPr>
        <w:t xml:space="preserve"> un informe </w:t>
      </w:r>
      <w:r w:rsidR="0059560C">
        <w:rPr>
          <w:rFonts w:ascii="Verdana" w:hAnsi="Verdana"/>
          <w:sz w:val="20"/>
          <w:lang w:val="es-MX"/>
        </w:rPr>
        <w:t xml:space="preserve">dentro del </w:t>
      </w:r>
      <w:r w:rsidR="00DB5B78">
        <w:rPr>
          <w:rFonts w:ascii="Verdana" w:hAnsi="Verdana"/>
          <w:sz w:val="20"/>
          <w:lang w:val="es-MX"/>
        </w:rPr>
        <w:t>plazo de cuatro meses</w:t>
      </w:r>
      <w:r w:rsidR="00677A2B">
        <w:rPr>
          <w:rFonts w:ascii="Verdana" w:hAnsi="Verdana"/>
          <w:sz w:val="20"/>
          <w:lang w:val="es-MX"/>
        </w:rPr>
        <w:t xml:space="preserve"> </w:t>
      </w:r>
      <w:r w:rsidR="00DB5B78">
        <w:rPr>
          <w:rFonts w:ascii="Verdana" w:hAnsi="Verdana"/>
          <w:sz w:val="20"/>
          <w:lang w:val="es-MX"/>
        </w:rPr>
        <w:t xml:space="preserve">sobre </w:t>
      </w:r>
      <w:r w:rsidR="00677A2B">
        <w:rPr>
          <w:rFonts w:ascii="Verdana" w:hAnsi="Verdana"/>
          <w:sz w:val="20"/>
          <w:lang w:val="es-MX"/>
        </w:rPr>
        <w:t xml:space="preserve">el </w:t>
      </w:r>
      <w:r w:rsidR="00DB5B78">
        <w:rPr>
          <w:rFonts w:ascii="Verdana" w:hAnsi="Verdana"/>
          <w:sz w:val="20"/>
          <w:lang w:val="es-MX"/>
        </w:rPr>
        <w:t xml:space="preserve">cumplimiento </w:t>
      </w:r>
      <w:r w:rsidR="00677A2B">
        <w:rPr>
          <w:rFonts w:ascii="Verdana" w:hAnsi="Verdana"/>
          <w:sz w:val="20"/>
          <w:lang w:val="es-MX"/>
        </w:rPr>
        <w:t xml:space="preserve">de </w:t>
      </w:r>
      <w:r w:rsidR="00DB5B78">
        <w:rPr>
          <w:rFonts w:ascii="Verdana" w:hAnsi="Verdana"/>
          <w:sz w:val="20"/>
          <w:lang w:val="es-MX"/>
        </w:rPr>
        <w:t>dicha obligación</w:t>
      </w:r>
      <w:r w:rsidR="00A050C6">
        <w:rPr>
          <w:rStyle w:val="Refdenotaalpie"/>
          <w:rFonts w:ascii="Verdana" w:hAnsi="Verdana"/>
          <w:sz w:val="20"/>
          <w:lang w:val="es-MX"/>
        </w:rPr>
        <w:footnoteReference w:id="10"/>
      </w:r>
      <w:r w:rsidR="00902C84">
        <w:rPr>
          <w:rFonts w:ascii="Verdana" w:hAnsi="Verdana"/>
          <w:sz w:val="20"/>
          <w:lang w:val="es-MX"/>
        </w:rPr>
        <w:t>.</w:t>
      </w:r>
      <w:r w:rsidR="00292A6C" w:rsidRPr="002160E3">
        <w:rPr>
          <w:rFonts w:ascii="Verdana" w:hAnsi="Verdana"/>
          <w:sz w:val="20"/>
          <w:lang w:val="es-MX"/>
        </w:rPr>
        <w:t xml:space="preserve"> A pesar de los recordatorios realizados</w:t>
      </w:r>
      <w:r w:rsidR="00F60879">
        <w:rPr>
          <w:rFonts w:ascii="Verdana" w:hAnsi="Verdana"/>
          <w:sz w:val="20"/>
          <w:lang w:val="es-MX"/>
        </w:rPr>
        <w:t xml:space="preserve"> (</w:t>
      </w:r>
      <w:r w:rsidR="00F60879">
        <w:rPr>
          <w:rFonts w:ascii="Verdana" w:hAnsi="Verdana"/>
          <w:i/>
          <w:sz w:val="20"/>
          <w:lang w:val="es-MX"/>
        </w:rPr>
        <w:t xml:space="preserve">supra </w:t>
      </w:r>
      <w:r w:rsidR="00F75AD0">
        <w:rPr>
          <w:rFonts w:ascii="Verdana" w:hAnsi="Verdana"/>
          <w:sz w:val="20"/>
          <w:lang w:val="es-MX"/>
        </w:rPr>
        <w:t>V</w:t>
      </w:r>
      <w:r w:rsidR="00F60879">
        <w:rPr>
          <w:rFonts w:ascii="Verdana" w:hAnsi="Verdana"/>
          <w:sz w:val="20"/>
          <w:lang w:val="es-MX"/>
        </w:rPr>
        <w:t xml:space="preserve">isto </w:t>
      </w:r>
      <w:r w:rsidR="000B4014">
        <w:rPr>
          <w:rFonts w:ascii="Verdana" w:hAnsi="Verdana"/>
          <w:sz w:val="20"/>
          <w:lang w:val="es-MX"/>
        </w:rPr>
        <w:fldChar w:fldCharType="begin"/>
      </w:r>
      <w:r w:rsidR="000B4014">
        <w:rPr>
          <w:rFonts w:ascii="Verdana" w:hAnsi="Verdana"/>
          <w:sz w:val="20"/>
          <w:lang w:val="es-MX"/>
        </w:rPr>
        <w:instrText xml:space="preserve"> REF _Ref464732108 \r \h </w:instrText>
      </w:r>
      <w:r w:rsidR="000B4014">
        <w:rPr>
          <w:rFonts w:ascii="Verdana" w:hAnsi="Verdana"/>
          <w:sz w:val="20"/>
          <w:lang w:val="es-MX"/>
        </w:rPr>
      </w:r>
      <w:r w:rsidR="000B4014">
        <w:rPr>
          <w:rFonts w:ascii="Verdana" w:hAnsi="Verdana"/>
          <w:sz w:val="20"/>
          <w:lang w:val="es-MX"/>
        </w:rPr>
        <w:fldChar w:fldCharType="separate"/>
      </w:r>
      <w:r w:rsidR="00711324">
        <w:rPr>
          <w:rFonts w:ascii="Verdana" w:hAnsi="Verdana"/>
          <w:sz w:val="20"/>
          <w:lang w:val="es-MX"/>
        </w:rPr>
        <w:t>3</w:t>
      </w:r>
      <w:r w:rsidR="000B4014">
        <w:rPr>
          <w:rFonts w:ascii="Verdana" w:hAnsi="Verdana"/>
          <w:sz w:val="20"/>
          <w:lang w:val="es-MX"/>
        </w:rPr>
        <w:fldChar w:fldCharType="end"/>
      </w:r>
      <w:r w:rsidR="00F60879">
        <w:rPr>
          <w:rFonts w:ascii="Verdana" w:hAnsi="Verdana"/>
          <w:sz w:val="20"/>
          <w:lang w:val="es-MX"/>
        </w:rPr>
        <w:t>)</w:t>
      </w:r>
      <w:r w:rsidR="00292A6C">
        <w:rPr>
          <w:rFonts w:ascii="Verdana" w:hAnsi="Verdana"/>
          <w:sz w:val="20"/>
          <w:lang w:val="es-MX"/>
        </w:rPr>
        <w:t>,</w:t>
      </w:r>
      <w:r w:rsidR="00292A6C" w:rsidRPr="002160E3">
        <w:rPr>
          <w:rFonts w:ascii="Verdana" w:hAnsi="Verdana"/>
          <w:sz w:val="20"/>
          <w:lang w:val="es-MX"/>
        </w:rPr>
        <w:t xml:space="preserve"> el Estado no </w:t>
      </w:r>
      <w:r w:rsidR="00292A6C">
        <w:rPr>
          <w:rFonts w:ascii="Verdana" w:hAnsi="Verdana"/>
          <w:sz w:val="20"/>
          <w:lang w:val="es-MX"/>
        </w:rPr>
        <w:t xml:space="preserve">presentó </w:t>
      </w:r>
      <w:r w:rsidR="00DB5B78">
        <w:rPr>
          <w:rFonts w:ascii="Verdana" w:hAnsi="Verdana"/>
          <w:sz w:val="20"/>
          <w:lang w:val="es-MX"/>
        </w:rPr>
        <w:t xml:space="preserve">los </w:t>
      </w:r>
      <w:r w:rsidR="00292A6C">
        <w:rPr>
          <w:rFonts w:ascii="Verdana" w:hAnsi="Verdana"/>
          <w:sz w:val="20"/>
          <w:lang w:val="es-MX"/>
        </w:rPr>
        <w:t>informe</w:t>
      </w:r>
      <w:r w:rsidR="00DB5B78">
        <w:rPr>
          <w:rFonts w:ascii="Verdana" w:hAnsi="Verdana"/>
          <w:sz w:val="20"/>
          <w:lang w:val="es-MX"/>
        </w:rPr>
        <w:t>s</w:t>
      </w:r>
      <w:r w:rsidR="00292A6C">
        <w:rPr>
          <w:rFonts w:ascii="Verdana" w:hAnsi="Verdana"/>
          <w:sz w:val="20"/>
          <w:lang w:val="es-MX"/>
        </w:rPr>
        <w:t xml:space="preserve"> </w:t>
      </w:r>
      <w:r w:rsidR="00292A6C" w:rsidRPr="002160E3">
        <w:rPr>
          <w:rFonts w:ascii="Verdana" w:hAnsi="Verdana"/>
          <w:sz w:val="20"/>
          <w:lang w:val="es-MX"/>
        </w:rPr>
        <w:t>solicitad</w:t>
      </w:r>
      <w:r w:rsidR="00292A6C">
        <w:rPr>
          <w:rFonts w:ascii="Verdana" w:hAnsi="Verdana"/>
          <w:sz w:val="20"/>
          <w:lang w:val="es-MX"/>
        </w:rPr>
        <w:t>o</w:t>
      </w:r>
      <w:bookmarkEnd w:id="9"/>
      <w:r w:rsidR="00DB5B78">
        <w:rPr>
          <w:rFonts w:ascii="Verdana" w:hAnsi="Verdana"/>
          <w:sz w:val="20"/>
          <w:lang w:val="es-MX"/>
        </w:rPr>
        <w:t>s</w:t>
      </w:r>
      <w:r w:rsidR="00D4204F">
        <w:rPr>
          <w:rFonts w:ascii="Verdana" w:hAnsi="Verdana"/>
          <w:sz w:val="20"/>
          <w:lang w:val="es-MX"/>
        </w:rPr>
        <w:t>.</w:t>
      </w:r>
      <w:bookmarkEnd w:id="8"/>
      <w:r w:rsidR="00D4204F" w:rsidRPr="002160E3">
        <w:rPr>
          <w:rFonts w:ascii="Verdana" w:hAnsi="Verdana"/>
          <w:sz w:val="20"/>
          <w:lang w:val="es-MX"/>
        </w:rPr>
        <w:t xml:space="preserve"> </w:t>
      </w:r>
    </w:p>
    <w:p w:rsidR="000B4014" w:rsidRDefault="000B4014" w:rsidP="000B4014">
      <w:pPr>
        <w:pStyle w:val="Prrafodelista"/>
        <w:numPr>
          <w:ilvl w:val="0"/>
          <w:numId w:val="2"/>
        </w:numPr>
        <w:spacing w:before="120" w:after="0" w:line="240" w:lineRule="auto"/>
        <w:ind w:left="0" w:right="4" w:firstLine="0"/>
        <w:contextualSpacing w:val="0"/>
        <w:jc w:val="both"/>
        <w:rPr>
          <w:rFonts w:ascii="Verdana" w:hAnsi="Verdana" w:cs="Verdana"/>
          <w:bCs/>
          <w:sz w:val="20"/>
          <w:szCs w:val="20"/>
          <w:lang w:val="es-ES"/>
        </w:rPr>
      </w:pPr>
      <w:bookmarkStart w:id="10" w:name="_Ref467835792"/>
      <w:r>
        <w:rPr>
          <w:rFonts w:ascii="Verdana" w:hAnsi="Verdana"/>
          <w:sz w:val="20"/>
          <w:szCs w:val="20"/>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por ésta, lo cual es fundamental para evaluar el estado de cumplimiento de la Sentencia en su conjunto</w:t>
      </w:r>
      <w:r>
        <w:rPr>
          <w:rStyle w:val="Refdenotaalpie"/>
          <w:rFonts w:ascii="Verdana" w:hAnsi="Verdana"/>
          <w:sz w:val="20"/>
          <w:szCs w:val="20"/>
        </w:rPr>
        <w:footnoteReference w:id="11"/>
      </w:r>
      <w:r>
        <w:rPr>
          <w:rFonts w:ascii="Verdana" w:hAnsi="Verdana"/>
          <w:sz w:val="20"/>
          <w:szCs w:val="20"/>
        </w:rPr>
        <w:t>. Al efecto, cabe tener presente, además, que, según el artículo 67 de la Convención Americana, “[e]l fallo de la Corte será definitivo e inapelable”, de manera que, una vez que este Tribunal dicta sentencia, ella produce los efectos de cosa juzgada y debe ser prontamente cumplida por el Estado en forma íntegra.</w:t>
      </w:r>
      <w:bookmarkEnd w:id="10"/>
    </w:p>
    <w:p w:rsidR="00F60879" w:rsidRPr="003B2CA2" w:rsidRDefault="00292A6C" w:rsidP="00F75AD0">
      <w:pPr>
        <w:pStyle w:val="Prrafodelista"/>
        <w:numPr>
          <w:ilvl w:val="0"/>
          <w:numId w:val="2"/>
        </w:numPr>
        <w:spacing w:before="120" w:after="0" w:line="240" w:lineRule="auto"/>
        <w:ind w:left="0" w:right="4" w:firstLine="0"/>
        <w:contextualSpacing w:val="0"/>
        <w:jc w:val="both"/>
        <w:rPr>
          <w:rFonts w:ascii="Verdana" w:hAnsi="Verdana"/>
          <w:sz w:val="20"/>
          <w:lang w:val="pl-PL"/>
        </w:rPr>
      </w:pPr>
      <w:r w:rsidRPr="0045566C">
        <w:rPr>
          <w:rFonts w:ascii="Verdana" w:eastAsia="Times New Roman" w:hAnsi="Verdana"/>
          <w:color w:val="000000"/>
          <w:sz w:val="20"/>
          <w:lang w:val="es-CO"/>
        </w:rPr>
        <w:t xml:space="preserve">De </w:t>
      </w:r>
      <w:r w:rsidR="0064645B">
        <w:rPr>
          <w:rFonts w:ascii="Verdana" w:eastAsia="Times New Roman" w:hAnsi="Verdana"/>
          <w:color w:val="000000"/>
          <w:sz w:val="20"/>
          <w:lang w:val="es-CO"/>
        </w:rPr>
        <w:t xml:space="preserve">este </w:t>
      </w:r>
      <w:r w:rsidRPr="0045566C">
        <w:rPr>
          <w:rFonts w:ascii="Verdana" w:eastAsia="Times New Roman" w:hAnsi="Verdana"/>
          <w:color w:val="000000"/>
          <w:sz w:val="20"/>
          <w:lang w:val="es-CO"/>
        </w:rPr>
        <w:t xml:space="preserve">modo, los Estados Partes de la Convención Americana tienen la obligación </w:t>
      </w:r>
      <w:r w:rsidRPr="00F75AD0">
        <w:rPr>
          <w:rFonts w:ascii="Verdana" w:hAnsi="Verdana"/>
          <w:sz w:val="20"/>
          <w:lang w:val="es-MX"/>
        </w:rPr>
        <w:t>convencional</w:t>
      </w:r>
      <w:r w:rsidRPr="0045566C">
        <w:rPr>
          <w:rFonts w:ascii="Verdana" w:eastAsia="Times New Roman" w:hAnsi="Verdana"/>
          <w:color w:val="000000"/>
          <w:sz w:val="20"/>
          <w:lang w:val="es-CO"/>
        </w:rPr>
        <w:t xml:space="preserve"> de implementar </w:t>
      </w:r>
      <w:r w:rsidRPr="00A671A5">
        <w:rPr>
          <w:rFonts w:ascii="Verdana" w:eastAsia="Times New Roman" w:hAnsi="Verdana"/>
          <w:color w:val="000000"/>
          <w:sz w:val="20"/>
          <w:lang w:val="es-CO"/>
        </w:rPr>
        <w:t>tanto a nivel internacional como interno y</w:t>
      </w:r>
      <w:r w:rsidRPr="0045566C">
        <w:rPr>
          <w:rFonts w:ascii="Verdana" w:eastAsia="Times New Roman" w:hAnsi="Verdana"/>
          <w:color w:val="000000"/>
          <w:sz w:val="20"/>
          <w:lang w:val="es-CO"/>
        </w:rPr>
        <w:t xml:space="preserve"> </w:t>
      </w:r>
      <w:r w:rsidRPr="0045566C">
        <w:rPr>
          <w:rFonts w:ascii="Verdana" w:eastAsia="Times New Roman" w:hAnsi="Verdana"/>
          <w:color w:val="000000"/>
          <w:sz w:val="20"/>
        </w:rPr>
        <w:t xml:space="preserve">de forma pronta e íntegra, lo </w:t>
      </w:r>
      <w:r w:rsidRPr="0045566C">
        <w:rPr>
          <w:rFonts w:ascii="Verdana" w:eastAsia="Times New Roman" w:hAnsi="Verdana"/>
          <w:color w:val="000000"/>
          <w:sz w:val="20"/>
          <w:lang w:val="es-CO"/>
        </w:rPr>
        <w:t>dispuesto por el Tribunal en las Sentencias que a ellos conciernan, obligación que, como lo señala el derecho internacional consuetudinario y lo ha recordado la Corte, vincula a todos los poderes y órganos estatales</w:t>
      </w:r>
      <w:r w:rsidRPr="005321C0">
        <w:rPr>
          <w:rStyle w:val="Refdenotaalpie"/>
          <w:rFonts w:ascii="Verdana" w:hAnsi="Verdana" w:cs="Verdana"/>
          <w:sz w:val="20"/>
        </w:rPr>
        <w:footnoteReference w:id="12"/>
      </w:r>
      <w:r w:rsidRPr="0045566C">
        <w:rPr>
          <w:rFonts w:ascii="Verdana" w:eastAsia="Times New Roman" w:hAnsi="Verdana"/>
          <w:color w:val="000000"/>
          <w:sz w:val="20"/>
        </w:rPr>
        <w:t xml:space="preserve"> y, de no cumplirse, se incurre en un ilícito internacional</w:t>
      </w:r>
      <w:r w:rsidRPr="0045566C">
        <w:rPr>
          <w:rFonts w:ascii="Verdana" w:eastAsia="Times New Roman" w:hAnsi="Verdana"/>
          <w:color w:val="000000"/>
          <w:sz w:val="20"/>
          <w:lang w:val="pl-PL"/>
        </w:rPr>
        <w:t>. Al r</w:t>
      </w:r>
      <w:r>
        <w:rPr>
          <w:rFonts w:ascii="Verdana" w:eastAsia="Times New Roman" w:hAnsi="Verdana"/>
          <w:color w:val="000000"/>
          <w:sz w:val="20"/>
          <w:lang w:val="pl-PL"/>
        </w:rPr>
        <w:t>especto, es menester añadir que</w:t>
      </w:r>
      <w:r w:rsidRPr="0045566C">
        <w:rPr>
          <w:rFonts w:ascii="Verdana" w:eastAsia="Times New Roman" w:hAnsi="Verdana"/>
          <w:color w:val="000000"/>
          <w:sz w:val="20"/>
          <w:lang w:val="pl-PL"/>
        </w:rPr>
        <w:t xml:space="preserve"> siempre</w:t>
      </w:r>
      <w:r>
        <w:rPr>
          <w:rFonts w:ascii="Verdana" w:eastAsia="Times New Roman" w:hAnsi="Verdana"/>
          <w:color w:val="000000"/>
          <w:sz w:val="20"/>
          <w:lang w:val="pl-PL"/>
        </w:rPr>
        <w:t>,</w:t>
      </w:r>
      <w:r w:rsidRPr="0045566C">
        <w:rPr>
          <w:rFonts w:ascii="Verdana" w:eastAsia="Times New Roman" w:hAnsi="Verdana"/>
          <w:color w:val="000000"/>
          <w:sz w:val="20"/>
          <w:lang w:val="pl-PL"/>
        </w:rPr>
        <w:t xml:space="preserve"> según el derecho internacional consuetudinario y lo afirmado por la Corte, al producirse un hecho ilícito atribuible a un Estado, surge la responsabilidad internacional de éste por violación de una norma internacional, dándose así origen a una relación jurídica nueva que consiste en la obligación de reparar</w:t>
      </w:r>
      <w:r w:rsidRPr="003C1848">
        <w:rPr>
          <w:rStyle w:val="Refdenotaalpie"/>
          <w:rFonts w:ascii="Verdana" w:hAnsi="Verdana"/>
          <w:sz w:val="20"/>
        </w:rPr>
        <w:footnoteReference w:id="13"/>
      </w:r>
      <w:r w:rsidRPr="0045566C">
        <w:rPr>
          <w:rFonts w:ascii="Verdana" w:eastAsia="Times New Roman" w:hAnsi="Verdana"/>
          <w:color w:val="000000"/>
          <w:sz w:val="20"/>
          <w:lang w:val="pl-PL"/>
        </w:rPr>
        <w:t>.</w:t>
      </w:r>
      <w:r>
        <w:rPr>
          <w:rFonts w:ascii="Verdana" w:eastAsia="Times New Roman" w:hAnsi="Verdana"/>
          <w:color w:val="000000"/>
          <w:sz w:val="20"/>
          <w:lang w:val="pl-PL"/>
        </w:rPr>
        <w:t xml:space="preserve"> </w:t>
      </w:r>
      <w:r w:rsidRPr="009946D7">
        <w:rPr>
          <w:rFonts w:ascii="Verdana" w:hAnsi="Verdana"/>
          <w:sz w:val="20"/>
          <w:lang w:val="pl-PL"/>
        </w:rPr>
        <w:t>Tal como ha indicado la Corte</w:t>
      </w:r>
      <w:r w:rsidRPr="009946D7">
        <w:rPr>
          <w:rStyle w:val="Refdenotaalpie"/>
          <w:rFonts w:ascii="Verdana" w:hAnsi="Verdana"/>
          <w:sz w:val="20"/>
        </w:rPr>
        <w:footnoteReference w:id="14"/>
      </w:r>
      <w:r w:rsidRPr="009946D7">
        <w:rPr>
          <w:rFonts w:ascii="Verdana" w:hAnsi="Verdana"/>
          <w:sz w:val="20"/>
          <w:lang w:val="pl-PL"/>
        </w:rPr>
        <w:t>, el artículo 63.1 de la Convención reproduce el texto de una norma consuetudinaria que constituye uno de los principios fundamentales del derecho de la responsabilidad internacional de los Estados</w:t>
      </w:r>
      <w:r w:rsidRPr="009946D7">
        <w:rPr>
          <w:rStyle w:val="Refdenotaalpie"/>
          <w:rFonts w:ascii="Verdana" w:hAnsi="Verdana"/>
          <w:sz w:val="20"/>
        </w:rPr>
        <w:footnoteReference w:id="15"/>
      </w:r>
      <w:r w:rsidRPr="009946D7">
        <w:rPr>
          <w:rFonts w:ascii="Verdana" w:hAnsi="Verdana"/>
          <w:sz w:val="20"/>
          <w:lang w:val="pl-PL"/>
        </w:rPr>
        <w:t>.</w:t>
      </w:r>
      <w:r>
        <w:rPr>
          <w:rFonts w:ascii="Verdana" w:hAnsi="Verdana"/>
          <w:sz w:val="20"/>
          <w:lang w:val="pl-PL"/>
        </w:rPr>
        <w:t xml:space="preserve"> La falta de la ejecución de las reparaciones en el ámbito interno implica la negación al derecho de acceso a la justicia internacional</w:t>
      </w:r>
      <w:r>
        <w:rPr>
          <w:rStyle w:val="Refdenotaalpie"/>
          <w:rFonts w:ascii="Verdana" w:hAnsi="Verdana"/>
          <w:sz w:val="20"/>
          <w:lang w:val="pl-PL"/>
        </w:rPr>
        <w:footnoteReference w:id="16"/>
      </w:r>
      <w:r>
        <w:rPr>
          <w:rFonts w:ascii="Verdana" w:hAnsi="Verdana"/>
          <w:sz w:val="20"/>
          <w:lang w:val="pl-PL"/>
        </w:rPr>
        <w:t>.</w:t>
      </w:r>
    </w:p>
    <w:p w:rsidR="007770E7" w:rsidRPr="00E4741A" w:rsidRDefault="007770E7" w:rsidP="00F75AD0">
      <w:pPr>
        <w:pStyle w:val="Prrafodelista"/>
        <w:numPr>
          <w:ilvl w:val="0"/>
          <w:numId w:val="2"/>
        </w:numPr>
        <w:spacing w:before="120" w:after="0" w:line="240" w:lineRule="auto"/>
        <w:ind w:left="0" w:right="4" w:firstLine="0"/>
        <w:contextualSpacing w:val="0"/>
        <w:jc w:val="both"/>
        <w:rPr>
          <w:rFonts w:ascii="Verdana" w:hAnsi="Verdana"/>
          <w:sz w:val="20"/>
          <w:lang w:val="es-MX"/>
        </w:rPr>
      </w:pPr>
      <w:bookmarkStart w:id="11" w:name="_Ref437597947"/>
      <w:r w:rsidRPr="00E4741A">
        <w:rPr>
          <w:rFonts w:ascii="Verdana" w:hAnsi="Verdana"/>
          <w:sz w:val="20"/>
          <w:lang w:val="es-MX"/>
        </w:rPr>
        <w:lastRenderedPageBreak/>
        <w:t xml:space="preserve">La Corte </w:t>
      </w:r>
      <w:r w:rsidR="00617D57" w:rsidRPr="00E4741A">
        <w:rPr>
          <w:rFonts w:ascii="Verdana" w:hAnsi="Verdana"/>
          <w:sz w:val="20"/>
          <w:lang w:val="es-MX"/>
        </w:rPr>
        <w:t xml:space="preserve">destaca la gravedad de </w:t>
      </w:r>
      <w:r w:rsidRPr="00E4741A">
        <w:rPr>
          <w:rFonts w:ascii="Verdana" w:hAnsi="Verdana"/>
          <w:sz w:val="20"/>
          <w:lang w:val="es-MX"/>
        </w:rPr>
        <w:t>que</w:t>
      </w:r>
      <w:r w:rsidR="00834A57" w:rsidRPr="00E4741A">
        <w:rPr>
          <w:rFonts w:ascii="Verdana" w:hAnsi="Verdana"/>
          <w:sz w:val="20"/>
          <w:lang w:val="es-MX"/>
        </w:rPr>
        <w:t>,</w:t>
      </w:r>
      <w:r w:rsidRPr="00E4741A">
        <w:rPr>
          <w:rFonts w:ascii="Verdana" w:hAnsi="Verdana"/>
          <w:sz w:val="20"/>
          <w:lang w:val="es-MX"/>
        </w:rPr>
        <w:t xml:space="preserve"> </w:t>
      </w:r>
      <w:r w:rsidR="00834A57" w:rsidRPr="00E4741A">
        <w:rPr>
          <w:rFonts w:ascii="Verdana" w:hAnsi="Verdana"/>
          <w:sz w:val="20"/>
          <w:lang w:val="es-MX"/>
        </w:rPr>
        <w:t xml:space="preserve">durante los </w:t>
      </w:r>
      <w:r w:rsidR="003025F8" w:rsidRPr="00E4741A">
        <w:rPr>
          <w:rFonts w:ascii="Verdana" w:hAnsi="Verdana"/>
          <w:sz w:val="20"/>
          <w:lang w:val="es-MX"/>
        </w:rPr>
        <w:t>tres</w:t>
      </w:r>
      <w:r w:rsidR="00834A57" w:rsidRPr="00E4741A">
        <w:rPr>
          <w:rFonts w:ascii="Verdana" w:hAnsi="Verdana"/>
          <w:sz w:val="20"/>
          <w:lang w:val="es-MX"/>
        </w:rPr>
        <w:t xml:space="preserve"> años </w:t>
      </w:r>
      <w:r w:rsidR="00142311" w:rsidRPr="00E4741A">
        <w:rPr>
          <w:rFonts w:ascii="Verdana" w:hAnsi="Verdana"/>
          <w:sz w:val="20"/>
          <w:lang w:val="es-MX"/>
        </w:rPr>
        <w:t xml:space="preserve">y once meses </w:t>
      </w:r>
      <w:r w:rsidR="00834A57" w:rsidRPr="00E4741A">
        <w:rPr>
          <w:rFonts w:ascii="Verdana" w:hAnsi="Verdana"/>
          <w:sz w:val="20"/>
          <w:lang w:val="es-MX"/>
        </w:rPr>
        <w:t>posteriores</w:t>
      </w:r>
      <w:r w:rsidR="00617D57" w:rsidRPr="00E4741A">
        <w:rPr>
          <w:rFonts w:ascii="Verdana" w:hAnsi="Verdana"/>
          <w:sz w:val="20"/>
          <w:lang w:val="es-MX"/>
        </w:rPr>
        <w:t xml:space="preserve"> al vencimiento del plazo dispuesto en</w:t>
      </w:r>
      <w:r w:rsidR="00834A57" w:rsidRPr="00E4741A">
        <w:rPr>
          <w:rFonts w:ascii="Verdana" w:hAnsi="Verdana"/>
          <w:sz w:val="20"/>
          <w:lang w:val="es-MX"/>
        </w:rPr>
        <w:t xml:space="preserve"> la Sentencia</w:t>
      </w:r>
      <w:r w:rsidR="00617D57" w:rsidRPr="00E4741A">
        <w:rPr>
          <w:rFonts w:ascii="Verdana" w:hAnsi="Verdana"/>
          <w:sz w:val="20"/>
          <w:lang w:val="es-MX"/>
        </w:rPr>
        <w:t xml:space="preserve"> para informar sobre su cumplimiento</w:t>
      </w:r>
      <w:r w:rsidR="00EF2A74" w:rsidRPr="00E4741A">
        <w:rPr>
          <w:rStyle w:val="Refdenotaalpie"/>
          <w:rFonts w:ascii="Verdana" w:hAnsi="Verdana"/>
          <w:sz w:val="20"/>
          <w:lang w:val="es-MX"/>
        </w:rPr>
        <w:footnoteReference w:id="17"/>
      </w:r>
      <w:r w:rsidR="00834A57" w:rsidRPr="00E4741A">
        <w:rPr>
          <w:rFonts w:ascii="Verdana" w:hAnsi="Verdana"/>
          <w:sz w:val="20"/>
          <w:lang w:val="es-MX"/>
        </w:rPr>
        <w:t xml:space="preserve">, </w:t>
      </w:r>
      <w:r w:rsidRPr="00E4741A">
        <w:rPr>
          <w:rFonts w:ascii="Verdana" w:hAnsi="Verdana"/>
          <w:sz w:val="20"/>
          <w:lang w:val="es-MX"/>
        </w:rPr>
        <w:t>el Estado sólo ha proporcionado alguna información relativa al deber de investigar (</w:t>
      </w:r>
      <w:r w:rsidRPr="00E4741A">
        <w:rPr>
          <w:rFonts w:ascii="Verdana" w:hAnsi="Verdana"/>
          <w:i/>
          <w:sz w:val="20"/>
          <w:lang w:val="es-MX"/>
        </w:rPr>
        <w:t>supra</w:t>
      </w:r>
      <w:r w:rsidRPr="00E4741A">
        <w:rPr>
          <w:rFonts w:ascii="Verdana" w:hAnsi="Verdana"/>
          <w:sz w:val="20"/>
          <w:lang w:val="es-MX"/>
        </w:rPr>
        <w:t xml:space="preserve"> </w:t>
      </w:r>
      <w:r w:rsidR="00617D57" w:rsidRPr="00E4741A">
        <w:rPr>
          <w:rFonts w:ascii="Verdana" w:hAnsi="Verdana"/>
          <w:sz w:val="20"/>
          <w:lang w:val="es-MX"/>
        </w:rPr>
        <w:t xml:space="preserve">Considerando </w:t>
      </w:r>
      <w:r w:rsidR="00BD6882">
        <w:rPr>
          <w:rFonts w:ascii="Verdana" w:hAnsi="Verdana"/>
          <w:sz w:val="20"/>
          <w:lang w:val="es-MX"/>
        </w:rPr>
        <w:fldChar w:fldCharType="begin"/>
      </w:r>
      <w:r w:rsidR="00BD6882">
        <w:rPr>
          <w:rFonts w:ascii="Verdana" w:hAnsi="Verdana"/>
          <w:sz w:val="20"/>
          <w:lang w:val="es-MX"/>
        </w:rPr>
        <w:instrText xml:space="preserve"> REF _Ref467835792 \r \h </w:instrText>
      </w:r>
      <w:r w:rsidR="00BD6882">
        <w:rPr>
          <w:rFonts w:ascii="Verdana" w:hAnsi="Verdana"/>
          <w:sz w:val="20"/>
          <w:lang w:val="es-MX"/>
        </w:rPr>
      </w:r>
      <w:r w:rsidR="00BD6882">
        <w:rPr>
          <w:rFonts w:ascii="Verdana" w:hAnsi="Verdana"/>
          <w:sz w:val="20"/>
          <w:lang w:val="es-MX"/>
        </w:rPr>
        <w:fldChar w:fldCharType="separate"/>
      </w:r>
      <w:r w:rsidR="00711324">
        <w:rPr>
          <w:rFonts w:ascii="Verdana" w:hAnsi="Verdana"/>
          <w:sz w:val="20"/>
          <w:lang w:val="es-MX"/>
        </w:rPr>
        <w:t>2</w:t>
      </w:r>
      <w:r w:rsidR="00BD6882">
        <w:rPr>
          <w:rFonts w:ascii="Verdana" w:hAnsi="Verdana"/>
          <w:sz w:val="20"/>
          <w:lang w:val="es-MX"/>
        </w:rPr>
        <w:fldChar w:fldCharType="end"/>
      </w:r>
      <w:r w:rsidRPr="00E4741A">
        <w:rPr>
          <w:rFonts w:ascii="Verdana" w:hAnsi="Verdana"/>
          <w:sz w:val="20"/>
          <w:lang w:val="es-MX"/>
        </w:rPr>
        <w:t xml:space="preserve">), y no </w:t>
      </w:r>
      <w:r w:rsidR="00142311" w:rsidRPr="00E4741A">
        <w:rPr>
          <w:rFonts w:ascii="Verdana" w:hAnsi="Verdana"/>
          <w:sz w:val="20"/>
          <w:lang w:val="es-MX"/>
        </w:rPr>
        <w:t xml:space="preserve">ha </w:t>
      </w:r>
      <w:r w:rsidR="00834A57" w:rsidRPr="00E4741A">
        <w:rPr>
          <w:rFonts w:ascii="Verdana" w:hAnsi="Verdana"/>
          <w:sz w:val="20"/>
          <w:lang w:val="es-MX"/>
        </w:rPr>
        <w:t>inform</w:t>
      </w:r>
      <w:r w:rsidR="00142311" w:rsidRPr="00E4741A">
        <w:rPr>
          <w:rFonts w:ascii="Verdana" w:hAnsi="Verdana"/>
          <w:sz w:val="20"/>
          <w:lang w:val="es-MX"/>
        </w:rPr>
        <w:t>ado</w:t>
      </w:r>
      <w:r w:rsidR="00834A57" w:rsidRPr="00E4741A">
        <w:rPr>
          <w:rFonts w:ascii="Verdana" w:hAnsi="Verdana"/>
          <w:sz w:val="20"/>
          <w:lang w:val="es-MX"/>
        </w:rPr>
        <w:t xml:space="preserve"> sobre el cumplimiento de las </w:t>
      </w:r>
      <w:r w:rsidR="00F73351" w:rsidRPr="00E4741A">
        <w:rPr>
          <w:rFonts w:ascii="Verdana" w:hAnsi="Verdana"/>
          <w:sz w:val="20"/>
          <w:lang w:val="es-MX"/>
        </w:rPr>
        <w:t xml:space="preserve">medidas </w:t>
      </w:r>
      <w:r w:rsidR="00834A57" w:rsidRPr="00E4741A">
        <w:rPr>
          <w:rFonts w:ascii="Verdana" w:hAnsi="Verdana"/>
          <w:sz w:val="20"/>
          <w:lang w:val="es-MX"/>
        </w:rPr>
        <w:t>restantes ordena</w:t>
      </w:r>
      <w:r w:rsidR="003025F8" w:rsidRPr="00E4741A">
        <w:rPr>
          <w:rFonts w:ascii="Verdana" w:hAnsi="Verdana"/>
          <w:sz w:val="20"/>
          <w:lang w:val="es-MX"/>
        </w:rPr>
        <w:t>da</w:t>
      </w:r>
      <w:r w:rsidR="00834A57" w:rsidRPr="00E4741A">
        <w:rPr>
          <w:rFonts w:ascii="Verdana" w:hAnsi="Verdana"/>
          <w:sz w:val="20"/>
          <w:lang w:val="es-MX"/>
        </w:rPr>
        <w:t>s en la Sentencia</w:t>
      </w:r>
      <w:r w:rsidRPr="00E4741A">
        <w:rPr>
          <w:rFonts w:ascii="Verdana" w:hAnsi="Verdana"/>
          <w:sz w:val="20"/>
          <w:lang w:val="es-MX"/>
        </w:rPr>
        <w:t xml:space="preserve">. </w:t>
      </w:r>
      <w:r w:rsidR="00C510F4" w:rsidRPr="00E4741A">
        <w:rPr>
          <w:rFonts w:ascii="Verdana" w:hAnsi="Verdana"/>
          <w:sz w:val="20"/>
          <w:lang w:val="es-MX"/>
        </w:rPr>
        <w:t xml:space="preserve">El Estado no solo incumplió con presentar el informe requerido en la Sentencia, sino que tampoco </w:t>
      </w:r>
      <w:r w:rsidR="00FC5D7D" w:rsidRPr="00E4741A">
        <w:rPr>
          <w:rFonts w:ascii="Verdana" w:hAnsi="Verdana"/>
          <w:sz w:val="20"/>
          <w:lang w:val="es-MX"/>
        </w:rPr>
        <w:t xml:space="preserve">expuso </w:t>
      </w:r>
      <w:r w:rsidR="00C510F4" w:rsidRPr="00E4741A">
        <w:rPr>
          <w:rFonts w:ascii="Verdana" w:hAnsi="Verdana"/>
          <w:sz w:val="20"/>
          <w:lang w:val="es-MX"/>
        </w:rPr>
        <w:t>información en la audiencia</w:t>
      </w:r>
      <w:r w:rsidR="00F73351">
        <w:rPr>
          <w:rFonts w:ascii="Verdana" w:hAnsi="Verdana"/>
          <w:sz w:val="20"/>
          <w:lang w:val="es-MX"/>
        </w:rPr>
        <w:t xml:space="preserve"> sobre estas últimas</w:t>
      </w:r>
      <w:r w:rsidR="00C510F4" w:rsidRPr="00E4741A">
        <w:rPr>
          <w:rFonts w:ascii="Verdana" w:hAnsi="Verdana"/>
          <w:sz w:val="20"/>
          <w:lang w:val="es-MX"/>
        </w:rPr>
        <w:t xml:space="preserve"> y, ante el nuevo plazo que</w:t>
      </w:r>
      <w:r w:rsidR="00FC5D7D" w:rsidRPr="00E4741A">
        <w:rPr>
          <w:rFonts w:ascii="Verdana" w:hAnsi="Verdana"/>
          <w:sz w:val="20"/>
          <w:lang w:val="es-MX"/>
        </w:rPr>
        <w:t xml:space="preserve"> le fue otorgado en la Resolució</w:t>
      </w:r>
      <w:r w:rsidR="00C510F4" w:rsidRPr="00E4741A">
        <w:rPr>
          <w:rFonts w:ascii="Verdana" w:hAnsi="Verdana"/>
          <w:sz w:val="20"/>
          <w:lang w:val="es-MX"/>
        </w:rPr>
        <w:t>n del 2015 (</w:t>
      </w:r>
      <w:r w:rsidR="00C510F4" w:rsidRPr="007F2B3F">
        <w:rPr>
          <w:rFonts w:ascii="Verdana" w:hAnsi="Verdana"/>
          <w:i/>
          <w:sz w:val="20"/>
          <w:lang w:val="es-MX"/>
        </w:rPr>
        <w:t>supra</w:t>
      </w:r>
      <w:r w:rsidR="00C510F4" w:rsidRPr="00E4741A">
        <w:rPr>
          <w:rFonts w:ascii="Verdana" w:hAnsi="Verdana"/>
          <w:sz w:val="20"/>
          <w:lang w:val="es-MX"/>
        </w:rPr>
        <w:t xml:space="preserve"> Considerando</w:t>
      </w:r>
      <w:r w:rsidR="00FC5D7D" w:rsidRPr="00E4741A">
        <w:rPr>
          <w:rFonts w:ascii="Verdana" w:hAnsi="Verdana"/>
          <w:sz w:val="20"/>
          <w:lang w:val="es-MX"/>
        </w:rPr>
        <w:t xml:space="preserve"> </w:t>
      </w:r>
      <w:r w:rsidR="00F73351">
        <w:rPr>
          <w:rFonts w:ascii="Verdana" w:hAnsi="Verdana"/>
          <w:sz w:val="20"/>
          <w:lang w:val="es-MX"/>
        </w:rPr>
        <w:fldChar w:fldCharType="begin"/>
      </w:r>
      <w:r w:rsidR="00F73351">
        <w:rPr>
          <w:rFonts w:ascii="Verdana" w:hAnsi="Verdana"/>
          <w:sz w:val="20"/>
          <w:lang w:val="es-MX"/>
        </w:rPr>
        <w:instrText xml:space="preserve"> REF _Ref464731894 \r \h </w:instrText>
      </w:r>
      <w:r w:rsidR="00F73351">
        <w:rPr>
          <w:rFonts w:ascii="Verdana" w:hAnsi="Verdana"/>
          <w:sz w:val="20"/>
          <w:lang w:val="es-MX"/>
        </w:rPr>
      </w:r>
      <w:r w:rsidR="00F73351">
        <w:rPr>
          <w:rFonts w:ascii="Verdana" w:hAnsi="Verdana"/>
          <w:sz w:val="20"/>
          <w:lang w:val="es-MX"/>
        </w:rPr>
        <w:fldChar w:fldCharType="separate"/>
      </w:r>
      <w:r w:rsidR="00711324">
        <w:rPr>
          <w:rFonts w:ascii="Verdana" w:hAnsi="Verdana"/>
          <w:sz w:val="20"/>
          <w:lang w:val="es-MX"/>
        </w:rPr>
        <w:t>1</w:t>
      </w:r>
      <w:r w:rsidR="00F73351">
        <w:rPr>
          <w:rFonts w:ascii="Verdana" w:hAnsi="Verdana"/>
          <w:sz w:val="20"/>
          <w:lang w:val="es-MX"/>
        </w:rPr>
        <w:fldChar w:fldCharType="end"/>
      </w:r>
      <w:r w:rsidR="00C510F4" w:rsidRPr="00E4741A">
        <w:rPr>
          <w:rFonts w:ascii="Verdana" w:hAnsi="Verdana"/>
          <w:sz w:val="20"/>
          <w:lang w:val="es-MX"/>
        </w:rPr>
        <w:t xml:space="preserve">), tampoco ha presentado </w:t>
      </w:r>
      <w:r w:rsidRPr="00E4741A">
        <w:rPr>
          <w:rFonts w:ascii="Verdana" w:hAnsi="Verdana"/>
          <w:sz w:val="20"/>
          <w:lang w:val="es-MX"/>
        </w:rPr>
        <w:t xml:space="preserve">información alguna sobre el cumplimiento de dichas medidas de reparación </w:t>
      </w:r>
      <w:r w:rsidR="00C510F4" w:rsidRPr="00E4741A">
        <w:rPr>
          <w:rFonts w:ascii="Verdana" w:hAnsi="Verdana"/>
          <w:sz w:val="20"/>
          <w:lang w:val="es-MX"/>
        </w:rPr>
        <w:t xml:space="preserve">ni </w:t>
      </w:r>
      <w:r w:rsidRPr="00E4741A">
        <w:rPr>
          <w:rFonts w:ascii="Verdana" w:hAnsi="Verdana"/>
          <w:sz w:val="20"/>
          <w:lang w:val="es-MX"/>
        </w:rPr>
        <w:t>brinda</w:t>
      </w:r>
      <w:r w:rsidR="00C510F4" w:rsidRPr="00E4741A">
        <w:rPr>
          <w:rFonts w:ascii="Verdana" w:hAnsi="Verdana"/>
          <w:sz w:val="20"/>
          <w:lang w:val="es-MX"/>
        </w:rPr>
        <w:t>do</w:t>
      </w:r>
      <w:r w:rsidRPr="00E4741A">
        <w:rPr>
          <w:rFonts w:ascii="Verdana" w:hAnsi="Verdana"/>
          <w:sz w:val="20"/>
          <w:lang w:val="es-MX"/>
        </w:rPr>
        <w:t xml:space="preserve"> explicación alguna al respecto. A ello se agrega la falta de respuesta del Estado ante los reiterados requerimientos de la Presidencia de la Corte efectuados mediante notas de la Secretaría (</w:t>
      </w:r>
      <w:r w:rsidRPr="00E4741A">
        <w:rPr>
          <w:rFonts w:ascii="Verdana" w:hAnsi="Verdana"/>
          <w:i/>
          <w:sz w:val="20"/>
          <w:lang w:val="es-MX"/>
        </w:rPr>
        <w:t xml:space="preserve">supra </w:t>
      </w:r>
      <w:r w:rsidRPr="00E4741A">
        <w:rPr>
          <w:rFonts w:ascii="Verdana" w:hAnsi="Verdana"/>
          <w:sz w:val="20"/>
          <w:lang w:val="es-MX"/>
        </w:rPr>
        <w:t xml:space="preserve">Visto </w:t>
      </w:r>
      <w:r w:rsidRPr="00E4741A">
        <w:rPr>
          <w:rFonts w:ascii="Verdana" w:hAnsi="Verdana"/>
          <w:sz w:val="20"/>
          <w:lang w:val="es-MX"/>
        </w:rPr>
        <w:fldChar w:fldCharType="begin"/>
      </w:r>
      <w:r w:rsidRPr="00E4741A">
        <w:rPr>
          <w:rFonts w:ascii="Verdana" w:hAnsi="Verdana"/>
          <w:sz w:val="20"/>
          <w:lang w:val="es-MX"/>
        </w:rPr>
        <w:instrText xml:space="preserve"> REF _Ref464732108 \r \h </w:instrText>
      </w:r>
      <w:r w:rsidR="0004777E" w:rsidRPr="00E4741A">
        <w:rPr>
          <w:rFonts w:ascii="Verdana" w:hAnsi="Verdana"/>
          <w:sz w:val="20"/>
          <w:lang w:val="es-MX"/>
        </w:rPr>
        <w:instrText xml:space="preserve"> \* MERGEFORMAT </w:instrText>
      </w:r>
      <w:r w:rsidRPr="00E4741A">
        <w:rPr>
          <w:rFonts w:ascii="Verdana" w:hAnsi="Verdana"/>
          <w:sz w:val="20"/>
          <w:lang w:val="es-MX"/>
        </w:rPr>
      </w:r>
      <w:r w:rsidRPr="00E4741A">
        <w:rPr>
          <w:rFonts w:ascii="Verdana" w:hAnsi="Verdana"/>
          <w:sz w:val="20"/>
          <w:lang w:val="es-MX"/>
        </w:rPr>
        <w:fldChar w:fldCharType="separate"/>
      </w:r>
      <w:r w:rsidR="00711324">
        <w:rPr>
          <w:rFonts w:ascii="Verdana" w:hAnsi="Verdana"/>
          <w:sz w:val="20"/>
          <w:lang w:val="es-MX"/>
        </w:rPr>
        <w:t>3</w:t>
      </w:r>
      <w:r w:rsidRPr="00E4741A">
        <w:rPr>
          <w:rFonts w:ascii="Verdana" w:hAnsi="Verdana"/>
          <w:sz w:val="20"/>
          <w:lang w:val="es-MX"/>
        </w:rPr>
        <w:fldChar w:fldCharType="end"/>
      </w:r>
      <w:r w:rsidRPr="00E4741A">
        <w:rPr>
          <w:rFonts w:ascii="Verdana" w:hAnsi="Verdana"/>
          <w:sz w:val="20"/>
          <w:lang w:val="es-MX"/>
        </w:rPr>
        <w:t xml:space="preserve"> y</w:t>
      </w:r>
      <w:r w:rsidRPr="00E4741A">
        <w:rPr>
          <w:rFonts w:ascii="Verdana" w:hAnsi="Verdana"/>
          <w:i/>
          <w:sz w:val="20"/>
          <w:lang w:val="es-MX"/>
        </w:rPr>
        <w:t xml:space="preserve"> </w:t>
      </w:r>
      <w:r w:rsidRPr="00E4741A">
        <w:rPr>
          <w:rFonts w:ascii="Verdana" w:hAnsi="Verdana"/>
          <w:sz w:val="20"/>
          <w:lang w:val="es-MX"/>
        </w:rPr>
        <w:t xml:space="preserve">Considerando </w:t>
      </w:r>
      <w:r w:rsidRPr="00E4741A">
        <w:rPr>
          <w:rFonts w:ascii="Verdana" w:hAnsi="Verdana"/>
          <w:sz w:val="20"/>
          <w:lang w:val="es-MX"/>
        </w:rPr>
        <w:fldChar w:fldCharType="begin"/>
      </w:r>
      <w:r w:rsidRPr="00E4741A">
        <w:rPr>
          <w:rFonts w:ascii="Verdana" w:hAnsi="Verdana"/>
          <w:sz w:val="20"/>
          <w:lang w:val="es-MX"/>
        </w:rPr>
        <w:instrText xml:space="preserve"> REF _Ref464731894 \r \h </w:instrText>
      </w:r>
      <w:r w:rsidR="0004777E" w:rsidRPr="00E4741A">
        <w:rPr>
          <w:rFonts w:ascii="Verdana" w:hAnsi="Verdana"/>
          <w:sz w:val="20"/>
          <w:lang w:val="es-MX"/>
        </w:rPr>
        <w:instrText xml:space="preserve"> \* MERGEFORMAT </w:instrText>
      </w:r>
      <w:r w:rsidRPr="00E4741A">
        <w:rPr>
          <w:rFonts w:ascii="Verdana" w:hAnsi="Verdana"/>
          <w:sz w:val="20"/>
          <w:lang w:val="es-MX"/>
        </w:rPr>
      </w:r>
      <w:r w:rsidRPr="00E4741A">
        <w:rPr>
          <w:rFonts w:ascii="Verdana" w:hAnsi="Verdana"/>
          <w:sz w:val="20"/>
          <w:lang w:val="es-MX"/>
        </w:rPr>
        <w:fldChar w:fldCharType="separate"/>
      </w:r>
      <w:r w:rsidR="00711324">
        <w:rPr>
          <w:rFonts w:ascii="Verdana" w:hAnsi="Verdana"/>
          <w:sz w:val="20"/>
          <w:lang w:val="es-MX"/>
        </w:rPr>
        <w:t>1</w:t>
      </w:r>
      <w:r w:rsidRPr="00E4741A">
        <w:rPr>
          <w:rFonts w:ascii="Verdana" w:hAnsi="Verdana"/>
          <w:sz w:val="20"/>
          <w:lang w:val="es-MX"/>
        </w:rPr>
        <w:fldChar w:fldCharType="end"/>
      </w:r>
      <w:r w:rsidRPr="00E4741A">
        <w:rPr>
          <w:rFonts w:ascii="Verdana" w:hAnsi="Verdana"/>
          <w:sz w:val="20"/>
          <w:lang w:val="es-MX"/>
        </w:rPr>
        <w:t xml:space="preserve">). </w:t>
      </w:r>
      <w:r w:rsidRPr="00E4741A">
        <w:rPr>
          <w:rFonts w:ascii="Verdana" w:hAnsi="Verdana" w:cs="Verdana"/>
          <w:sz w:val="20"/>
          <w:lang w:eastAsia="es-CR"/>
        </w:rPr>
        <w:t xml:space="preserve"> Ello </w:t>
      </w:r>
      <w:r w:rsidRPr="00E4741A">
        <w:rPr>
          <w:rFonts w:ascii="Verdana" w:hAnsi="Verdana"/>
          <w:sz w:val="20"/>
          <w:lang w:val="es-MX"/>
        </w:rPr>
        <w:t>configura un incumplimiento del Estado de la obligación de informar al Tribunal.</w:t>
      </w:r>
    </w:p>
    <w:p w:rsidR="007770E7" w:rsidRPr="00E4741A" w:rsidRDefault="007770E7" w:rsidP="00F75AD0">
      <w:pPr>
        <w:pStyle w:val="Prrafodelista"/>
        <w:numPr>
          <w:ilvl w:val="0"/>
          <w:numId w:val="2"/>
        </w:numPr>
        <w:spacing w:before="120" w:after="0" w:line="240" w:lineRule="auto"/>
        <w:ind w:left="0" w:right="4" w:firstLine="0"/>
        <w:contextualSpacing w:val="0"/>
        <w:jc w:val="both"/>
        <w:rPr>
          <w:rFonts w:ascii="Verdana" w:hAnsi="Verdana"/>
          <w:sz w:val="20"/>
          <w:lang w:val="es-MX"/>
        </w:rPr>
      </w:pPr>
      <w:r w:rsidRPr="00E4741A">
        <w:rPr>
          <w:rFonts w:ascii="Verdana" w:hAnsi="Verdana"/>
          <w:sz w:val="20"/>
          <w:lang w:val="es-MX"/>
        </w:rPr>
        <w:t>Además, han transcurrido</w:t>
      </w:r>
      <w:r w:rsidR="0005692F" w:rsidRPr="00E4741A">
        <w:rPr>
          <w:rFonts w:ascii="Verdana" w:hAnsi="Verdana"/>
          <w:sz w:val="20"/>
          <w:lang w:val="es-MX"/>
        </w:rPr>
        <w:t xml:space="preserve"> </w:t>
      </w:r>
      <w:r w:rsidRPr="00E4741A">
        <w:rPr>
          <w:rFonts w:ascii="Verdana" w:hAnsi="Verdana"/>
          <w:sz w:val="20"/>
          <w:lang w:val="es-MX"/>
        </w:rPr>
        <w:t>c</w:t>
      </w:r>
      <w:r w:rsidR="000F0879" w:rsidRPr="00E4741A">
        <w:rPr>
          <w:rFonts w:ascii="Verdana" w:hAnsi="Verdana"/>
          <w:sz w:val="20"/>
          <w:lang w:val="es-MX"/>
        </w:rPr>
        <w:t>uatro</w:t>
      </w:r>
      <w:r w:rsidRPr="00E4741A">
        <w:rPr>
          <w:rFonts w:ascii="Verdana" w:hAnsi="Verdana"/>
          <w:sz w:val="20"/>
          <w:lang w:val="es-MX"/>
        </w:rPr>
        <w:t xml:space="preserve"> meses desde el vencimiento del plazo dispuesto en la Resolución de 23 de febrero de 2016</w:t>
      </w:r>
      <w:r w:rsidR="0005692F" w:rsidRPr="00E4741A">
        <w:rPr>
          <w:rFonts w:ascii="Verdana" w:hAnsi="Verdana"/>
          <w:sz w:val="20"/>
          <w:lang w:val="es-MX"/>
        </w:rPr>
        <w:t xml:space="preserve"> para </w:t>
      </w:r>
      <w:r w:rsidR="000F0879" w:rsidRPr="00E4741A">
        <w:rPr>
          <w:rFonts w:ascii="Verdana" w:hAnsi="Verdana"/>
          <w:sz w:val="20"/>
          <w:lang w:val="es-MX"/>
        </w:rPr>
        <w:t xml:space="preserve">que Venezuela informara sobre </w:t>
      </w:r>
      <w:r w:rsidR="0005692F" w:rsidRPr="00E4741A">
        <w:rPr>
          <w:rFonts w:ascii="Verdana" w:hAnsi="Verdana"/>
          <w:sz w:val="20"/>
          <w:lang w:val="es-MX"/>
        </w:rPr>
        <w:t xml:space="preserve">el reintegro al Fondo de Asistencia Legal de Víctimas de la Corte de las erogaciones por determinados gastos incurridos en relación con la audiencia de supervisión de cumplimiento de Sentencia, </w:t>
      </w:r>
      <w:r w:rsidR="000F0879" w:rsidRPr="00E4741A">
        <w:rPr>
          <w:rFonts w:ascii="Verdana" w:hAnsi="Verdana"/>
          <w:sz w:val="20"/>
          <w:lang w:val="es-MX"/>
        </w:rPr>
        <w:t>sin que haya presentado escrito alguno al respecto</w:t>
      </w:r>
      <w:r w:rsidR="00530D9F">
        <w:rPr>
          <w:rFonts w:ascii="Verdana" w:hAnsi="Verdana"/>
          <w:sz w:val="20"/>
          <w:lang w:val="es-MX"/>
        </w:rPr>
        <w:t xml:space="preserve"> </w:t>
      </w:r>
      <w:r w:rsidRPr="00E4741A">
        <w:rPr>
          <w:rFonts w:ascii="Verdana" w:hAnsi="Verdana"/>
          <w:sz w:val="20"/>
          <w:lang w:val="es-MX"/>
        </w:rPr>
        <w:t>(</w:t>
      </w:r>
      <w:r w:rsidRPr="00E4741A">
        <w:rPr>
          <w:rFonts w:ascii="Verdana" w:hAnsi="Verdana"/>
          <w:i/>
          <w:sz w:val="20"/>
          <w:lang w:val="es-MX"/>
        </w:rPr>
        <w:t>supra</w:t>
      </w:r>
      <w:r w:rsidRPr="00E4741A">
        <w:rPr>
          <w:rFonts w:ascii="Verdana" w:hAnsi="Verdana"/>
          <w:sz w:val="20"/>
          <w:lang w:val="es-MX"/>
        </w:rPr>
        <w:t xml:space="preserve"> Visto </w:t>
      </w:r>
      <w:r w:rsidR="00530D9F">
        <w:rPr>
          <w:rFonts w:ascii="Verdana" w:hAnsi="Verdana"/>
          <w:sz w:val="20"/>
          <w:lang w:val="es-MX"/>
        </w:rPr>
        <w:fldChar w:fldCharType="begin"/>
      </w:r>
      <w:r w:rsidR="00530D9F">
        <w:rPr>
          <w:rFonts w:ascii="Verdana" w:hAnsi="Verdana"/>
          <w:sz w:val="20"/>
          <w:lang w:val="es-MX"/>
        </w:rPr>
        <w:instrText xml:space="preserve"> REF _Ref467833670 \r \h </w:instrText>
      </w:r>
      <w:r w:rsidR="00530D9F">
        <w:rPr>
          <w:rFonts w:ascii="Verdana" w:hAnsi="Verdana"/>
          <w:sz w:val="20"/>
          <w:lang w:val="es-MX"/>
        </w:rPr>
      </w:r>
      <w:r w:rsidR="00530D9F">
        <w:rPr>
          <w:rFonts w:ascii="Verdana" w:hAnsi="Verdana"/>
          <w:sz w:val="20"/>
          <w:lang w:val="es-MX"/>
        </w:rPr>
        <w:fldChar w:fldCharType="separate"/>
      </w:r>
      <w:r w:rsidR="00711324">
        <w:rPr>
          <w:rFonts w:ascii="Verdana" w:hAnsi="Verdana"/>
          <w:sz w:val="20"/>
          <w:lang w:val="es-MX"/>
        </w:rPr>
        <w:t>2</w:t>
      </w:r>
      <w:r w:rsidR="00530D9F">
        <w:rPr>
          <w:rFonts w:ascii="Verdana" w:hAnsi="Verdana"/>
          <w:sz w:val="20"/>
          <w:lang w:val="es-MX"/>
        </w:rPr>
        <w:fldChar w:fldCharType="end"/>
      </w:r>
      <w:r w:rsidRPr="00E4741A">
        <w:rPr>
          <w:rFonts w:ascii="Verdana" w:hAnsi="Verdana"/>
          <w:sz w:val="20"/>
          <w:lang w:val="es-MX"/>
        </w:rPr>
        <w:t xml:space="preserve"> y Considerando </w:t>
      </w:r>
      <w:r w:rsidR="00530D9F">
        <w:rPr>
          <w:rFonts w:ascii="Verdana" w:hAnsi="Verdana"/>
          <w:sz w:val="20"/>
          <w:lang w:val="es-MX"/>
        </w:rPr>
        <w:fldChar w:fldCharType="begin"/>
      </w:r>
      <w:r w:rsidR="00530D9F">
        <w:rPr>
          <w:rFonts w:ascii="Verdana" w:hAnsi="Verdana"/>
          <w:sz w:val="20"/>
          <w:lang w:val="es-MX"/>
        </w:rPr>
        <w:instrText xml:space="preserve"> REF _Ref464731894 \r \h </w:instrText>
      </w:r>
      <w:r w:rsidR="00530D9F">
        <w:rPr>
          <w:rFonts w:ascii="Verdana" w:hAnsi="Verdana"/>
          <w:sz w:val="20"/>
          <w:lang w:val="es-MX"/>
        </w:rPr>
      </w:r>
      <w:r w:rsidR="00530D9F">
        <w:rPr>
          <w:rFonts w:ascii="Verdana" w:hAnsi="Verdana"/>
          <w:sz w:val="20"/>
          <w:lang w:val="es-MX"/>
        </w:rPr>
        <w:fldChar w:fldCharType="separate"/>
      </w:r>
      <w:r w:rsidR="00711324">
        <w:rPr>
          <w:rFonts w:ascii="Verdana" w:hAnsi="Verdana"/>
          <w:sz w:val="20"/>
          <w:lang w:val="es-MX"/>
        </w:rPr>
        <w:t>1</w:t>
      </w:r>
      <w:r w:rsidR="00530D9F">
        <w:rPr>
          <w:rFonts w:ascii="Verdana" w:hAnsi="Verdana"/>
          <w:sz w:val="20"/>
          <w:lang w:val="es-MX"/>
        </w:rPr>
        <w:fldChar w:fldCharType="end"/>
      </w:r>
      <w:r w:rsidRPr="00E4741A">
        <w:rPr>
          <w:rFonts w:ascii="Verdana" w:hAnsi="Verdana"/>
          <w:sz w:val="20"/>
          <w:lang w:val="es-MX"/>
        </w:rPr>
        <w:t xml:space="preserve">). </w:t>
      </w:r>
      <w:r w:rsidR="000F0879" w:rsidRPr="00E4741A">
        <w:rPr>
          <w:rFonts w:ascii="Verdana" w:hAnsi="Verdana"/>
          <w:sz w:val="20"/>
          <w:lang w:val="es-MX"/>
        </w:rPr>
        <w:t xml:space="preserve">La Corte reitera </w:t>
      </w:r>
      <w:r w:rsidRPr="00E4741A">
        <w:rPr>
          <w:rFonts w:ascii="Verdana" w:hAnsi="Verdana"/>
          <w:sz w:val="20"/>
          <w:lang w:val="es-MX"/>
        </w:rPr>
        <w:t xml:space="preserve">la importancia de que los Estados cumplan con realizar los reintegros correspondientes a </w:t>
      </w:r>
      <w:r w:rsidR="000F0879" w:rsidRPr="00E4741A">
        <w:rPr>
          <w:rFonts w:ascii="Verdana" w:hAnsi="Verdana"/>
          <w:sz w:val="20"/>
          <w:lang w:val="es-MX"/>
        </w:rPr>
        <w:t xml:space="preserve">dicho </w:t>
      </w:r>
      <w:r w:rsidRPr="00E4741A">
        <w:rPr>
          <w:rFonts w:ascii="Verdana" w:hAnsi="Verdana"/>
          <w:sz w:val="20"/>
          <w:lang w:val="es-MX"/>
        </w:rPr>
        <w:t xml:space="preserve">Fondo, ya que los recursos disponibles actualmente en el mismo </w:t>
      </w:r>
      <w:r w:rsidR="00C510F4" w:rsidRPr="00E4741A">
        <w:rPr>
          <w:rFonts w:ascii="Verdana" w:hAnsi="Verdana"/>
          <w:sz w:val="20"/>
          <w:lang w:val="es-MX"/>
        </w:rPr>
        <w:t>dependen</w:t>
      </w:r>
      <w:r w:rsidR="00530D9F">
        <w:rPr>
          <w:rFonts w:ascii="Verdana" w:hAnsi="Verdana"/>
          <w:sz w:val="20"/>
          <w:lang w:val="es-MX"/>
        </w:rPr>
        <w:t xml:space="preserve"> </w:t>
      </w:r>
      <w:r w:rsidRPr="00E4741A">
        <w:rPr>
          <w:rFonts w:ascii="Verdana" w:hAnsi="Verdana"/>
          <w:sz w:val="20"/>
          <w:lang w:val="es-MX"/>
        </w:rPr>
        <w:t>de los aportes de capital voluntarios de fuentes cooperantes y del aporte de un Estado miembro de la OEA</w:t>
      </w:r>
      <w:r w:rsidR="00530D9F">
        <w:rPr>
          <w:rStyle w:val="Refdenotaalpie"/>
          <w:rFonts w:ascii="Verdana" w:hAnsi="Verdana"/>
          <w:sz w:val="20"/>
          <w:lang w:val="es-MX"/>
        </w:rPr>
        <w:footnoteReference w:id="18"/>
      </w:r>
      <w:r w:rsidRPr="00E4741A">
        <w:rPr>
          <w:rFonts w:ascii="Verdana" w:hAnsi="Verdana"/>
          <w:sz w:val="20"/>
          <w:lang w:val="es-MX"/>
        </w:rPr>
        <w:t>, así como de los reintegros que realicen los Estados responsables. Su adecuado funcionamiento y la disponibilidad de sus recursos tienen como propósito garantizar el acceso a la justicia interamericana de aquellas presuntas víctimas que carezcan de recursos económicos para ello. En consecuencia, la falta de cumplimiento oportuno de los Estados del reintegro al Fondo afecta de forma directa su sostenibilidad y, sobre todo, el acceso a la justicia de las presuntas víctimas y, de ser el caso, víctimas ante este Tribunal</w:t>
      </w:r>
      <w:r w:rsidR="0004777E" w:rsidRPr="00E4741A">
        <w:rPr>
          <w:rStyle w:val="Refdenotaalpie"/>
          <w:rFonts w:ascii="Verdana" w:hAnsi="Verdana"/>
          <w:sz w:val="20"/>
          <w:lang w:val="es-MX"/>
        </w:rPr>
        <w:footnoteReference w:id="19"/>
      </w:r>
      <w:r w:rsidRPr="00E4741A">
        <w:rPr>
          <w:rFonts w:ascii="Verdana" w:hAnsi="Verdana"/>
          <w:sz w:val="20"/>
          <w:lang w:val="es-MX"/>
        </w:rPr>
        <w:t>.</w:t>
      </w:r>
    </w:p>
    <w:bookmarkEnd w:id="11"/>
    <w:p w:rsidR="003D13C5" w:rsidRPr="00A44CDA" w:rsidRDefault="003D13C5" w:rsidP="00F75AD0">
      <w:pPr>
        <w:pStyle w:val="Prrafodelista"/>
        <w:numPr>
          <w:ilvl w:val="0"/>
          <w:numId w:val="2"/>
        </w:numPr>
        <w:spacing w:before="120" w:after="0" w:line="240" w:lineRule="auto"/>
        <w:ind w:left="0" w:right="4" w:firstLine="0"/>
        <w:contextualSpacing w:val="0"/>
        <w:jc w:val="both"/>
        <w:rPr>
          <w:rFonts w:ascii="Times New Roman" w:hAnsi="Times New Roman"/>
          <w:szCs w:val="24"/>
          <w:lang w:eastAsia="es-CR"/>
        </w:rPr>
      </w:pPr>
      <w:r>
        <w:rPr>
          <w:rFonts w:ascii="Verdana" w:hAnsi="Verdana"/>
          <w:sz w:val="20"/>
          <w:lang w:val="es-MX"/>
        </w:rPr>
        <w:t>L</w:t>
      </w:r>
      <w:r>
        <w:rPr>
          <w:rFonts w:ascii="Verdana" w:hAnsi="Verdana" w:cs="Arial"/>
          <w:sz w:val="20"/>
          <w:lang w:val="es-ES"/>
        </w:rPr>
        <w:t xml:space="preserve">a inactividad de un Estado ante una jurisdicción internacional de derechos humanos es contraria al </w:t>
      </w:r>
      <w:r w:rsidRPr="004A1E4E">
        <w:rPr>
          <w:rFonts w:ascii="Verdana" w:hAnsi="Verdana"/>
          <w:sz w:val="20"/>
          <w:lang w:val="es-MX"/>
        </w:rPr>
        <w:t>objetivo</w:t>
      </w:r>
      <w:r>
        <w:rPr>
          <w:rFonts w:ascii="Verdana" w:hAnsi="Verdana" w:cs="Arial"/>
          <w:sz w:val="20"/>
          <w:lang w:val="es-ES"/>
        </w:rPr>
        <w:t xml:space="preserve">, fin y espíritu de la </w:t>
      </w:r>
      <w:r>
        <w:rPr>
          <w:rFonts w:ascii="Verdana" w:hAnsi="Verdana"/>
          <w:sz w:val="20"/>
        </w:rPr>
        <w:t>Convención</w:t>
      </w:r>
      <w:r>
        <w:rPr>
          <w:rFonts w:ascii="Verdana" w:hAnsi="Verdana" w:cs="Arial"/>
          <w:sz w:val="20"/>
          <w:lang w:val="es-ES"/>
        </w:rPr>
        <w:t xml:space="preserve"> Americana</w:t>
      </w:r>
      <w:bookmarkStart w:id="12" w:name="_Ref469499816"/>
      <w:r w:rsidRPr="00BD7E36">
        <w:rPr>
          <w:rStyle w:val="Refdenotaalpie"/>
          <w:rFonts w:ascii="Verdana" w:hAnsi="Verdana" w:cs="Arial"/>
          <w:sz w:val="20"/>
          <w:szCs w:val="20"/>
          <w:lang w:val="es-ES"/>
        </w:rPr>
        <w:footnoteReference w:id="20"/>
      </w:r>
      <w:bookmarkEnd w:id="12"/>
      <w:r>
        <w:rPr>
          <w:rFonts w:ascii="Verdana" w:hAnsi="Verdana" w:cs="Arial"/>
          <w:sz w:val="20"/>
          <w:lang w:val="es-ES"/>
        </w:rPr>
        <w:t xml:space="preserve">. </w:t>
      </w:r>
      <w:r>
        <w:rPr>
          <w:rFonts w:ascii="Verdana" w:hAnsi="Verdana"/>
          <w:sz w:val="20"/>
          <w:lang w:val="es-MX"/>
        </w:rPr>
        <w:t>En este sentido, en la etapa de supervisión de cumplimiento de Sentencias de otros casos</w:t>
      </w:r>
      <w:r w:rsidRPr="00BD7E36">
        <w:rPr>
          <w:rStyle w:val="Refdenotaalpie"/>
          <w:rFonts w:ascii="Verdana" w:hAnsi="Verdana"/>
          <w:sz w:val="20"/>
          <w:szCs w:val="20"/>
          <w:lang w:val="es-MX"/>
        </w:rPr>
        <w:footnoteReference w:id="21"/>
      </w:r>
      <w:r>
        <w:rPr>
          <w:rFonts w:ascii="Verdana" w:hAnsi="Verdana"/>
          <w:sz w:val="20"/>
          <w:lang w:val="es-MX"/>
        </w:rPr>
        <w:t xml:space="preserve">, la Corte ha establecido que la falta del Estado a su deber de informar constituye un incumplimiento de las obligaciones convencionales establecidas en los artículos 67 y 68.1. </w:t>
      </w:r>
    </w:p>
    <w:p w:rsidR="003D13C5" w:rsidRDefault="003D13C5" w:rsidP="00F75AD0">
      <w:pPr>
        <w:pStyle w:val="Prrafodelista"/>
        <w:numPr>
          <w:ilvl w:val="0"/>
          <w:numId w:val="2"/>
        </w:numPr>
        <w:spacing w:before="120" w:after="0" w:line="240" w:lineRule="auto"/>
        <w:ind w:left="0" w:right="4" w:firstLine="0"/>
        <w:contextualSpacing w:val="0"/>
        <w:jc w:val="both"/>
        <w:rPr>
          <w:rFonts w:ascii="Verdana" w:hAnsi="Verdana"/>
          <w:sz w:val="20"/>
          <w:lang w:val="es-MX"/>
        </w:rPr>
      </w:pPr>
      <w:bookmarkStart w:id="13" w:name="_Ref437251228"/>
      <w:r w:rsidRPr="004A1E4E">
        <w:rPr>
          <w:rFonts w:ascii="Verdana" w:hAnsi="Verdana"/>
          <w:sz w:val="20"/>
          <w:lang w:val="es-MX"/>
        </w:rPr>
        <w:t>Teniendo en cuenta dicho incumplimiento del Estado</w:t>
      </w:r>
      <w:r w:rsidR="009C5E04">
        <w:rPr>
          <w:rFonts w:ascii="Verdana" w:hAnsi="Verdana"/>
          <w:sz w:val="20"/>
          <w:lang w:val="es-MX"/>
        </w:rPr>
        <w:t xml:space="preserve"> y el incumplimiento de las reparaciones sostenido por los representantes de las víctimas</w:t>
      </w:r>
      <w:r w:rsidR="00757886">
        <w:rPr>
          <w:rFonts w:ascii="Verdana" w:hAnsi="Verdana"/>
          <w:sz w:val="20"/>
          <w:lang w:val="es-MX"/>
        </w:rPr>
        <w:t xml:space="preserve"> constatado en la Resolución de 2015</w:t>
      </w:r>
      <w:r w:rsidR="009C5E04">
        <w:rPr>
          <w:rFonts w:ascii="Verdana" w:hAnsi="Verdana"/>
          <w:sz w:val="20"/>
          <w:lang w:val="es-MX"/>
        </w:rPr>
        <w:t xml:space="preserve"> (</w:t>
      </w:r>
      <w:r w:rsidR="009C5E04">
        <w:rPr>
          <w:rFonts w:ascii="Verdana" w:hAnsi="Verdana"/>
          <w:i/>
          <w:sz w:val="20"/>
          <w:lang w:val="es-MX"/>
        </w:rPr>
        <w:t>supra</w:t>
      </w:r>
      <w:r w:rsidR="009C5E04">
        <w:rPr>
          <w:rFonts w:ascii="Verdana" w:hAnsi="Verdana"/>
          <w:sz w:val="20"/>
          <w:lang w:val="es-MX"/>
        </w:rPr>
        <w:t xml:space="preserve"> Visto </w:t>
      </w:r>
      <w:r w:rsidR="00757886">
        <w:rPr>
          <w:rFonts w:ascii="Verdana" w:hAnsi="Verdana"/>
          <w:sz w:val="20"/>
          <w:lang w:val="es-MX"/>
        </w:rPr>
        <w:fldChar w:fldCharType="begin"/>
      </w:r>
      <w:r w:rsidR="00757886">
        <w:rPr>
          <w:rFonts w:ascii="Verdana" w:hAnsi="Verdana"/>
          <w:sz w:val="20"/>
          <w:lang w:val="es-MX"/>
        </w:rPr>
        <w:instrText xml:space="preserve"> REF _Ref467833670 \r \h </w:instrText>
      </w:r>
      <w:r w:rsidR="00757886">
        <w:rPr>
          <w:rFonts w:ascii="Verdana" w:hAnsi="Verdana"/>
          <w:sz w:val="20"/>
          <w:lang w:val="es-MX"/>
        </w:rPr>
      </w:r>
      <w:r w:rsidR="00757886">
        <w:rPr>
          <w:rFonts w:ascii="Verdana" w:hAnsi="Verdana"/>
          <w:sz w:val="20"/>
          <w:lang w:val="es-MX"/>
        </w:rPr>
        <w:fldChar w:fldCharType="separate"/>
      </w:r>
      <w:r w:rsidR="00711324">
        <w:rPr>
          <w:rFonts w:ascii="Verdana" w:hAnsi="Verdana"/>
          <w:sz w:val="20"/>
          <w:lang w:val="es-MX"/>
        </w:rPr>
        <w:t>2</w:t>
      </w:r>
      <w:r w:rsidR="00757886">
        <w:rPr>
          <w:rFonts w:ascii="Verdana" w:hAnsi="Verdana"/>
          <w:sz w:val="20"/>
          <w:lang w:val="es-MX"/>
        </w:rPr>
        <w:fldChar w:fldCharType="end"/>
      </w:r>
      <w:r w:rsidR="00757886">
        <w:rPr>
          <w:rFonts w:ascii="Verdana" w:hAnsi="Verdana"/>
          <w:sz w:val="20"/>
          <w:lang w:val="es-MX"/>
        </w:rPr>
        <w:t xml:space="preserve"> </w:t>
      </w:r>
      <w:r w:rsidR="009C5E04">
        <w:rPr>
          <w:rFonts w:ascii="Verdana" w:hAnsi="Verdana"/>
          <w:sz w:val="20"/>
          <w:lang w:val="es-MX"/>
        </w:rPr>
        <w:t xml:space="preserve">y Considerando </w:t>
      </w:r>
      <w:r w:rsidR="00757886">
        <w:rPr>
          <w:rFonts w:ascii="Verdana" w:hAnsi="Verdana"/>
          <w:sz w:val="20"/>
          <w:lang w:val="es-MX"/>
        </w:rPr>
        <w:fldChar w:fldCharType="begin"/>
      </w:r>
      <w:r w:rsidR="00757886">
        <w:rPr>
          <w:rFonts w:ascii="Verdana" w:hAnsi="Verdana"/>
          <w:sz w:val="20"/>
          <w:lang w:val="es-MX"/>
        </w:rPr>
        <w:instrText xml:space="preserve"> REF _Ref464731894 \r \h </w:instrText>
      </w:r>
      <w:r w:rsidR="00757886">
        <w:rPr>
          <w:rFonts w:ascii="Verdana" w:hAnsi="Verdana"/>
          <w:sz w:val="20"/>
          <w:lang w:val="es-MX"/>
        </w:rPr>
      </w:r>
      <w:r w:rsidR="00757886">
        <w:rPr>
          <w:rFonts w:ascii="Verdana" w:hAnsi="Verdana"/>
          <w:sz w:val="20"/>
          <w:lang w:val="es-MX"/>
        </w:rPr>
        <w:fldChar w:fldCharType="separate"/>
      </w:r>
      <w:r w:rsidR="00711324">
        <w:rPr>
          <w:rFonts w:ascii="Verdana" w:hAnsi="Verdana"/>
          <w:sz w:val="20"/>
          <w:lang w:val="es-MX"/>
        </w:rPr>
        <w:t>1</w:t>
      </w:r>
      <w:r w:rsidR="00757886">
        <w:rPr>
          <w:rFonts w:ascii="Verdana" w:hAnsi="Verdana"/>
          <w:sz w:val="20"/>
          <w:lang w:val="es-MX"/>
        </w:rPr>
        <w:fldChar w:fldCharType="end"/>
      </w:r>
      <w:r w:rsidR="009C5E04">
        <w:rPr>
          <w:rFonts w:ascii="Verdana" w:hAnsi="Verdana"/>
          <w:sz w:val="20"/>
          <w:lang w:val="es-MX"/>
        </w:rPr>
        <w:t>), la Corte considera que Venezuela no ha adoptado medida</w:t>
      </w:r>
      <w:r w:rsidR="007F2B3F">
        <w:rPr>
          <w:rFonts w:ascii="Verdana" w:hAnsi="Verdana"/>
          <w:sz w:val="20"/>
          <w:lang w:val="es-MX"/>
        </w:rPr>
        <w:t>s orientadas a dar cumplimiento</w:t>
      </w:r>
      <w:r w:rsidR="009C5E04">
        <w:rPr>
          <w:rFonts w:ascii="Verdana" w:hAnsi="Verdana"/>
          <w:sz w:val="20"/>
          <w:lang w:val="es-MX"/>
        </w:rPr>
        <w:t xml:space="preserve"> a las mismas, a pesar del prolongado tiempo transcurrido desde la emisión de la Sentencia.</w:t>
      </w:r>
      <w:r w:rsidRPr="004A1E4E">
        <w:rPr>
          <w:rFonts w:ascii="Verdana" w:hAnsi="Verdana"/>
          <w:sz w:val="20"/>
          <w:lang w:val="es-MX"/>
        </w:rPr>
        <w:t xml:space="preserve"> En ese sentido, el Tribunal considera </w:t>
      </w:r>
      <w:r w:rsidRPr="004A1E4E">
        <w:rPr>
          <w:rFonts w:ascii="Verdana" w:hAnsi="Verdana"/>
          <w:sz w:val="20"/>
          <w:lang w:val="es-MX"/>
        </w:rPr>
        <w:lastRenderedPageBreak/>
        <w:t>que dicho incumplimiento impide que se reparen las violaciones a los derechos humanos declaradas en el Fallo.</w:t>
      </w:r>
      <w:bookmarkEnd w:id="13"/>
      <w:r w:rsidRPr="004A1E4E">
        <w:rPr>
          <w:rFonts w:ascii="Verdana" w:hAnsi="Verdana"/>
          <w:sz w:val="20"/>
          <w:lang w:val="es-MX"/>
        </w:rPr>
        <w:t xml:space="preserve"> </w:t>
      </w:r>
    </w:p>
    <w:p w:rsidR="001E5F79" w:rsidRPr="001E5F79" w:rsidRDefault="001E5F79" w:rsidP="001E5F79">
      <w:pPr>
        <w:pStyle w:val="Prrafodelista"/>
        <w:numPr>
          <w:ilvl w:val="0"/>
          <w:numId w:val="2"/>
        </w:numPr>
        <w:spacing w:before="120" w:after="0" w:line="240" w:lineRule="auto"/>
        <w:ind w:left="0" w:right="4" w:firstLine="0"/>
        <w:contextualSpacing w:val="0"/>
        <w:jc w:val="both"/>
        <w:rPr>
          <w:rFonts w:ascii="Verdana" w:hAnsi="Verdana"/>
          <w:sz w:val="20"/>
          <w:szCs w:val="20"/>
        </w:rPr>
      </w:pPr>
      <w:r>
        <w:rPr>
          <w:rFonts w:ascii="Verdana" w:hAnsi="Verdana"/>
          <w:sz w:val="20"/>
          <w:szCs w:val="20"/>
        </w:rPr>
        <w:t xml:space="preserve">Finalmente, en lo que se refiere a la solicitud de los representantes de las víctimas de </w:t>
      </w:r>
      <w:r w:rsidR="007F2B3F">
        <w:rPr>
          <w:rFonts w:ascii="Verdana" w:hAnsi="Verdana"/>
          <w:sz w:val="20"/>
          <w:szCs w:val="20"/>
        </w:rPr>
        <w:t xml:space="preserve">que se </w:t>
      </w:r>
      <w:r>
        <w:rPr>
          <w:rFonts w:ascii="Verdana" w:hAnsi="Verdana"/>
          <w:sz w:val="20"/>
          <w:szCs w:val="20"/>
        </w:rPr>
        <w:t>convo</w:t>
      </w:r>
      <w:r w:rsidR="007F2B3F">
        <w:rPr>
          <w:rFonts w:ascii="Verdana" w:hAnsi="Verdana"/>
          <w:sz w:val="20"/>
          <w:szCs w:val="20"/>
        </w:rPr>
        <w:t>que</w:t>
      </w:r>
      <w:r>
        <w:rPr>
          <w:rFonts w:ascii="Verdana" w:hAnsi="Verdana"/>
          <w:sz w:val="20"/>
          <w:szCs w:val="20"/>
        </w:rPr>
        <w:t xml:space="preserve"> a una audiencia de supervisión de cumplimiento (</w:t>
      </w:r>
      <w:r>
        <w:rPr>
          <w:rFonts w:ascii="Verdana" w:hAnsi="Verdana"/>
          <w:i/>
          <w:sz w:val="20"/>
          <w:szCs w:val="20"/>
        </w:rPr>
        <w:t>supra</w:t>
      </w:r>
      <w:r>
        <w:rPr>
          <w:rFonts w:ascii="Verdana" w:hAnsi="Verdana"/>
          <w:sz w:val="20"/>
          <w:szCs w:val="20"/>
        </w:rPr>
        <w:t xml:space="preserve"> Visto </w:t>
      </w:r>
      <w:r>
        <w:rPr>
          <w:rFonts w:ascii="Verdana" w:hAnsi="Verdana"/>
          <w:sz w:val="20"/>
          <w:szCs w:val="20"/>
        </w:rPr>
        <w:fldChar w:fldCharType="begin"/>
      </w:r>
      <w:r>
        <w:rPr>
          <w:rFonts w:ascii="Verdana" w:hAnsi="Verdana"/>
          <w:sz w:val="20"/>
          <w:szCs w:val="20"/>
        </w:rPr>
        <w:instrText xml:space="preserve"> REF _Ref467837089 \r \h </w:instrText>
      </w:r>
      <w:r>
        <w:rPr>
          <w:rFonts w:ascii="Verdana" w:hAnsi="Verdana"/>
          <w:sz w:val="20"/>
          <w:szCs w:val="20"/>
        </w:rPr>
      </w:r>
      <w:r>
        <w:rPr>
          <w:rFonts w:ascii="Verdana" w:hAnsi="Verdana"/>
          <w:sz w:val="20"/>
          <w:szCs w:val="20"/>
        </w:rPr>
        <w:fldChar w:fldCharType="separate"/>
      </w:r>
      <w:r w:rsidR="00711324">
        <w:rPr>
          <w:rFonts w:ascii="Verdana" w:hAnsi="Verdana"/>
          <w:sz w:val="20"/>
          <w:szCs w:val="20"/>
        </w:rPr>
        <w:t>4</w:t>
      </w:r>
      <w:r>
        <w:rPr>
          <w:rFonts w:ascii="Verdana" w:hAnsi="Verdana"/>
          <w:sz w:val="20"/>
          <w:szCs w:val="20"/>
        </w:rPr>
        <w:fldChar w:fldCharType="end"/>
      </w:r>
      <w:r>
        <w:rPr>
          <w:rFonts w:ascii="Verdana" w:hAnsi="Verdana"/>
          <w:sz w:val="20"/>
          <w:szCs w:val="20"/>
        </w:rPr>
        <w:t>), la Corte estima que, ante la actual posición de Venezuela de desacato a su deber de informar, no es pertinente en este momento atender dicha solicitud, sin perjuicio de que en el futuro la misma sea convocada.</w:t>
      </w:r>
    </w:p>
    <w:p w:rsidR="00311744" w:rsidRDefault="00311744" w:rsidP="00F75AD0">
      <w:pPr>
        <w:spacing w:line="240" w:lineRule="auto"/>
        <w:ind w:right="4"/>
        <w:jc w:val="both"/>
        <w:rPr>
          <w:rFonts w:ascii="Verdana" w:hAnsi="Verdana"/>
          <w:b/>
          <w:sz w:val="20"/>
          <w:szCs w:val="20"/>
        </w:rPr>
      </w:pPr>
    </w:p>
    <w:p w:rsidR="003F48C9" w:rsidRDefault="003F48C9" w:rsidP="00F75AD0">
      <w:pPr>
        <w:spacing w:line="240" w:lineRule="auto"/>
        <w:ind w:right="4"/>
        <w:jc w:val="both"/>
        <w:rPr>
          <w:rFonts w:ascii="Verdana" w:hAnsi="Verdana"/>
          <w:b/>
          <w:sz w:val="20"/>
          <w:szCs w:val="20"/>
        </w:rPr>
      </w:pPr>
    </w:p>
    <w:p w:rsidR="00AA14EA" w:rsidRPr="0029480F" w:rsidRDefault="00AA14EA" w:rsidP="00F75AD0">
      <w:pPr>
        <w:spacing w:line="240" w:lineRule="auto"/>
        <w:ind w:right="4"/>
        <w:jc w:val="both"/>
        <w:rPr>
          <w:rFonts w:ascii="Verdana" w:hAnsi="Verdana"/>
          <w:b/>
          <w:sz w:val="20"/>
          <w:szCs w:val="20"/>
        </w:rPr>
      </w:pPr>
      <w:r w:rsidRPr="0029480F">
        <w:rPr>
          <w:rFonts w:ascii="Verdana" w:hAnsi="Verdana"/>
          <w:b/>
          <w:sz w:val="20"/>
          <w:szCs w:val="20"/>
        </w:rPr>
        <w:t>POR TANTO:</w:t>
      </w:r>
    </w:p>
    <w:p w:rsidR="00AA14EA" w:rsidRPr="0029480F" w:rsidRDefault="00AA14EA" w:rsidP="00F75AD0">
      <w:pPr>
        <w:spacing w:line="240" w:lineRule="auto"/>
        <w:ind w:right="4"/>
        <w:jc w:val="both"/>
        <w:rPr>
          <w:rFonts w:ascii="Verdana" w:hAnsi="Verdana"/>
          <w:b/>
          <w:sz w:val="20"/>
          <w:szCs w:val="20"/>
        </w:rPr>
      </w:pPr>
      <w:r w:rsidRPr="0029480F">
        <w:rPr>
          <w:rFonts w:ascii="Verdana" w:hAnsi="Verdana"/>
          <w:b/>
          <w:sz w:val="20"/>
          <w:szCs w:val="20"/>
        </w:rPr>
        <w:t>LA CORTE INTERAMERICANA DE DERECHOS HUMANOS,</w:t>
      </w:r>
    </w:p>
    <w:p w:rsidR="00DA40F4" w:rsidRDefault="00DA40F4" w:rsidP="00F75AD0">
      <w:pPr>
        <w:spacing w:line="240" w:lineRule="auto"/>
        <w:ind w:right="4"/>
        <w:jc w:val="both"/>
        <w:rPr>
          <w:rFonts w:ascii="Verdana" w:hAnsi="Verdana"/>
          <w:sz w:val="20"/>
          <w:lang w:val="es-MX"/>
        </w:rPr>
      </w:pPr>
      <w:proofErr w:type="gramStart"/>
      <w:r>
        <w:rPr>
          <w:rFonts w:ascii="Verdana" w:hAnsi="Verdana"/>
          <w:sz w:val="20"/>
          <w:lang w:val="es-MX"/>
        </w:rPr>
        <w:t>en</w:t>
      </w:r>
      <w:proofErr w:type="gramEnd"/>
      <w:r>
        <w:rPr>
          <w:rFonts w:ascii="Verdana" w:hAnsi="Verdana"/>
          <w:sz w:val="20"/>
          <w:lang w:val="es-MX"/>
        </w:rPr>
        <w:t xml:space="preserve"> el ejercicio de sus atribuciones de supervisión del cumplimiento de sus decisiones, de conformidad con los artículos 33, 62.1, 62.3, 67 y 68.1 de la Convención Americana sobre Derechos Humanos, 24 y 30 del Estatuto y 31.2 y 69 de su Reglamento,</w:t>
      </w:r>
    </w:p>
    <w:p w:rsidR="00D365B2" w:rsidRDefault="00D365B2" w:rsidP="00F75AD0">
      <w:pPr>
        <w:spacing w:before="120" w:after="120" w:line="240" w:lineRule="auto"/>
        <w:jc w:val="both"/>
        <w:rPr>
          <w:rFonts w:ascii="Verdana" w:hAnsi="Verdana"/>
          <w:b/>
          <w:sz w:val="20"/>
          <w:lang w:val="es-MX"/>
        </w:rPr>
      </w:pPr>
    </w:p>
    <w:p w:rsidR="00DA40F4" w:rsidRDefault="00DA40F4" w:rsidP="00F75AD0">
      <w:pPr>
        <w:spacing w:before="120" w:after="120" w:line="240" w:lineRule="auto"/>
        <w:jc w:val="both"/>
        <w:rPr>
          <w:rFonts w:ascii="Verdana" w:hAnsi="Verdana"/>
          <w:b/>
          <w:sz w:val="20"/>
          <w:lang w:val="es-MX"/>
        </w:rPr>
      </w:pPr>
      <w:r>
        <w:rPr>
          <w:rFonts w:ascii="Verdana" w:hAnsi="Verdana"/>
          <w:b/>
          <w:sz w:val="20"/>
          <w:lang w:val="es-MX"/>
        </w:rPr>
        <w:t>DECLARA QUE:</w:t>
      </w:r>
    </w:p>
    <w:p w:rsidR="003D13C5" w:rsidRPr="00E4741A" w:rsidRDefault="003D13C5" w:rsidP="00F75AD0">
      <w:pPr>
        <w:numPr>
          <w:ilvl w:val="0"/>
          <w:numId w:val="6"/>
        </w:numPr>
        <w:spacing w:after="0" w:line="240" w:lineRule="auto"/>
        <w:ind w:left="0" w:hanging="11"/>
        <w:jc w:val="both"/>
        <w:rPr>
          <w:rFonts w:ascii="Verdana" w:hAnsi="Verdana"/>
          <w:sz w:val="20"/>
          <w:lang w:val="es-MX"/>
        </w:rPr>
      </w:pPr>
      <w:r w:rsidRPr="004A1E4E">
        <w:rPr>
          <w:rFonts w:ascii="Verdana" w:hAnsi="Verdana"/>
          <w:sz w:val="20"/>
        </w:rPr>
        <w:t xml:space="preserve">El Estado ha </w:t>
      </w:r>
      <w:r w:rsidRPr="00E4741A">
        <w:rPr>
          <w:rFonts w:ascii="Verdana" w:hAnsi="Verdana"/>
          <w:sz w:val="20"/>
        </w:rPr>
        <w:t xml:space="preserve">incumplido durante </w:t>
      </w:r>
      <w:r w:rsidR="0005692F" w:rsidRPr="00E4741A">
        <w:rPr>
          <w:rFonts w:ascii="Verdana" w:hAnsi="Verdana"/>
          <w:sz w:val="20"/>
        </w:rPr>
        <w:t>tres</w:t>
      </w:r>
      <w:r w:rsidRPr="00E4741A">
        <w:rPr>
          <w:rFonts w:ascii="Verdana" w:hAnsi="Verdana"/>
          <w:sz w:val="20"/>
          <w:lang w:val="es-MX"/>
        </w:rPr>
        <w:t xml:space="preserve"> </w:t>
      </w:r>
      <w:r w:rsidR="00D96A89">
        <w:rPr>
          <w:rFonts w:ascii="Verdana" w:hAnsi="Verdana"/>
          <w:sz w:val="20"/>
          <w:lang w:val="es-MX"/>
        </w:rPr>
        <w:t>años</w:t>
      </w:r>
      <w:r w:rsidRPr="00E4741A">
        <w:rPr>
          <w:rFonts w:ascii="Verdana" w:hAnsi="Verdana"/>
          <w:sz w:val="20"/>
          <w:lang w:val="es-MX"/>
        </w:rPr>
        <w:t xml:space="preserve"> y </w:t>
      </w:r>
      <w:r w:rsidR="002419CC">
        <w:rPr>
          <w:rFonts w:ascii="Verdana" w:hAnsi="Verdana"/>
          <w:sz w:val="20"/>
          <w:lang w:val="es-MX"/>
        </w:rPr>
        <w:t>once</w:t>
      </w:r>
      <w:r w:rsidRPr="00E4741A">
        <w:rPr>
          <w:rFonts w:ascii="Verdana" w:hAnsi="Verdana"/>
          <w:sz w:val="20"/>
          <w:lang w:val="es-MX"/>
        </w:rPr>
        <w:t xml:space="preserve"> meses con </w:t>
      </w:r>
      <w:r w:rsidRPr="00E4741A">
        <w:rPr>
          <w:rFonts w:ascii="Verdana" w:hAnsi="Verdana"/>
          <w:sz w:val="20"/>
        </w:rPr>
        <w:t xml:space="preserve">su obligación de informar a esta Corte </w:t>
      </w:r>
      <w:r w:rsidRPr="00E4741A">
        <w:rPr>
          <w:rFonts w:ascii="Verdana" w:hAnsi="Verdana"/>
          <w:sz w:val="20"/>
          <w:lang w:val="es-MX"/>
        </w:rPr>
        <w:t xml:space="preserve">sobre las medidas adoptadas para dar cumplimiento a las reparaciones de la Sentencia de 24 de noviembre de 2011 del caso </w:t>
      </w:r>
      <w:r w:rsidRPr="00E4741A">
        <w:rPr>
          <w:rFonts w:ascii="Verdana" w:hAnsi="Verdana"/>
          <w:i/>
          <w:sz w:val="20"/>
          <w:lang w:val="es-MX"/>
        </w:rPr>
        <w:t>Familia Barrios Vs. Venezuela</w:t>
      </w:r>
      <w:r w:rsidRPr="00E4741A">
        <w:rPr>
          <w:rFonts w:ascii="Verdana" w:hAnsi="Verdana"/>
          <w:sz w:val="20"/>
          <w:lang w:val="es-MX"/>
        </w:rPr>
        <w:t>.</w:t>
      </w:r>
    </w:p>
    <w:p w:rsidR="003D13C5" w:rsidRPr="00E4741A" w:rsidRDefault="003D13C5" w:rsidP="00F75AD0">
      <w:pPr>
        <w:spacing w:after="0" w:line="240" w:lineRule="auto"/>
        <w:jc w:val="both"/>
        <w:rPr>
          <w:rFonts w:ascii="Verdana" w:hAnsi="Verdana"/>
          <w:sz w:val="20"/>
          <w:lang w:val="es-MX"/>
        </w:rPr>
      </w:pPr>
    </w:p>
    <w:p w:rsidR="003D13C5" w:rsidRPr="003F48C9" w:rsidRDefault="00A02AE7" w:rsidP="00F75AD0">
      <w:pPr>
        <w:numPr>
          <w:ilvl w:val="0"/>
          <w:numId w:val="6"/>
        </w:numPr>
        <w:spacing w:after="0" w:line="240" w:lineRule="auto"/>
        <w:ind w:left="0" w:hanging="11"/>
        <w:jc w:val="both"/>
        <w:rPr>
          <w:rFonts w:ascii="Verdana" w:hAnsi="Verdana"/>
          <w:sz w:val="20"/>
        </w:rPr>
      </w:pPr>
      <w:r w:rsidRPr="003F48C9">
        <w:rPr>
          <w:rFonts w:ascii="Verdana" w:hAnsi="Verdana"/>
          <w:sz w:val="20"/>
        </w:rPr>
        <w:t>E</w:t>
      </w:r>
      <w:r w:rsidR="007F2B3F" w:rsidRPr="003F48C9">
        <w:rPr>
          <w:rFonts w:ascii="Verdana" w:hAnsi="Verdana"/>
          <w:sz w:val="20"/>
        </w:rPr>
        <w:t>l Estado no ha dado cumplimiento</w:t>
      </w:r>
      <w:r w:rsidR="003D13C5" w:rsidRPr="003F48C9">
        <w:rPr>
          <w:rFonts w:ascii="Verdana" w:hAnsi="Verdana"/>
          <w:sz w:val="20"/>
        </w:rPr>
        <w:t xml:space="preserve"> a las reparaciones ordenadas en la Sentencia</w:t>
      </w:r>
      <w:r w:rsidRPr="003F48C9">
        <w:rPr>
          <w:rFonts w:ascii="Verdana" w:hAnsi="Verdana"/>
          <w:sz w:val="20"/>
        </w:rPr>
        <w:t>, a saber</w:t>
      </w:r>
      <w:r w:rsidR="003D13C5" w:rsidRPr="003F48C9">
        <w:rPr>
          <w:rFonts w:ascii="Verdana" w:hAnsi="Verdana"/>
          <w:sz w:val="20"/>
        </w:rPr>
        <w:t xml:space="preserve">:  </w:t>
      </w:r>
    </w:p>
    <w:p w:rsidR="003D13C5" w:rsidRDefault="003D13C5" w:rsidP="00F75AD0">
      <w:pPr>
        <w:spacing w:after="0" w:line="240" w:lineRule="auto"/>
        <w:jc w:val="both"/>
        <w:rPr>
          <w:rFonts w:ascii="Verdana" w:hAnsi="Verdana"/>
          <w:sz w:val="20"/>
        </w:rPr>
      </w:pPr>
    </w:p>
    <w:p w:rsidR="003F48C9" w:rsidRPr="00BD7E36" w:rsidRDefault="003F48C9" w:rsidP="00F75AD0">
      <w:pPr>
        <w:spacing w:after="0" w:line="240" w:lineRule="auto"/>
        <w:jc w:val="both"/>
        <w:rPr>
          <w:rFonts w:ascii="Verdana" w:hAnsi="Verdana"/>
          <w:sz w:val="20"/>
        </w:rPr>
      </w:pPr>
    </w:p>
    <w:p w:rsidR="003D13C5" w:rsidRPr="00BD7E36" w:rsidRDefault="003D13C5" w:rsidP="00F75AD0">
      <w:pPr>
        <w:pStyle w:val="Prrafodelista"/>
        <w:numPr>
          <w:ilvl w:val="0"/>
          <w:numId w:val="9"/>
        </w:numPr>
        <w:spacing w:line="240" w:lineRule="auto"/>
        <w:ind w:right="4"/>
        <w:jc w:val="both"/>
        <w:rPr>
          <w:rFonts w:ascii="Verdana" w:hAnsi="Verdana"/>
          <w:sz w:val="20"/>
          <w:szCs w:val="20"/>
        </w:rPr>
      </w:pPr>
      <w:r w:rsidRPr="00BD7E36">
        <w:rPr>
          <w:rFonts w:ascii="Verdana" w:hAnsi="Verdana"/>
          <w:sz w:val="20"/>
          <w:szCs w:val="20"/>
          <w:lang w:val="es-MX"/>
        </w:rPr>
        <w:t>la obligación de conducir eficazmente la investigación penal de los hechos del presente caso</w:t>
      </w:r>
      <w:r w:rsidR="00E135DD" w:rsidRPr="00BD7E36">
        <w:rPr>
          <w:rFonts w:ascii="Verdana" w:hAnsi="Verdana"/>
          <w:sz w:val="20"/>
          <w:szCs w:val="20"/>
          <w:lang w:val="es-MX"/>
        </w:rPr>
        <w:t xml:space="preserve"> (</w:t>
      </w:r>
      <w:r w:rsidR="00E135DD" w:rsidRPr="00BD7E36">
        <w:rPr>
          <w:rFonts w:ascii="Verdana" w:hAnsi="Verdana"/>
          <w:i/>
          <w:sz w:val="20"/>
          <w:szCs w:val="20"/>
          <w:lang w:val="es-MX"/>
        </w:rPr>
        <w:t>punto dispositivo segundo)</w:t>
      </w:r>
      <w:r w:rsidRPr="00BD7E36">
        <w:rPr>
          <w:rFonts w:ascii="Verdana" w:hAnsi="Verdana"/>
          <w:sz w:val="20"/>
          <w:szCs w:val="20"/>
          <w:lang w:val="es-MX"/>
        </w:rPr>
        <w:t>;</w:t>
      </w:r>
    </w:p>
    <w:p w:rsidR="003D13C5" w:rsidRPr="00BD7E36" w:rsidRDefault="003D13C5" w:rsidP="00F75AD0">
      <w:pPr>
        <w:pStyle w:val="Prrafodelista"/>
        <w:numPr>
          <w:ilvl w:val="0"/>
          <w:numId w:val="9"/>
        </w:numPr>
        <w:spacing w:line="240" w:lineRule="auto"/>
        <w:ind w:right="4"/>
        <w:jc w:val="both"/>
        <w:rPr>
          <w:rFonts w:ascii="Verdana" w:hAnsi="Verdana"/>
          <w:sz w:val="20"/>
          <w:szCs w:val="20"/>
        </w:rPr>
      </w:pPr>
      <w:r w:rsidRPr="00BD7E36">
        <w:rPr>
          <w:rFonts w:ascii="Verdana" w:hAnsi="Verdana"/>
          <w:sz w:val="20"/>
          <w:szCs w:val="20"/>
          <w:lang w:val="es-MX"/>
        </w:rPr>
        <w:t>examinar las eventuales irregularidades procesales e investigativas y dado el caso sancionar la conducta de los servidores públicos</w:t>
      </w:r>
      <w:r w:rsidR="00E135DD" w:rsidRPr="00BD7E36">
        <w:rPr>
          <w:rFonts w:ascii="Verdana" w:hAnsi="Verdana"/>
          <w:sz w:val="20"/>
          <w:szCs w:val="20"/>
          <w:lang w:val="es-MX"/>
        </w:rPr>
        <w:t xml:space="preserve"> (</w:t>
      </w:r>
      <w:r w:rsidR="00E135DD" w:rsidRPr="00BD7E36">
        <w:rPr>
          <w:rFonts w:ascii="Verdana" w:hAnsi="Verdana"/>
          <w:i/>
          <w:sz w:val="20"/>
          <w:szCs w:val="20"/>
          <w:lang w:val="es-MX"/>
        </w:rPr>
        <w:t>punto dispositivo tercero)</w:t>
      </w:r>
      <w:r w:rsidRPr="00BD7E36">
        <w:rPr>
          <w:rFonts w:ascii="Verdana" w:hAnsi="Verdana"/>
          <w:sz w:val="20"/>
          <w:szCs w:val="20"/>
          <w:lang w:val="es-MX"/>
        </w:rPr>
        <w:t>;</w:t>
      </w:r>
    </w:p>
    <w:p w:rsidR="003D13C5" w:rsidRPr="00BD7E36" w:rsidRDefault="003D13C5" w:rsidP="00F75AD0">
      <w:pPr>
        <w:pStyle w:val="Prrafodelista"/>
        <w:numPr>
          <w:ilvl w:val="0"/>
          <w:numId w:val="9"/>
        </w:numPr>
        <w:spacing w:line="240" w:lineRule="auto"/>
        <w:ind w:right="4"/>
        <w:jc w:val="both"/>
        <w:rPr>
          <w:rFonts w:ascii="Verdana" w:hAnsi="Verdana"/>
          <w:sz w:val="20"/>
          <w:szCs w:val="20"/>
        </w:rPr>
      </w:pPr>
      <w:r w:rsidRPr="00BD7E36">
        <w:rPr>
          <w:rFonts w:ascii="Verdana" w:hAnsi="Verdana"/>
          <w:sz w:val="20"/>
          <w:szCs w:val="20"/>
          <w:lang w:val="es-MX"/>
        </w:rPr>
        <w:t>brindar atención médica y psicológica gratuita a las víctimas que lo solicitaren</w:t>
      </w:r>
      <w:r w:rsidR="00E135DD" w:rsidRPr="00BD7E36">
        <w:rPr>
          <w:rFonts w:ascii="Verdana" w:hAnsi="Verdana"/>
          <w:sz w:val="20"/>
          <w:szCs w:val="20"/>
          <w:lang w:val="es-MX"/>
        </w:rPr>
        <w:t xml:space="preserve"> (</w:t>
      </w:r>
      <w:r w:rsidR="00E135DD" w:rsidRPr="00BD7E36">
        <w:rPr>
          <w:rFonts w:ascii="Verdana" w:hAnsi="Verdana"/>
          <w:i/>
          <w:sz w:val="20"/>
          <w:szCs w:val="20"/>
          <w:lang w:val="es-MX"/>
        </w:rPr>
        <w:t>punto dispositivo cuarto)</w:t>
      </w:r>
      <w:r w:rsidRPr="00BD7E36">
        <w:rPr>
          <w:rFonts w:ascii="Verdana" w:hAnsi="Verdana"/>
          <w:sz w:val="20"/>
          <w:szCs w:val="20"/>
          <w:lang w:val="es-MX"/>
        </w:rPr>
        <w:t>;</w:t>
      </w:r>
    </w:p>
    <w:p w:rsidR="003D13C5" w:rsidRPr="00BD7E36" w:rsidRDefault="003D13C5" w:rsidP="00F75AD0">
      <w:pPr>
        <w:pStyle w:val="Prrafodelista"/>
        <w:numPr>
          <w:ilvl w:val="0"/>
          <w:numId w:val="9"/>
        </w:numPr>
        <w:spacing w:line="240" w:lineRule="auto"/>
        <w:ind w:right="4"/>
        <w:jc w:val="both"/>
        <w:rPr>
          <w:rFonts w:ascii="Verdana" w:hAnsi="Verdana"/>
          <w:sz w:val="20"/>
          <w:szCs w:val="20"/>
        </w:rPr>
      </w:pPr>
      <w:r w:rsidRPr="00BD7E36">
        <w:rPr>
          <w:rFonts w:ascii="Verdana" w:hAnsi="Verdana"/>
          <w:sz w:val="20"/>
          <w:szCs w:val="20"/>
          <w:lang w:val="es-MX"/>
        </w:rPr>
        <w:t>realizar las publicaciones de la Sentencia o su resumen oficial ordenadas</w:t>
      </w:r>
      <w:r w:rsidR="00E135DD" w:rsidRPr="00BD7E36">
        <w:rPr>
          <w:rFonts w:ascii="Verdana" w:hAnsi="Verdana"/>
          <w:sz w:val="20"/>
          <w:szCs w:val="20"/>
          <w:lang w:val="es-MX"/>
        </w:rPr>
        <w:t xml:space="preserve"> (</w:t>
      </w:r>
      <w:r w:rsidR="00E135DD" w:rsidRPr="00BD7E36">
        <w:rPr>
          <w:rFonts w:ascii="Verdana" w:hAnsi="Verdana"/>
          <w:i/>
          <w:sz w:val="20"/>
          <w:szCs w:val="20"/>
          <w:lang w:val="es-MX"/>
        </w:rPr>
        <w:t>punto dispositivo quinto)</w:t>
      </w:r>
      <w:r w:rsidRPr="00BD7E36">
        <w:rPr>
          <w:rFonts w:ascii="Verdana" w:hAnsi="Verdana"/>
          <w:sz w:val="20"/>
          <w:szCs w:val="20"/>
          <w:lang w:val="es-MX"/>
        </w:rPr>
        <w:t>;</w:t>
      </w:r>
    </w:p>
    <w:p w:rsidR="003D13C5" w:rsidRPr="00BD7E36" w:rsidRDefault="003D13C5" w:rsidP="00F75AD0">
      <w:pPr>
        <w:pStyle w:val="Prrafodelista"/>
        <w:numPr>
          <w:ilvl w:val="0"/>
          <w:numId w:val="9"/>
        </w:numPr>
        <w:spacing w:line="240" w:lineRule="auto"/>
        <w:ind w:right="4"/>
        <w:jc w:val="both"/>
        <w:rPr>
          <w:rFonts w:ascii="Verdana" w:hAnsi="Verdana"/>
          <w:sz w:val="20"/>
          <w:szCs w:val="20"/>
        </w:rPr>
      </w:pPr>
      <w:r w:rsidRPr="00BD7E36">
        <w:rPr>
          <w:rFonts w:ascii="Verdana" w:hAnsi="Verdana"/>
          <w:sz w:val="20"/>
          <w:szCs w:val="20"/>
          <w:lang w:val="es-MX"/>
        </w:rPr>
        <w:t>realizar un acto público de reconocimiento de responsabilidad internacional</w:t>
      </w:r>
      <w:r w:rsidR="00E135DD" w:rsidRPr="00BD7E36">
        <w:rPr>
          <w:rFonts w:ascii="Verdana" w:hAnsi="Verdana"/>
          <w:sz w:val="20"/>
          <w:szCs w:val="20"/>
          <w:lang w:val="es-MX"/>
        </w:rPr>
        <w:t xml:space="preserve"> (</w:t>
      </w:r>
      <w:r w:rsidR="00E135DD" w:rsidRPr="00BD7E36">
        <w:rPr>
          <w:rFonts w:ascii="Verdana" w:hAnsi="Verdana"/>
          <w:i/>
          <w:sz w:val="20"/>
          <w:szCs w:val="20"/>
          <w:lang w:val="es-MX"/>
        </w:rPr>
        <w:t>punto dispositivo sexto)</w:t>
      </w:r>
      <w:r w:rsidRPr="00BD7E36">
        <w:rPr>
          <w:rFonts w:ascii="Verdana" w:hAnsi="Verdana"/>
          <w:sz w:val="20"/>
          <w:szCs w:val="20"/>
          <w:lang w:val="es-MX"/>
        </w:rPr>
        <w:t>;</w:t>
      </w:r>
    </w:p>
    <w:p w:rsidR="003D13C5" w:rsidRPr="00BD7E36" w:rsidRDefault="003D13C5" w:rsidP="00F75AD0">
      <w:pPr>
        <w:pStyle w:val="Prrafodelista"/>
        <w:numPr>
          <w:ilvl w:val="0"/>
          <w:numId w:val="9"/>
        </w:numPr>
        <w:spacing w:line="240" w:lineRule="auto"/>
        <w:ind w:right="4"/>
        <w:jc w:val="both"/>
        <w:rPr>
          <w:rFonts w:ascii="Verdana" w:hAnsi="Verdana"/>
          <w:sz w:val="20"/>
          <w:szCs w:val="20"/>
        </w:rPr>
      </w:pPr>
      <w:r w:rsidRPr="00BD7E36">
        <w:rPr>
          <w:rFonts w:ascii="Verdana" w:hAnsi="Verdana"/>
          <w:sz w:val="20"/>
          <w:szCs w:val="20"/>
          <w:lang w:val="es-MX"/>
        </w:rPr>
        <w:t>otorgar becas de estudio en instituciones públicas venezolanas en beneficio de las personas indicadas en la Sentencia</w:t>
      </w:r>
      <w:r w:rsidR="00E135DD" w:rsidRPr="00BD7E36">
        <w:rPr>
          <w:rFonts w:ascii="Verdana" w:hAnsi="Verdana"/>
          <w:sz w:val="20"/>
          <w:szCs w:val="20"/>
          <w:lang w:val="es-MX"/>
        </w:rPr>
        <w:t xml:space="preserve"> (</w:t>
      </w:r>
      <w:r w:rsidR="00E135DD" w:rsidRPr="00BD7E36">
        <w:rPr>
          <w:rFonts w:ascii="Verdana" w:hAnsi="Verdana"/>
          <w:i/>
          <w:sz w:val="20"/>
          <w:szCs w:val="20"/>
          <w:lang w:val="es-MX"/>
        </w:rPr>
        <w:t>punto dispositivo séptimo)</w:t>
      </w:r>
      <w:r w:rsidRPr="00BD7E36">
        <w:rPr>
          <w:rFonts w:ascii="Verdana" w:hAnsi="Verdana"/>
          <w:sz w:val="20"/>
          <w:szCs w:val="20"/>
          <w:lang w:val="es-MX"/>
        </w:rPr>
        <w:t>;</w:t>
      </w:r>
    </w:p>
    <w:p w:rsidR="003D13C5" w:rsidRPr="00BD7E36" w:rsidRDefault="003D13C5" w:rsidP="00F75AD0">
      <w:pPr>
        <w:pStyle w:val="Prrafodelista"/>
        <w:numPr>
          <w:ilvl w:val="0"/>
          <w:numId w:val="9"/>
        </w:numPr>
        <w:spacing w:line="240" w:lineRule="auto"/>
        <w:ind w:right="4"/>
        <w:jc w:val="both"/>
        <w:rPr>
          <w:rFonts w:ascii="Verdana" w:hAnsi="Verdana"/>
          <w:sz w:val="20"/>
          <w:szCs w:val="20"/>
        </w:rPr>
      </w:pPr>
      <w:r w:rsidRPr="00BD7E36">
        <w:rPr>
          <w:rFonts w:ascii="Verdana" w:hAnsi="Verdana"/>
          <w:sz w:val="20"/>
          <w:szCs w:val="20"/>
          <w:lang w:val="es-MX"/>
        </w:rPr>
        <w:t>continuar con acciones en materia de capacitación, e implementar un programa o curso obligatorio sobre los principios y normas de protección de los derechos humanos como parte de la formación general y continua de los policías del estado Aragua</w:t>
      </w:r>
      <w:r w:rsidR="00E135DD" w:rsidRPr="00BD7E36">
        <w:rPr>
          <w:rFonts w:ascii="Verdana" w:hAnsi="Verdana"/>
          <w:sz w:val="20"/>
          <w:szCs w:val="20"/>
          <w:lang w:val="es-MX"/>
        </w:rPr>
        <w:t xml:space="preserve"> (</w:t>
      </w:r>
      <w:r w:rsidR="00E135DD" w:rsidRPr="00BD7E36">
        <w:rPr>
          <w:rFonts w:ascii="Verdana" w:hAnsi="Verdana"/>
          <w:i/>
          <w:sz w:val="20"/>
          <w:szCs w:val="20"/>
          <w:lang w:val="es-MX"/>
        </w:rPr>
        <w:t>punto dispositivo octavo)</w:t>
      </w:r>
      <w:r w:rsidR="0005692F" w:rsidRPr="00BD7E36">
        <w:rPr>
          <w:rFonts w:ascii="Verdana" w:hAnsi="Verdana"/>
          <w:sz w:val="20"/>
          <w:szCs w:val="20"/>
          <w:lang w:val="es-MX"/>
        </w:rPr>
        <w:t>, y</w:t>
      </w:r>
    </w:p>
    <w:p w:rsidR="0005692F" w:rsidRPr="00BD7E36" w:rsidRDefault="003D13C5" w:rsidP="00F75AD0">
      <w:pPr>
        <w:pStyle w:val="Prrafodelista"/>
        <w:numPr>
          <w:ilvl w:val="0"/>
          <w:numId w:val="9"/>
        </w:numPr>
        <w:spacing w:line="240" w:lineRule="auto"/>
        <w:ind w:right="4"/>
        <w:jc w:val="both"/>
        <w:rPr>
          <w:rFonts w:ascii="Verdana" w:hAnsi="Verdana"/>
          <w:sz w:val="20"/>
          <w:szCs w:val="20"/>
        </w:rPr>
      </w:pPr>
      <w:r w:rsidRPr="00BD7E36">
        <w:rPr>
          <w:rFonts w:ascii="Verdana" w:hAnsi="Verdana"/>
          <w:sz w:val="20"/>
          <w:szCs w:val="20"/>
          <w:lang w:val="es-MX"/>
        </w:rPr>
        <w:t>pagar las cantidades fijadas en la Sentencia por concepto  de indemnización de daño material e inmaterial, reintegro de costas y gastos, y el reintegro al Fondo de Asistencia Legal de Víctimas ordenado en la Sentencia</w:t>
      </w:r>
      <w:r w:rsidR="00E135DD" w:rsidRPr="00BD7E36">
        <w:rPr>
          <w:rFonts w:ascii="Verdana" w:hAnsi="Verdana"/>
          <w:sz w:val="20"/>
          <w:szCs w:val="20"/>
          <w:lang w:val="es-MX"/>
        </w:rPr>
        <w:t xml:space="preserve"> </w:t>
      </w:r>
      <w:r w:rsidR="00E135DD" w:rsidRPr="00BD7E36">
        <w:rPr>
          <w:rFonts w:ascii="Verdana" w:hAnsi="Verdana"/>
          <w:i/>
          <w:sz w:val="20"/>
          <w:szCs w:val="20"/>
          <w:lang w:val="es-MX"/>
        </w:rPr>
        <w:t>(punto dispositivo noveno)</w:t>
      </w:r>
      <w:r w:rsidR="0005692F" w:rsidRPr="00BD7E36">
        <w:rPr>
          <w:rFonts w:ascii="Verdana" w:hAnsi="Verdana"/>
          <w:sz w:val="20"/>
          <w:szCs w:val="20"/>
          <w:lang w:val="es-MX"/>
        </w:rPr>
        <w:t>.</w:t>
      </w:r>
    </w:p>
    <w:p w:rsidR="0005692F" w:rsidRPr="003F48C9" w:rsidRDefault="00A02AE7" w:rsidP="0005692F">
      <w:pPr>
        <w:numPr>
          <w:ilvl w:val="0"/>
          <w:numId w:val="6"/>
        </w:numPr>
        <w:spacing w:after="0" w:line="240" w:lineRule="auto"/>
        <w:ind w:left="0" w:hanging="11"/>
        <w:jc w:val="both"/>
        <w:rPr>
          <w:rFonts w:ascii="Verdana" w:hAnsi="Verdana"/>
          <w:sz w:val="20"/>
          <w:szCs w:val="20"/>
        </w:rPr>
      </w:pPr>
      <w:r w:rsidRPr="003F48C9">
        <w:rPr>
          <w:rFonts w:ascii="Verdana" w:hAnsi="Verdana"/>
          <w:sz w:val="20"/>
          <w:szCs w:val="20"/>
        </w:rPr>
        <w:lastRenderedPageBreak/>
        <w:t>E</w:t>
      </w:r>
      <w:r w:rsidR="007F2B3F" w:rsidRPr="003F48C9">
        <w:rPr>
          <w:rFonts w:ascii="Verdana" w:hAnsi="Verdana"/>
          <w:sz w:val="20"/>
          <w:szCs w:val="20"/>
        </w:rPr>
        <w:t xml:space="preserve">l Estado no ha </w:t>
      </w:r>
      <w:r w:rsidR="0005692F" w:rsidRPr="003F48C9">
        <w:rPr>
          <w:rFonts w:ascii="Verdana" w:hAnsi="Verdana"/>
          <w:sz w:val="20"/>
          <w:szCs w:val="20"/>
        </w:rPr>
        <w:t xml:space="preserve">dado cumplimiento a la orden de reintegrar al Fondo de Asistencia Legal de la Corte lo dispuesto en el punto resolutivo primero de la Resolución de </w:t>
      </w:r>
      <w:r w:rsidR="002419CC" w:rsidRPr="003F48C9">
        <w:rPr>
          <w:rFonts w:ascii="Verdana" w:hAnsi="Verdana"/>
          <w:sz w:val="20"/>
          <w:szCs w:val="20"/>
        </w:rPr>
        <w:t xml:space="preserve">23 de febrero de </w:t>
      </w:r>
      <w:r w:rsidR="0005692F" w:rsidRPr="003F48C9">
        <w:rPr>
          <w:rFonts w:ascii="Verdana" w:hAnsi="Verdana"/>
          <w:sz w:val="20"/>
          <w:szCs w:val="20"/>
        </w:rPr>
        <w:t xml:space="preserve">2016. </w:t>
      </w:r>
    </w:p>
    <w:p w:rsidR="003F48C9" w:rsidRDefault="003F48C9" w:rsidP="00F75AD0">
      <w:pPr>
        <w:spacing w:line="240" w:lineRule="auto"/>
        <w:ind w:right="4"/>
        <w:jc w:val="both"/>
        <w:rPr>
          <w:rFonts w:ascii="Verdana" w:hAnsi="Verdana"/>
          <w:b/>
          <w:sz w:val="20"/>
          <w:szCs w:val="20"/>
        </w:rPr>
      </w:pPr>
    </w:p>
    <w:p w:rsidR="00AA14EA" w:rsidRDefault="00DA40F4" w:rsidP="00F75AD0">
      <w:pPr>
        <w:spacing w:line="240" w:lineRule="auto"/>
        <w:ind w:right="4"/>
        <w:jc w:val="both"/>
        <w:rPr>
          <w:rFonts w:ascii="Verdana" w:hAnsi="Verdana"/>
          <w:b/>
          <w:sz w:val="20"/>
          <w:szCs w:val="20"/>
        </w:rPr>
      </w:pPr>
      <w:r w:rsidRPr="00E4741A">
        <w:rPr>
          <w:rFonts w:ascii="Verdana" w:hAnsi="Verdana"/>
          <w:b/>
          <w:sz w:val="20"/>
          <w:szCs w:val="20"/>
        </w:rPr>
        <w:t xml:space="preserve">Y </w:t>
      </w:r>
      <w:r w:rsidR="00AA14EA" w:rsidRPr="00E4741A">
        <w:rPr>
          <w:rFonts w:ascii="Verdana" w:hAnsi="Verdana"/>
          <w:b/>
          <w:sz w:val="20"/>
          <w:szCs w:val="20"/>
        </w:rPr>
        <w:t>RESUELVE:</w:t>
      </w:r>
    </w:p>
    <w:p w:rsidR="003F48C9" w:rsidRPr="00E4741A" w:rsidRDefault="003F48C9" w:rsidP="00F75AD0">
      <w:pPr>
        <w:spacing w:line="240" w:lineRule="auto"/>
        <w:ind w:right="4"/>
        <w:jc w:val="both"/>
        <w:rPr>
          <w:rFonts w:ascii="Verdana" w:hAnsi="Verdana"/>
          <w:b/>
          <w:sz w:val="20"/>
          <w:szCs w:val="20"/>
        </w:rPr>
      </w:pPr>
    </w:p>
    <w:p w:rsidR="00206156" w:rsidRDefault="00206156" w:rsidP="00F75AD0">
      <w:pPr>
        <w:numPr>
          <w:ilvl w:val="0"/>
          <w:numId w:val="6"/>
        </w:numPr>
        <w:spacing w:after="0" w:line="240" w:lineRule="auto"/>
        <w:ind w:left="0" w:hanging="11"/>
        <w:jc w:val="both"/>
        <w:rPr>
          <w:rFonts w:ascii="Verdana" w:hAnsi="Verdana"/>
          <w:sz w:val="20"/>
          <w:szCs w:val="20"/>
        </w:rPr>
      </w:pPr>
      <w:r>
        <w:rPr>
          <w:rFonts w:ascii="Verdana" w:hAnsi="Verdana"/>
          <w:sz w:val="20"/>
          <w:szCs w:val="20"/>
        </w:rPr>
        <w:t xml:space="preserve">Expresar su preocupación por el incumplimiento estatal del deber de informar sobre el cumplimiento de la </w:t>
      </w:r>
      <w:r w:rsidR="007F2B3F">
        <w:rPr>
          <w:rFonts w:ascii="Verdana" w:hAnsi="Verdana"/>
          <w:sz w:val="20"/>
          <w:szCs w:val="20"/>
        </w:rPr>
        <w:t>S</w:t>
      </w:r>
      <w:r>
        <w:rPr>
          <w:rFonts w:ascii="Verdana" w:hAnsi="Verdana"/>
          <w:sz w:val="20"/>
          <w:szCs w:val="20"/>
        </w:rPr>
        <w:t xml:space="preserve">entencia y por la falta de avances en el cumplimiento de las reparaciones ordenadas en la misma. </w:t>
      </w:r>
    </w:p>
    <w:p w:rsidR="003F48C9" w:rsidRDefault="003F48C9" w:rsidP="003F48C9">
      <w:pPr>
        <w:spacing w:after="0" w:line="240" w:lineRule="auto"/>
        <w:jc w:val="both"/>
        <w:rPr>
          <w:rFonts w:ascii="Verdana" w:hAnsi="Verdana"/>
          <w:sz w:val="20"/>
          <w:szCs w:val="20"/>
        </w:rPr>
      </w:pPr>
    </w:p>
    <w:p w:rsidR="00206156" w:rsidRDefault="00206156" w:rsidP="00CE1E49">
      <w:pPr>
        <w:spacing w:after="0" w:line="240" w:lineRule="auto"/>
        <w:jc w:val="both"/>
        <w:rPr>
          <w:rFonts w:ascii="Verdana" w:hAnsi="Verdana"/>
          <w:sz w:val="20"/>
          <w:szCs w:val="20"/>
        </w:rPr>
      </w:pPr>
    </w:p>
    <w:p w:rsidR="00AA14EA" w:rsidRPr="00E4741A" w:rsidRDefault="00AA14EA" w:rsidP="00F75AD0">
      <w:pPr>
        <w:numPr>
          <w:ilvl w:val="0"/>
          <w:numId w:val="6"/>
        </w:numPr>
        <w:spacing w:after="0" w:line="240" w:lineRule="auto"/>
        <w:ind w:left="0" w:hanging="11"/>
        <w:jc w:val="both"/>
        <w:rPr>
          <w:rFonts w:ascii="Verdana" w:hAnsi="Verdana"/>
          <w:sz w:val="20"/>
          <w:szCs w:val="20"/>
        </w:rPr>
      </w:pPr>
      <w:r w:rsidRPr="00E4741A">
        <w:rPr>
          <w:rFonts w:ascii="Verdana" w:hAnsi="Verdana"/>
          <w:sz w:val="20"/>
          <w:szCs w:val="20"/>
        </w:rPr>
        <w:t xml:space="preserve">Mantener abierto el procedimiento de supervisión de cumplimiento respecto de todas las </w:t>
      </w:r>
      <w:r w:rsidRPr="00E4741A">
        <w:rPr>
          <w:rFonts w:ascii="Verdana" w:hAnsi="Verdana"/>
          <w:sz w:val="20"/>
        </w:rPr>
        <w:t>medidas</w:t>
      </w:r>
      <w:r w:rsidRPr="00E4741A">
        <w:rPr>
          <w:rFonts w:ascii="Verdana" w:hAnsi="Verdana"/>
          <w:sz w:val="20"/>
          <w:szCs w:val="20"/>
        </w:rPr>
        <w:t xml:space="preserve"> de reparación ordenadas en la Sentencia.</w:t>
      </w:r>
    </w:p>
    <w:p w:rsidR="004011D9" w:rsidRDefault="004011D9" w:rsidP="00F75AD0">
      <w:pPr>
        <w:spacing w:after="0" w:line="240" w:lineRule="auto"/>
        <w:jc w:val="both"/>
        <w:rPr>
          <w:rFonts w:ascii="Verdana" w:hAnsi="Verdana"/>
          <w:sz w:val="20"/>
          <w:szCs w:val="20"/>
        </w:rPr>
      </w:pPr>
    </w:p>
    <w:p w:rsidR="003F48C9" w:rsidRPr="00BD7E36" w:rsidRDefault="003F48C9" w:rsidP="00F75AD0">
      <w:pPr>
        <w:spacing w:after="0" w:line="240" w:lineRule="auto"/>
        <w:jc w:val="both"/>
        <w:rPr>
          <w:rFonts w:ascii="Verdana" w:hAnsi="Verdana"/>
          <w:sz w:val="20"/>
          <w:szCs w:val="20"/>
        </w:rPr>
      </w:pPr>
    </w:p>
    <w:p w:rsidR="00AA14EA" w:rsidRPr="00E4741A" w:rsidRDefault="004011D9" w:rsidP="00F75AD0">
      <w:pPr>
        <w:numPr>
          <w:ilvl w:val="0"/>
          <w:numId w:val="6"/>
        </w:numPr>
        <w:spacing w:after="0" w:line="240" w:lineRule="auto"/>
        <w:ind w:left="0" w:hanging="11"/>
        <w:jc w:val="both"/>
        <w:rPr>
          <w:rFonts w:ascii="Verdana" w:hAnsi="Verdana"/>
          <w:sz w:val="20"/>
          <w:szCs w:val="20"/>
        </w:rPr>
      </w:pPr>
      <w:r w:rsidRPr="00BD7E36">
        <w:rPr>
          <w:rFonts w:ascii="Verdana" w:hAnsi="Verdana"/>
          <w:sz w:val="20"/>
          <w:szCs w:val="20"/>
        </w:rPr>
        <w:t>Disponer que e</w:t>
      </w:r>
      <w:r w:rsidR="00AA14EA" w:rsidRPr="00BD7E36">
        <w:rPr>
          <w:rFonts w:ascii="Verdana" w:hAnsi="Verdana"/>
          <w:sz w:val="20"/>
          <w:szCs w:val="20"/>
        </w:rPr>
        <w:t>l Estado adopte, en definitiva y a la mayor brevedad</w:t>
      </w:r>
      <w:r w:rsidRPr="00BD7E36">
        <w:rPr>
          <w:rFonts w:ascii="Verdana" w:hAnsi="Verdana"/>
          <w:sz w:val="20"/>
          <w:szCs w:val="20"/>
        </w:rPr>
        <w:t xml:space="preserve"> posible</w:t>
      </w:r>
      <w:r w:rsidR="00AA14EA" w:rsidRPr="00BD7E36">
        <w:rPr>
          <w:rFonts w:ascii="Verdana" w:hAnsi="Verdana"/>
          <w:sz w:val="20"/>
          <w:szCs w:val="20"/>
        </w:rPr>
        <w:t xml:space="preserve">, las medidas </w:t>
      </w:r>
      <w:r w:rsidR="00AA14EA" w:rsidRPr="00BD7E36">
        <w:rPr>
          <w:rFonts w:ascii="Verdana" w:hAnsi="Verdana"/>
          <w:sz w:val="20"/>
        </w:rPr>
        <w:t>que</w:t>
      </w:r>
      <w:r w:rsidR="00AA14EA" w:rsidRPr="00BD7E36">
        <w:rPr>
          <w:rFonts w:ascii="Verdana" w:hAnsi="Verdana"/>
          <w:sz w:val="20"/>
          <w:szCs w:val="20"/>
        </w:rPr>
        <w:t xml:space="preserve"> sean necesarias para dar efectivo y pronto cumplimiento a la totalidad de l</w:t>
      </w:r>
      <w:r w:rsidRPr="00BD7E36">
        <w:rPr>
          <w:rFonts w:ascii="Verdana" w:hAnsi="Verdana"/>
          <w:sz w:val="20"/>
          <w:szCs w:val="20"/>
        </w:rPr>
        <w:t>as reparaciones ordenadas en la Sentencia</w:t>
      </w:r>
      <w:r w:rsidR="0005692F" w:rsidRPr="00BD7E36">
        <w:rPr>
          <w:rFonts w:ascii="Verdana" w:hAnsi="Verdana"/>
          <w:sz w:val="20"/>
          <w:szCs w:val="20"/>
        </w:rPr>
        <w:t xml:space="preserve"> </w:t>
      </w:r>
      <w:r w:rsidR="0005692F" w:rsidRPr="00E4741A">
        <w:rPr>
          <w:rFonts w:ascii="Verdana" w:hAnsi="Verdana"/>
          <w:sz w:val="20"/>
          <w:szCs w:val="20"/>
        </w:rPr>
        <w:t>y a la orden de reintegro al Fondo de Asistencia a la Víctima dispuesta en la Resolución de 2016</w:t>
      </w:r>
      <w:r w:rsidR="00AA14EA" w:rsidRPr="00E4741A">
        <w:rPr>
          <w:rFonts w:ascii="Verdana" w:hAnsi="Verdana"/>
          <w:sz w:val="20"/>
          <w:szCs w:val="20"/>
        </w:rPr>
        <w:t xml:space="preserve">, de acuerdo con lo considerado en la presente Resolución, y con lo estipulado en el artículo 68.1 de la Convención Americana sobre Derechos Humanos. </w:t>
      </w:r>
    </w:p>
    <w:p w:rsidR="004011D9" w:rsidRDefault="004011D9" w:rsidP="00F75AD0">
      <w:pPr>
        <w:spacing w:after="0" w:line="240" w:lineRule="auto"/>
        <w:jc w:val="both"/>
        <w:rPr>
          <w:rFonts w:ascii="Verdana" w:hAnsi="Verdana"/>
          <w:sz w:val="20"/>
          <w:szCs w:val="20"/>
        </w:rPr>
      </w:pPr>
    </w:p>
    <w:p w:rsidR="003F48C9" w:rsidRPr="00E4741A" w:rsidRDefault="003F48C9" w:rsidP="00F75AD0">
      <w:pPr>
        <w:spacing w:after="0" w:line="240" w:lineRule="auto"/>
        <w:jc w:val="both"/>
        <w:rPr>
          <w:rFonts w:ascii="Verdana" w:hAnsi="Verdana"/>
          <w:sz w:val="20"/>
          <w:szCs w:val="20"/>
        </w:rPr>
      </w:pPr>
    </w:p>
    <w:p w:rsidR="00AA14EA" w:rsidRPr="00E4741A" w:rsidRDefault="00CA73BA" w:rsidP="00F75AD0">
      <w:pPr>
        <w:numPr>
          <w:ilvl w:val="0"/>
          <w:numId w:val="6"/>
        </w:numPr>
        <w:spacing w:after="0" w:line="240" w:lineRule="auto"/>
        <w:ind w:left="0" w:hanging="11"/>
        <w:jc w:val="both"/>
        <w:rPr>
          <w:rFonts w:ascii="Verdana" w:hAnsi="Verdana"/>
          <w:sz w:val="20"/>
          <w:szCs w:val="20"/>
        </w:rPr>
      </w:pPr>
      <w:r w:rsidRPr="00E4741A">
        <w:rPr>
          <w:rFonts w:ascii="Verdana" w:hAnsi="Verdana"/>
          <w:sz w:val="20"/>
          <w:szCs w:val="20"/>
        </w:rPr>
        <w:t>Requerir</w:t>
      </w:r>
      <w:r w:rsidR="00DA40F4" w:rsidRPr="00E4741A">
        <w:rPr>
          <w:rFonts w:ascii="Verdana" w:hAnsi="Verdana"/>
          <w:sz w:val="20"/>
          <w:szCs w:val="20"/>
        </w:rPr>
        <w:t xml:space="preserve"> que</w:t>
      </w:r>
      <w:r w:rsidR="00AA14EA" w:rsidRPr="00E4741A">
        <w:rPr>
          <w:rFonts w:ascii="Verdana" w:hAnsi="Verdana"/>
          <w:sz w:val="20"/>
          <w:szCs w:val="20"/>
        </w:rPr>
        <w:t xml:space="preserve"> </w:t>
      </w:r>
      <w:r w:rsidR="00DA40F4" w:rsidRPr="00E4741A">
        <w:rPr>
          <w:rFonts w:ascii="Verdana" w:hAnsi="Verdana"/>
          <w:sz w:val="20"/>
          <w:szCs w:val="20"/>
        </w:rPr>
        <w:t xml:space="preserve">el </w:t>
      </w:r>
      <w:r w:rsidR="00AA14EA" w:rsidRPr="00E4741A">
        <w:rPr>
          <w:rFonts w:ascii="Verdana" w:hAnsi="Verdana"/>
          <w:sz w:val="20"/>
          <w:szCs w:val="20"/>
        </w:rPr>
        <w:t xml:space="preserve">Estado presente a la Corte Interamericana de Derechos Humanos, </w:t>
      </w:r>
      <w:r w:rsidR="00B71A8F" w:rsidRPr="00E4741A">
        <w:rPr>
          <w:rFonts w:ascii="Verdana" w:hAnsi="Verdana"/>
          <w:sz w:val="20"/>
          <w:szCs w:val="20"/>
        </w:rPr>
        <w:t xml:space="preserve">a más tardar el </w:t>
      </w:r>
      <w:r w:rsidR="00A671A5" w:rsidRPr="00E4741A">
        <w:rPr>
          <w:rFonts w:ascii="Verdana" w:hAnsi="Verdana"/>
          <w:sz w:val="20"/>
          <w:szCs w:val="20"/>
        </w:rPr>
        <w:t>17</w:t>
      </w:r>
      <w:r w:rsidR="004011D9" w:rsidRPr="00E4741A">
        <w:rPr>
          <w:rFonts w:ascii="Verdana" w:hAnsi="Verdana"/>
          <w:sz w:val="20"/>
          <w:szCs w:val="20"/>
        </w:rPr>
        <w:t xml:space="preserve"> </w:t>
      </w:r>
      <w:r w:rsidR="00AA14EA" w:rsidRPr="00E4741A">
        <w:rPr>
          <w:rFonts w:ascii="Verdana" w:hAnsi="Verdana"/>
          <w:sz w:val="20"/>
          <w:szCs w:val="20"/>
        </w:rPr>
        <w:t xml:space="preserve">de </w:t>
      </w:r>
      <w:r w:rsidR="00A671A5" w:rsidRPr="00E4741A">
        <w:rPr>
          <w:rFonts w:ascii="Verdana" w:hAnsi="Verdana"/>
          <w:sz w:val="20"/>
          <w:szCs w:val="20"/>
        </w:rPr>
        <w:t>marzo</w:t>
      </w:r>
      <w:r w:rsidR="004011D9" w:rsidRPr="00BD7E36">
        <w:rPr>
          <w:rFonts w:ascii="Verdana" w:hAnsi="Verdana"/>
          <w:sz w:val="20"/>
          <w:szCs w:val="20"/>
        </w:rPr>
        <w:t xml:space="preserve"> </w:t>
      </w:r>
      <w:r w:rsidR="00AA14EA" w:rsidRPr="00BD7E36">
        <w:rPr>
          <w:rFonts w:ascii="Verdana" w:hAnsi="Verdana"/>
          <w:sz w:val="20"/>
          <w:szCs w:val="20"/>
        </w:rPr>
        <w:t>de 201</w:t>
      </w:r>
      <w:r w:rsidR="004011D9" w:rsidRPr="00BD7E36">
        <w:rPr>
          <w:rFonts w:ascii="Verdana" w:hAnsi="Verdana"/>
          <w:sz w:val="20"/>
          <w:szCs w:val="20"/>
        </w:rPr>
        <w:t xml:space="preserve">7, </w:t>
      </w:r>
      <w:r w:rsidR="00AA14EA" w:rsidRPr="00BD7E36">
        <w:rPr>
          <w:rFonts w:ascii="Verdana" w:hAnsi="Verdana"/>
          <w:sz w:val="20"/>
          <w:szCs w:val="20"/>
        </w:rPr>
        <w:t>un informe en el cual indique las medidas adoptadas para cumplir con las reparaciones ordenadas por esta Corte</w:t>
      </w:r>
      <w:r w:rsidR="0005692F" w:rsidRPr="00BD7E36">
        <w:rPr>
          <w:rFonts w:ascii="Verdana" w:hAnsi="Verdana"/>
          <w:sz w:val="20"/>
          <w:szCs w:val="20"/>
        </w:rPr>
        <w:t xml:space="preserve"> </w:t>
      </w:r>
      <w:r w:rsidR="0005692F" w:rsidRPr="00E4741A">
        <w:rPr>
          <w:rFonts w:ascii="Verdana" w:hAnsi="Verdana"/>
          <w:sz w:val="20"/>
          <w:szCs w:val="20"/>
        </w:rPr>
        <w:t xml:space="preserve">y </w:t>
      </w:r>
      <w:r w:rsidR="007F2B3F">
        <w:rPr>
          <w:rFonts w:ascii="Verdana" w:hAnsi="Verdana"/>
          <w:sz w:val="20"/>
          <w:szCs w:val="20"/>
        </w:rPr>
        <w:t>con</w:t>
      </w:r>
      <w:r w:rsidR="0005692F" w:rsidRPr="00E4741A">
        <w:rPr>
          <w:rFonts w:ascii="Verdana" w:hAnsi="Verdana"/>
          <w:sz w:val="20"/>
          <w:szCs w:val="20"/>
        </w:rPr>
        <w:t xml:space="preserve"> la orden de reintegro al Fondo de Asistencia a la</w:t>
      </w:r>
      <w:r w:rsidR="00D97A64">
        <w:rPr>
          <w:rFonts w:ascii="Verdana" w:hAnsi="Verdana"/>
          <w:sz w:val="20"/>
          <w:szCs w:val="20"/>
        </w:rPr>
        <w:t>s</w:t>
      </w:r>
      <w:r w:rsidR="0005692F" w:rsidRPr="00E4741A">
        <w:rPr>
          <w:rFonts w:ascii="Verdana" w:hAnsi="Verdana"/>
          <w:sz w:val="20"/>
          <w:szCs w:val="20"/>
        </w:rPr>
        <w:t xml:space="preserve"> Víctima</w:t>
      </w:r>
      <w:r w:rsidR="00D97A64">
        <w:rPr>
          <w:rFonts w:ascii="Verdana" w:hAnsi="Verdana"/>
          <w:sz w:val="20"/>
          <w:szCs w:val="20"/>
        </w:rPr>
        <w:t>s</w:t>
      </w:r>
      <w:r w:rsidR="0005692F" w:rsidRPr="00E4741A">
        <w:rPr>
          <w:rFonts w:ascii="Verdana" w:hAnsi="Verdana"/>
          <w:sz w:val="20"/>
          <w:szCs w:val="20"/>
        </w:rPr>
        <w:t xml:space="preserve"> dispuesta en la Resolución de 2016</w:t>
      </w:r>
      <w:r w:rsidR="00AA14EA" w:rsidRPr="00E4741A">
        <w:rPr>
          <w:rFonts w:ascii="Verdana" w:hAnsi="Verdana"/>
          <w:sz w:val="20"/>
          <w:szCs w:val="20"/>
        </w:rPr>
        <w:t xml:space="preserve">, de conformidad con lo señalado en la parte considerativa de esta Resolución. </w:t>
      </w:r>
    </w:p>
    <w:p w:rsidR="004011D9" w:rsidRDefault="004011D9" w:rsidP="00F75AD0">
      <w:pPr>
        <w:spacing w:after="0" w:line="240" w:lineRule="auto"/>
        <w:jc w:val="both"/>
        <w:rPr>
          <w:rFonts w:ascii="Verdana" w:hAnsi="Verdana"/>
          <w:sz w:val="20"/>
          <w:szCs w:val="20"/>
        </w:rPr>
      </w:pPr>
    </w:p>
    <w:p w:rsidR="003F48C9" w:rsidRPr="00E4741A" w:rsidRDefault="003F48C9" w:rsidP="00F75AD0">
      <w:pPr>
        <w:spacing w:after="0" w:line="240" w:lineRule="auto"/>
        <w:jc w:val="both"/>
        <w:rPr>
          <w:rFonts w:ascii="Verdana" w:hAnsi="Verdana"/>
          <w:sz w:val="20"/>
          <w:szCs w:val="20"/>
        </w:rPr>
      </w:pPr>
    </w:p>
    <w:p w:rsidR="00AA14EA" w:rsidRPr="00E4741A" w:rsidRDefault="00CA73BA" w:rsidP="00F75AD0">
      <w:pPr>
        <w:numPr>
          <w:ilvl w:val="0"/>
          <w:numId w:val="6"/>
        </w:numPr>
        <w:spacing w:after="0" w:line="240" w:lineRule="auto"/>
        <w:ind w:left="0" w:hanging="11"/>
        <w:jc w:val="both"/>
        <w:rPr>
          <w:rFonts w:ascii="Verdana" w:hAnsi="Verdana"/>
          <w:sz w:val="20"/>
          <w:szCs w:val="20"/>
        </w:rPr>
      </w:pPr>
      <w:r w:rsidRPr="00E4741A">
        <w:rPr>
          <w:rFonts w:ascii="Verdana" w:hAnsi="Verdana"/>
          <w:sz w:val="20"/>
          <w:szCs w:val="20"/>
        </w:rPr>
        <w:t>Disponer que</w:t>
      </w:r>
      <w:r w:rsidR="00AA14EA" w:rsidRPr="00E4741A">
        <w:rPr>
          <w:rFonts w:ascii="Verdana" w:hAnsi="Verdana"/>
          <w:sz w:val="20"/>
          <w:szCs w:val="20"/>
        </w:rPr>
        <w:t xml:space="preserve"> los representantes de las víctimas y la Comisión Interamericana de Derechos Humanos presenten observaciones al informe del Estado mencionado en el punto resolutivo anterior, en los plazos de cuatro y seis semanas, respectivamente, contados a partir de la recepción del informe. </w:t>
      </w:r>
    </w:p>
    <w:p w:rsidR="004011D9" w:rsidRDefault="004011D9" w:rsidP="00F75AD0">
      <w:pPr>
        <w:spacing w:after="0" w:line="240" w:lineRule="auto"/>
        <w:jc w:val="both"/>
        <w:rPr>
          <w:rFonts w:ascii="Verdana" w:hAnsi="Verdana"/>
          <w:sz w:val="20"/>
          <w:szCs w:val="20"/>
        </w:rPr>
      </w:pPr>
    </w:p>
    <w:p w:rsidR="003F48C9" w:rsidRPr="00BD7E36" w:rsidRDefault="003F48C9" w:rsidP="00F75AD0">
      <w:pPr>
        <w:spacing w:after="0" w:line="240" w:lineRule="auto"/>
        <w:jc w:val="both"/>
        <w:rPr>
          <w:rFonts w:ascii="Verdana" w:hAnsi="Verdana"/>
          <w:sz w:val="20"/>
          <w:szCs w:val="20"/>
        </w:rPr>
      </w:pPr>
    </w:p>
    <w:p w:rsidR="00AA14EA" w:rsidRPr="00BD7E36" w:rsidRDefault="00CA73BA" w:rsidP="00F75AD0">
      <w:pPr>
        <w:numPr>
          <w:ilvl w:val="0"/>
          <w:numId w:val="6"/>
        </w:numPr>
        <w:spacing w:after="0" w:line="240" w:lineRule="auto"/>
        <w:ind w:left="0" w:hanging="11"/>
        <w:jc w:val="both"/>
        <w:rPr>
          <w:rFonts w:ascii="Verdana" w:hAnsi="Verdana"/>
          <w:sz w:val="20"/>
          <w:szCs w:val="20"/>
        </w:rPr>
      </w:pPr>
      <w:r w:rsidRPr="00BD7E36">
        <w:rPr>
          <w:rFonts w:ascii="Verdana" w:hAnsi="Verdana"/>
          <w:sz w:val="20"/>
        </w:rPr>
        <w:t>Disponer</w:t>
      </w:r>
      <w:r w:rsidRPr="00BD7E36">
        <w:rPr>
          <w:rFonts w:ascii="Verdana" w:hAnsi="Verdana"/>
          <w:sz w:val="20"/>
          <w:szCs w:val="20"/>
        </w:rPr>
        <w:t xml:space="preserve"> que</w:t>
      </w:r>
      <w:r w:rsidR="00AA14EA" w:rsidRPr="00BD7E36">
        <w:rPr>
          <w:rFonts w:ascii="Verdana" w:hAnsi="Verdana"/>
          <w:sz w:val="20"/>
          <w:szCs w:val="20"/>
        </w:rPr>
        <w:t xml:space="preserve"> la Secretaría de la Corte que notifique la presente Resolución al Estado, a los representantes de las víctimas y a la Comisión Interamericana de Derechos Humanos.</w:t>
      </w:r>
    </w:p>
    <w:p w:rsidR="0055292A" w:rsidRDefault="0055292A" w:rsidP="00F75AD0">
      <w:pPr>
        <w:spacing w:line="240" w:lineRule="auto"/>
        <w:ind w:right="4"/>
        <w:jc w:val="both"/>
      </w:pPr>
    </w:p>
    <w:p w:rsidR="00F051C9" w:rsidRDefault="00F051C9" w:rsidP="00F75AD0">
      <w:pPr>
        <w:spacing w:line="240" w:lineRule="auto"/>
        <w:ind w:right="4"/>
        <w:jc w:val="both"/>
      </w:pPr>
    </w:p>
    <w:p w:rsidR="00F051C9" w:rsidRDefault="00F051C9" w:rsidP="00F75AD0">
      <w:pPr>
        <w:spacing w:line="240" w:lineRule="auto"/>
        <w:ind w:right="4"/>
        <w:jc w:val="both"/>
      </w:pPr>
    </w:p>
    <w:p w:rsidR="00F051C9" w:rsidRDefault="00F051C9" w:rsidP="00F75AD0">
      <w:pPr>
        <w:spacing w:line="240" w:lineRule="auto"/>
        <w:ind w:right="4"/>
        <w:jc w:val="both"/>
      </w:pPr>
    </w:p>
    <w:p w:rsidR="0010237C" w:rsidRPr="0010237C" w:rsidRDefault="0010237C" w:rsidP="0010237C">
      <w:pPr>
        <w:keepNext/>
        <w:spacing w:after="0" w:line="240" w:lineRule="auto"/>
        <w:jc w:val="both"/>
        <w:outlineLvl w:val="0"/>
        <w:rPr>
          <w:rFonts w:ascii="Verdana" w:eastAsia="Times" w:hAnsi="Verdana"/>
          <w:sz w:val="20"/>
          <w:szCs w:val="20"/>
        </w:rPr>
      </w:pPr>
      <w:r w:rsidRPr="0010237C">
        <w:rPr>
          <w:rFonts w:ascii="Verdana" w:eastAsia="Times" w:hAnsi="Verdana"/>
          <w:sz w:val="20"/>
          <w:szCs w:val="20"/>
          <w:lang w:val="es-ES"/>
        </w:rPr>
        <w:t xml:space="preserve">Resolución de la Corte Interamericana de Derechos Humanos. </w:t>
      </w:r>
      <w:r w:rsidRPr="0010237C">
        <w:rPr>
          <w:rFonts w:ascii="Verdana" w:eastAsia="Times" w:hAnsi="Verdana"/>
          <w:sz w:val="20"/>
          <w:szCs w:val="20"/>
        </w:rPr>
        <w:t>Caso Familia Barrios Vs. Venezuela.  Supervisión de Cumplimiento de Sentencia.</w:t>
      </w:r>
    </w:p>
    <w:p w:rsidR="0010237C" w:rsidRPr="0010237C" w:rsidRDefault="0010237C" w:rsidP="0010237C">
      <w:pPr>
        <w:spacing w:after="0" w:line="240" w:lineRule="auto"/>
        <w:jc w:val="center"/>
        <w:rPr>
          <w:rFonts w:ascii="Verdana" w:eastAsia="Times" w:hAnsi="Verdana"/>
          <w:sz w:val="20"/>
          <w:szCs w:val="20"/>
          <w:lang w:val="es-ES"/>
        </w:rPr>
      </w:pPr>
    </w:p>
    <w:p w:rsidR="0010237C" w:rsidRPr="0010237C" w:rsidRDefault="0010237C" w:rsidP="0010237C">
      <w:pPr>
        <w:spacing w:after="0" w:line="240" w:lineRule="auto"/>
        <w:jc w:val="center"/>
        <w:rPr>
          <w:rFonts w:ascii="Verdana" w:eastAsia="Times" w:hAnsi="Verdana"/>
          <w:sz w:val="20"/>
          <w:szCs w:val="20"/>
          <w:lang w:val="es-ES"/>
        </w:rPr>
      </w:pPr>
    </w:p>
    <w:p w:rsidR="0010237C" w:rsidRPr="0010237C" w:rsidRDefault="0010237C" w:rsidP="0010237C">
      <w:pPr>
        <w:spacing w:after="0" w:line="240" w:lineRule="auto"/>
        <w:jc w:val="center"/>
        <w:rPr>
          <w:rFonts w:ascii="Verdana" w:eastAsia="Times" w:hAnsi="Verdana"/>
          <w:sz w:val="20"/>
          <w:szCs w:val="20"/>
          <w:lang w:val="es-ES"/>
        </w:rPr>
      </w:pPr>
    </w:p>
    <w:p w:rsidR="0010237C" w:rsidRPr="0010237C" w:rsidRDefault="0010237C" w:rsidP="0010237C">
      <w:pPr>
        <w:spacing w:after="0" w:line="240" w:lineRule="auto"/>
        <w:jc w:val="center"/>
        <w:rPr>
          <w:rFonts w:ascii="Verdana" w:eastAsia="Times" w:hAnsi="Verdana"/>
          <w:sz w:val="20"/>
          <w:szCs w:val="20"/>
          <w:lang w:val="es-ES"/>
        </w:rPr>
      </w:pPr>
    </w:p>
    <w:p w:rsidR="0010237C" w:rsidRPr="0010237C" w:rsidRDefault="0010237C" w:rsidP="0010237C">
      <w:pPr>
        <w:spacing w:after="0" w:line="240" w:lineRule="auto"/>
        <w:jc w:val="center"/>
        <w:rPr>
          <w:rFonts w:ascii="Verdana" w:eastAsia="Times" w:hAnsi="Verdana"/>
          <w:sz w:val="20"/>
          <w:szCs w:val="20"/>
          <w:lang w:val="es-ES"/>
        </w:rPr>
      </w:pPr>
    </w:p>
    <w:p w:rsidR="0010237C" w:rsidRPr="0010237C" w:rsidRDefault="0010237C" w:rsidP="0010237C">
      <w:pPr>
        <w:spacing w:after="0" w:line="240" w:lineRule="auto"/>
        <w:jc w:val="center"/>
        <w:rPr>
          <w:rFonts w:ascii="Verdana" w:eastAsia="Times" w:hAnsi="Verdana"/>
          <w:sz w:val="20"/>
          <w:szCs w:val="20"/>
          <w:lang w:val="es-ES"/>
        </w:rPr>
      </w:pPr>
      <w:r w:rsidRPr="0010237C">
        <w:rPr>
          <w:rFonts w:ascii="Verdana" w:eastAsia="Times" w:hAnsi="Verdana"/>
          <w:sz w:val="20"/>
          <w:szCs w:val="20"/>
          <w:lang w:val="es-ES"/>
        </w:rPr>
        <w:t>Roberto F. Caldas</w:t>
      </w:r>
    </w:p>
    <w:p w:rsidR="0010237C" w:rsidRPr="0010237C" w:rsidRDefault="0010237C" w:rsidP="0010237C">
      <w:pPr>
        <w:spacing w:after="0" w:line="240" w:lineRule="auto"/>
        <w:jc w:val="center"/>
        <w:rPr>
          <w:rFonts w:ascii="Verdana" w:eastAsia="Times" w:hAnsi="Verdana"/>
          <w:sz w:val="20"/>
          <w:szCs w:val="20"/>
          <w:lang w:val="es-ES"/>
        </w:rPr>
      </w:pPr>
      <w:r w:rsidRPr="0010237C">
        <w:rPr>
          <w:rFonts w:ascii="Verdana" w:eastAsia="Times" w:hAnsi="Verdana"/>
          <w:sz w:val="20"/>
          <w:szCs w:val="20"/>
          <w:lang w:val="es-ES"/>
        </w:rPr>
        <w:t xml:space="preserve">Presidente </w:t>
      </w: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tabs>
          <w:tab w:val="left" w:pos="1485"/>
        </w:tabs>
        <w:spacing w:after="0" w:line="240" w:lineRule="auto"/>
        <w:jc w:val="both"/>
        <w:rPr>
          <w:rFonts w:ascii="Verdana" w:eastAsia="Times" w:hAnsi="Verdana"/>
          <w:sz w:val="20"/>
          <w:szCs w:val="20"/>
          <w:lang w:val="es-ES"/>
        </w:rPr>
      </w:pPr>
      <w:r w:rsidRPr="0010237C">
        <w:rPr>
          <w:rFonts w:ascii="Verdana" w:eastAsia="Times" w:hAnsi="Verdana"/>
          <w:sz w:val="20"/>
          <w:szCs w:val="20"/>
          <w:lang w:val="es-ES"/>
        </w:rPr>
        <w:tab/>
      </w: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r w:rsidRPr="0010237C">
        <w:rPr>
          <w:rFonts w:ascii="Verdana" w:eastAsia="Times" w:hAnsi="Verdana"/>
          <w:sz w:val="20"/>
          <w:szCs w:val="20"/>
          <w:lang w:val="es-ES"/>
        </w:rPr>
        <w:t>Eduardo Ferrer Mac-</w:t>
      </w:r>
      <w:proofErr w:type="spellStart"/>
      <w:r w:rsidRPr="0010237C">
        <w:rPr>
          <w:rFonts w:ascii="Verdana" w:eastAsia="Times" w:hAnsi="Verdana"/>
          <w:sz w:val="20"/>
          <w:szCs w:val="20"/>
          <w:lang w:val="es-ES"/>
        </w:rPr>
        <w:t>Gregor</w:t>
      </w:r>
      <w:proofErr w:type="spellEnd"/>
      <w:r w:rsidRPr="0010237C">
        <w:rPr>
          <w:rFonts w:ascii="Verdana" w:eastAsia="Times" w:hAnsi="Verdana"/>
          <w:sz w:val="20"/>
          <w:szCs w:val="20"/>
          <w:lang w:val="es-ES"/>
        </w:rPr>
        <w:t xml:space="preserve"> </w:t>
      </w:r>
      <w:proofErr w:type="spellStart"/>
      <w:r w:rsidRPr="0010237C">
        <w:rPr>
          <w:rFonts w:ascii="Verdana" w:eastAsia="Times" w:hAnsi="Verdana"/>
          <w:sz w:val="20"/>
          <w:szCs w:val="20"/>
          <w:lang w:val="es-ES"/>
        </w:rPr>
        <w:t>Poisot</w:t>
      </w:r>
      <w:proofErr w:type="spellEnd"/>
      <w:r w:rsidRPr="0010237C">
        <w:rPr>
          <w:rFonts w:ascii="Verdana" w:eastAsia="Times" w:hAnsi="Verdana"/>
          <w:sz w:val="20"/>
          <w:szCs w:val="20"/>
          <w:lang w:val="es-ES"/>
        </w:rPr>
        <w:tab/>
      </w:r>
      <w:r w:rsidRPr="0010237C">
        <w:rPr>
          <w:rFonts w:ascii="Verdana" w:eastAsia="Times" w:hAnsi="Verdana"/>
          <w:sz w:val="20"/>
          <w:szCs w:val="20"/>
          <w:lang w:val="es-ES"/>
        </w:rPr>
        <w:tab/>
      </w:r>
      <w:r w:rsidRPr="0010237C">
        <w:rPr>
          <w:rFonts w:ascii="Verdana" w:eastAsia="Times" w:hAnsi="Verdana"/>
          <w:sz w:val="20"/>
          <w:szCs w:val="20"/>
          <w:lang w:val="es-ES"/>
        </w:rPr>
        <w:tab/>
      </w:r>
      <w:r w:rsidRPr="0010237C">
        <w:rPr>
          <w:rFonts w:ascii="Verdana" w:eastAsia="Times" w:hAnsi="Verdana"/>
          <w:sz w:val="20"/>
          <w:szCs w:val="20"/>
          <w:lang w:val="es-ES"/>
        </w:rPr>
        <w:tab/>
      </w:r>
      <w:r w:rsidRPr="0010237C">
        <w:rPr>
          <w:rFonts w:ascii="Verdana" w:eastAsia="Times" w:hAnsi="Verdana"/>
          <w:sz w:val="20"/>
          <w:szCs w:val="20"/>
          <w:lang w:val="es-ES"/>
        </w:rPr>
        <w:tab/>
        <w:t xml:space="preserve">       Eduardo Vio Grossi</w:t>
      </w: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r w:rsidRPr="0010237C">
        <w:rPr>
          <w:rFonts w:ascii="Verdana" w:eastAsia="Times" w:hAnsi="Verdana"/>
          <w:sz w:val="20"/>
          <w:szCs w:val="20"/>
          <w:lang w:val="es-ES"/>
        </w:rPr>
        <w:t>Humberto Antonio Sierra Porto</w:t>
      </w:r>
      <w:r w:rsidRPr="0010237C">
        <w:rPr>
          <w:rFonts w:ascii="Verdana" w:eastAsia="Times" w:hAnsi="Verdana"/>
          <w:sz w:val="20"/>
          <w:szCs w:val="20"/>
          <w:lang w:val="es-ES"/>
        </w:rPr>
        <w:tab/>
      </w:r>
      <w:r w:rsidRPr="0010237C">
        <w:rPr>
          <w:rFonts w:ascii="Verdana" w:eastAsia="Times" w:hAnsi="Verdana"/>
          <w:sz w:val="20"/>
          <w:szCs w:val="20"/>
          <w:lang w:val="es-ES"/>
        </w:rPr>
        <w:tab/>
      </w:r>
      <w:r w:rsidRPr="0010237C">
        <w:rPr>
          <w:rFonts w:ascii="Verdana" w:eastAsia="Times" w:hAnsi="Verdana"/>
          <w:sz w:val="20"/>
          <w:szCs w:val="20"/>
          <w:lang w:val="es-ES"/>
        </w:rPr>
        <w:tab/>
      </w:r>
      <w:r w:rsidRPr="0010237C">
        <w:rPr>
          <w:rFonts w:ascii="Verdana" w:eastAsia="Times" w:hAnsi="Verdana"/>
          <w:sz w:val="20"/>
          <w:szCs w:val="20"/>
          <w:lang w:val="es-ES"/>
        </w:rPr>
        <w:tab/>
      </w:r>
      <w:r w:rsidRPr="0010237C">
        <w:rPr>
          <w:rFonts w:ascii="Verdana" w:eastAsia="Times" w:hAnsi="Verdana"/>
          <w:sz w:val="20"/>
          <w:szCs w:val="20"/>
          <w:lang w:val="es-ES"/>
        </w:rPr>
        <w:tab/>
        <w:t xml:space="preserve">    Elizabeth Odio Benito </w:t>
      </w: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rPr>
          <w:rFonts w:ascii="Verdana" w:eastAsia="Times" w:hAnsi="Verdana"/>
          <w:sz w:val="20"/>
          <w:szCs w:val="20"/>
          <w:lang w:val="es-ES"/>
        </w:rPr>
      </w:pPr>
      <w:r w:rsidRPr="0010237C">
        <w:rPr>
          <w:rFonts w:ascii="Verdana" w:eastAsia="Times" w:hAnsi="Verdana"/>
          <w:sz w:val="20"/>
          <w:szCs w:val="20"/>
          <w:lang w:val="es-ES"/>
        </w:rPr>
        <w:t xml:space="preserve">Eugenio Raúl </w:t>
      </w:r>
      <w:proofErr w:type="spellStart"/>
      <w:r w:rsidRPr="0010237C">
        <w:rPr>
          <w:rFonts w:ascii="Verdana" w:eastAsia="Times" w:hAnsi="Verdana"/>
          <w:sz w:val="20"/>
          <w:szCs w:val="20"/>
          <w:lang w:val="es-ES"/>
        </w:rPr>
        <w:t>Zaffaroni</w:t>
      </w:r>
      <w:proofErr w:type="spellEnd"/>
      <w:r w:rsidRPr="0010237C">
        <w:rPr>
          <w:rFonts w:ascii="Verdana" w:eastAsia="Times" w:hAnsi="Verdana"/>
          <w:sz w:val="20"/>
          <w:szCs w:val="20"/>
          <w:lang w:val="es-ES"/>
        </w:rPr>
        <w:t xml:space="preserve"> </w:t>
      </w:r>
      <w:r w:rsidRPr="0010237C">
        <w:rPr>
          <w:rFonts w:ascii="Verdana" w:eastAsia="Times" w:hAnsi="Verdana"/>
          <w:sz w:val="20"/>
          <w:szCs w:val="20"/>
          <w:lang w:val="es-ES"/>
        </w:rPr>
        <w:tab/>
      </w:r>
      <w:r w:rsidRPr="0010237C">
        <w:rPr>
          <w:rFonts w:ascii="Verdana" w:eastAsia="Times" w:hAnsi="Verdana"/>
          <w:sz w:val="20"/>
          <w:szCs w:val="20"/>
          <w:lang w:val="es-ES"/>
        </w:rPr>
        <w:tab/>
      </w:r>
      <w:r w:rsidRPr="0010237C">
        <w:rPr>
          <w:rFonts w:ascii="Verdana" w:eastAsia="Times" w:hAnsi="Verdana"/>
          <w:sz w:val="20"/>
          <w:szCs w:val="20"/>
          <w:lang w:val="es-ES"/>
        </w:rPr>
        <w:tab/>
      </w:r>
      <w:r w:rsidRPr="0010237C">
        <w:rPr>
          <w:rFonts w:ascii="Verdana" w:eastAsia="Times" w:hAnsi="Verdana"/>
          <w:sz w:val="20"/>
          <w:szCs w:val="20"/>
          <w:lang w:val="es-ES"/>
        </w:rPr>
        <w:tab/>
      </w:r>
      <w:r w:rsidRPr="0010237C">
        <w:rPr>
          <w:rFonts w:ascii="Verdana" w:eastAsia="Times" w:hAnsi="Verdana"/>
          <w:sz w:val="20"/>
          <w:szCs w:val="20"/>
          <w:lang w:val="es-ES"/>
        </w:rPr>
        <w:tab/>
        <w:t xml:space="preserve">        L. Patricio Pazmiño Freire</w:t>
      </w: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center"/>
        <w:rPr>
          <w:rFonts w:ascii="Verdana" w:eastAsia="Times" w:hAnsi="Verdana"/>
          <w:sz w:val="20"/>
          <w:szCs w:val="20"/>
          <w:lang w:val="es-ES"/>
        </w:rPr>
      </w:pPr>
      <w:r w:rsidRPr="0010237C">
        <w:rPr>
          <w:rFonts w:ascii="Verdana" w:eastAsia="Times" w:hAnsi="Verdana"/>
          <w:sz w:val="20"/>
          <w:szCs w:val="20"/>
          <w:lang w:val="es-ES"/>
        </w:rPr>
        <w:t>Pablo Saavedra Alessandri</w:t>
      </w:r>
    </w:p>
    <w:p w:rsidR="0010237C" w:rsidRPr="0010237C" w:rsidRDefault="0010237C" w:rsidP="0010237C">
      <w:pPr>
        <w:spacing w:after="0" w:line="240" w:lineRule="auto"/>
        <w:jc w:val="center"/>
        <w:rPr>
          <w:rFonts w:ascii="Verdana" w:eastAsia="Times" w:hAnsi="Verdana"/>
          <w:sz w:val="20"/>
          <w:szCs w:val="20"/>
          <w:lang w:val="es-ES"/>
        </w:rPr>
      </w:pPr>
      <w:r w:rsidRPr="0010237C">
        <w:rPr>
          <w:rFonts w:ascii="Verdana" w:eastAsia="Times" w:hAnsi="Verdana"/>
          <w:sz w:val="20"/>
          <w:szCs w:val="20"/>
          <w:lang w:val="es-ES"/>
        </w:rPr>
        <w:t>Secretario</w:t>
      </w:r>
    </w:p>
    <w:p w:rsidR="0010237C" w:rsidRPr="0010237C" w:rsidRDefault="0010237C" w:rsidP="0010237C">
      <w:pPr>
        <w:spacing w:after="0" w:line="240" w:lineRule="auto"/>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r w:rsidRPr="0010237C">
        <w:rPr>
          <w:rFonts w:ascii="Verdana" w:eastAsia="Times" w:hAnsi="Verdana"/>
          <w:sz w:val="20"/>
          <w:szCs w:val="20"/>
          <w:lang w:val="es-ES"/>
        </w:rPr>
        <w:t>Comuníquese y ejecútese,</w:t>
      </w: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ind w:left="4956" w:firstLine="708"/>
        <w:jc w:val="center"/>
        <w:rPr>
          <w:rFonts w:ascii="Verdana" w:eastAsia="Times" w:hAnsi="Verdana"/>
          <w:sz w:val="20"/>
          <w:szCs w:val="20"/>
          <w:lang w:val="es-ES"/>
        </w:rPr>
      </w:pPr>
      <w:r w:rsidRPr="0010237C">
        <w:rPr>
          <w:rFonts w:ascii="Verdana" w:eastAsia="Times" w:hAnsi="Verdana"/>
          <w:sz w:val="20"/>
          <w:szCs w:val="20"/>
          <w:lang w:val="es-ES"/>
        </w:rPr>
        <w:t>Roberto F. Caldas</w:t>
      </w:r>
    </w:p>
    <w:p w:rsidR="0010237C" w:rsidRPr="0010237C" w:rsidRDefault="0010237C" w:rsidP="0010237C">
      <w:pPr>
        <w:spacing w:after="0" w:line="240" w:lineRule="auto"/>
        <w:ind w:left="4956" w:firstLine="708"/>
        <w:jc w:val="center"/>
        <w:rPr>
          <w:rFonts w:ascii="Verdana" w:eastAsia="Times" w:hAnsi="Verdana"/>
          <w:sz w:val="20"/>
          <w:szCs w:val="20"/>
          <w:lang w:val="es-ES"/>
        </w:rPr>
      </w:pPr>
      <w:r w:rsidRPr="0010237C">
        <w:rPr>
          <w:rFonts w:ascii="Verdana" w:eastAsia="Times" w:hAnsi="Verdana"/>
          <w:sz w:val="20"/>
          <w:szCs w:val="20"/>
          <w:lang w:val="es-ES"/>
        </w:rPr>
        <w:t xml:space="preserve">Presidente </w:t>
      </w: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p>
    <w:p w:rsidR="0010237C" w:rsidRPr="0010237C" w:rsidRDefault="0010237C" w:rsidP="0010237C">
      <w:pPr>
        <w:spacing w:after="0" w:line="240" w:lineRule="auto"/>
        <w:jc w:val="both"/>
        <w:rPr>
          <w:rFonts w:ascii="Verdana" w:eastAsia="Times" w:hAnsi="Verdana"/>
          <w:sz w:val="20"/>
          <w:szCs w:val="20"/>
          <w:lang w:val="es-ES"/>
        </w:rPr>
      </w:pPr>
      <w:r w:rsidRPr="0010237C">
        <w:rPr>
          <w:rFonts w:ascii="Verdana" w:eastAsia="Times" w:hAnsi="Verdana"/>
          <w:sz w:val="20"/>
          <w:szCs w:val="20"/>
          <w:lang w:val="es-ES"/>
        </w:rPr>
        <w:t>Pablo Saavedra Alessandri</w:t>
      </w:r>
    </w:p>
    <w:p w:rsidR="0010237C" w:rsidRPr="0010237C" w:rsidRDefault="0010237C" w:rsidP="0010237C">
      <w:pPr>
        <w:spacing w:after="0" w:line="240" w:lineRule="auto"/>
        <w:rPr>
          <w:rFonts w:ascii="Verdana" w:eastAsia="Times" w:hAnsi="Verdana"/>
          <w:sz w:val="20"/>
          <w:szCs w:val="20"/>
        </w:rPr>
      </w:pPr>
      <w:r w:rsidRPr="0010237C">
        <w:rPr>
          <w:rFonts w:ascii="Verdana" w:eastAsia="Times" w:hAnsi="Verdana"/>
          <w:sz w:val="20"/>
          <w:szCs w:val="20"/>
          <w:lang w:val="es-ES"/>
        </w:rPr>
        <w:tab/>
      </w:r>
      <w:r w:rsidRPr="0010237C">
        <w:rPr>
          <w:rFonts w:ascii="Verdana" w:eastAsia="Times" w:hAnsi="Verdana"/>
          <w:sz w:val="20"/>
          <w:szCs w:val="20"/>
        </w:rPr>
        <w:t>Secretario</w:t>
      </w:r>
    </w:p>
    <w:p w:rsidR="00F051C9" w:rsidRDefault="00F051C9" w:rsidP="00F75AD0">
      <w:pPr>
        <w:spacing w:line="240" w:lineRule="auto"/>
        <w:ind w:right="4"/>
        <w:jc w:val="both"/>
      </w:pPr>
    </w:p>
    <w:sectPr w:rsidR="00F051C9" w:rsidSect="002419CC">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B70" w:rsidRDefault="00373B70" w:rsidP="00AA14EA">
      <w:pPr>
        <w:spacing w:after="0" w:line="240" w:lineRule="auto"/>
      </w:pPr>
      <w:r>
        <w:separator/>
      </w:r>
    </w:p>
  </w:endnote>
  <w:endnote w:type="continuationSeparator" w:id="0">
    <w:p w:rsidR="00373B70" w:rsidRDefault="00373B70" w:rsidP="00AA1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E04" w:rsidRDefault="009C5E04">
    <w:pPr>
      <w:pStyle w:val="Piedepgina"/>
      <w:jc w:val="center"/>
    </w:pPr>
  </w:p>
  <w:p w:rsidR="009C5E04" w:rsidRDefault="009C5E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B70" w:rsidRDefault="00373B70" w:rsidP="00AA14EA">
      <w:pPr>
        <w:spacing w:after="0" w:line="240" w:lineRule="auto"/>
      </w:pPr>
      <w:r>
        <w:separator/>
      </w:r>
    </w:p>
  </w:footnote>
  <w:footnote w:type="continuationSeparator" w:id="0">
    <w:p w:rsidR="00373B70" w:rsidRDefault="00373B70" w:rsidP="00AA14EA">
      <w:pPr>
        <w:spacing w:after="0" w:line="240" w:lineRule="auto"/>
      </w:pPr>
      <w:r>
        <w:continuationSeparator/>
      </w:r>
    </w:p>
  </w:footnote>
  <w:footnote w:id="1">
    <w:p w:rsidR="0055292A" w:rsidRPr="00E135DD" w:rsidRDefault="0055292A" w:rsidP="00E135DD">
      <w:pPr>
        <w:pStyle w:val="Textonotapie"/>
        <w:jc w:val="both"/>
        <w:rPr>
          <w:rFonts w:ascii="Verdana" w:hAnsi="Verdana"/>
          <w:sz w:val="16"/>
          <w:szCs w:val="16"/>
          <w:lang w:val="es-ES_tradnl"/>
        </w:rPr>
      </w:pPr>
      <w:r w:rsidRPr="00E135DD">
        <w:rPr>
          <w:rStyle w:val="Refdenotaalpie"/>
          <w:rFonts w:ascii="Verdana" w:hAnsi="Verdana"/>
          <w:sz w:val="16"/>
          <w:szCs w:val="16"/>
        </w:rPr>
        <w:footnoteRef/>
      </w:r>
      <w:r w:rsidRPr="00E135DD">
        <w:rPr>
          <w:rFonts w:ascii="Verdana" w:hAnsi="Verdana"/>
          <w:sz w:val="16"/>
          <w:szCs w:val="16"/>
        </w:rPr>
        <w:t xml:space="preserve"> </w:t>
      </w:r>
      <w:r w:rsidRPr="00E135DD">
        <w:rPr>
          <w:rFonts w:ascii="Verdana" w:hAnsi="Verdana"/>
          <w:sz w:val="16"/>
          <w:szCs w:val="16"/>
        </w:rPr>
        <w:tab/>
      </w:r>
      <w:r w:rsidRPr="00E135DD">
        <w:rPr>
          <w:rFonts w:ascii="Verdana" w:hAnsi="Verdana"/>
          <w:i/>
          <w:sz w:val="16"/>
          <w:szCs w:val="16"/>
        </w:rPr>
        <w:t>Cfr</w:t>
      </w:r>
      <w:r w:rsidRPr="00E135DD">
        <w:rPr>
          <w:rFonts w:ascii="Verdana" w:hAnsi="Verdana"/>
          <w:sz w:val="16"/>
          <w:szCs w:val="16"/>
        </w:rPr>
        <w:t xml:space="preserve">. </w:t>
      </w:r>
      <w:r w:rsidRPr="00E135DD">
        <w:rPr>
          <w:rFonts w:ascii="Verdana" w:hAnsi="Verdana"/>
          <w:i/>
          <w:sz w:val="16"/>
          <w:szCs w:val="16"/>
        </w:rPr>
        <w:t>Caso Familia Barrios Vs. Venezuela. Fondo, Reparaciones y Costas</w:t>
      </w:r>
      <w:r w:rsidRPr="00E135DD">
        <w:rPr>
          <w:rFonts w:ascii="Verdana" w:hAnsi="Verdana"/>
          <w:sz w:val="16"/>
          <w:szCs w:val="16"/>
        </w:rPr>
        <w:t xml:space="preserve">. Sentencia de 24 de noviembre de 2011. Serie C No. 237. El texto íntegro de la Sentencia se encuentra disponible en: </w:t>
      </w:r>
      <w:hyperlink r:id="rId1" w:history="1">
        <w:r w:rsidRPr="00E135DD">
          <w:rPr>
            <w:rStyle w:val="Hipervnculo"/>
            <w:rFonts w:ascii="Verdana" w:hAnsi="Verdana"/>
            <w:sz w:val="16"/>
            <w:szCs w:val="16"/>
          </w:rPr>
          <w:t>http://corteidh.or.cr/docs/casos/articulos/seriec_237_esp.pdf</w:t>
        </w:r>
      </w:hyperlink>
      <w:r w:rsidRPr="00E135DD">
        <w:rPr>
          <w:rFonts w:ascii="Verdana" w:hAnsi="Verdana"/>
          <w:sz w:val="16"/>
          <w:szCs w:val="16"/>
        </w:rPr>
        <w:t xml:space="preserve">.   La Sentencia fue notificada al Estado el 19 de diciembre de 2011. </w:t>
      </w:r>
    </w:p>
  </w:footnote>
  <w:footnote w:id="2">
    <w:p w:rsidR="0055292A" w:rsidRPr="00E135DD" w:rsidRDefault="0055292A" w:rsidP="00E135DD">
      <w:pPr>
        <w:pStyle w:val="Textonotapie"/>
        <w:jc w:val="both"/>
        <w:rPr>
          <w:rFonts w:ascii="Verdana" w:hAnsi="Verdana"/>
          <w:sz w:val="16"/>
          <w:szCs w:val="16"/>
          <w:lang w:val="es-ES_tradnl"/>
        </w:rPr>
      </w:pPr>
      <w:r w:rsidRPr="00E135DD">
        <w:rPr>
          <w:rStyle w:val="Refdenotaalpie"/>
          <w:rFonts w:ascii="Verdana" w:hAnsi="Verdana"/>
          <w:sz w:val="16"/>
          <w:szCs w:val="16"/>
        </w:rPr>
        <w:footnoteRef/>
      </w:r>
      <w:r w:rsidRPr="00E135DD">
        <w:rPr>
          <w:rFonts w:ascii="Verdana" w:hAnsi="Verdana"/>
          <w:sz w:val="16"/>
          <w:szCs w:val="16"/>
        </w:rPr>
        <w:t xml:space="preserve"> </w:t>
      </w:r>
      <w:r w:rsidRPr="00E135DD">
        <w:rPr>
          <w:rFonts w:ascii="Verdana" w:hAnsi="Verdana"/>
          <w:sz w:val="16"/>
          <w:szCs w:val="16"/>
          <w:lang w:val="es-ES_tradnl"/>
        </w:rPr>
        <w:tab/>
        <w:t xml:space="preserve">Respecto de uno de ellos, funcionarios </w:t>
      </w:r>
      <w:r w:rsidR="007F2B3F">
        <w:rPr>
          <w:rFonts w:ascii="Verdana" w:hAnsi="Verdana"/>
          <w:sz w:val="16"/>
          <w:szCs w:val="16"/>
          <w:lang w:val="es-ES_tradnl"/>
        </w:rPr>
        <w:t>policiales</w:t>
      </w:r>
      <w:r w:rsidRPr="00E135DD">
        <w:rPr>
          <w:rFonts w:ascii="Verdana" w:hAnsi="Verdana"/>
          <w:sz w:val="16"/>
          <w:szCs w:val="16"/>
          <w:lang w:val="es-ES_tradnl"/>
        </w:rPr>
        <w:t xml:space="preserve"> </w:t>
      </w:r>
      <w:r w:rsidRPr="00E135DD">
        <w:rPr>
          <w:rFonts w:ascii="Verdana" w:hAnsi="Verdana"/>
          <w:noProof/>
          <w:sz w:val="16"/>
          <w:szCs w:val="16"/>
        </w:rPr>
        <w:t xml:space="preserve">participaron en el atentado que ocasionó su muerte. </w:t>
      </w:r>
    </w:p>
  </w:footnote>
  <w:footnote w:id="3">
    <w:p w:rsidR="0055292A" w:rsidRPr="00E135DD" w:rsidRDefault="0055292A" w:rsidP="00440DE4">
      <w:pPr>
        <w:pStyle w:val="Textonotapie"/>
        <w:jc w:val="both"/>
        <w:rPr>
          <w:rFonts w:ascii="Verdana" w:hAnsi="Verdana"/>
          <w:sz w:val="16"/>
          <w:szCs w:val="16"/>
        </w:rPr>
      </w:pPr>
      <w:r w:rsidRPr="00E135DD">
        <w:rPr>
          <w:rStyle w:val="Refdenotaalpie"/>
          <w:rFonts w:ascii="Verdana" w:hAnsi="Verdana"/>
          <w:sz w:val="16"/>
          <w:szCs w:val="16"/>
        </w:rPr>
        <w:footnoteRef/>
      </w:r>
      <w:r w:rsidRPr="00E135DD">
        <w:rPr>
          <w:rFonts w:ascii="Verdana" w:hAnsi="Verdana"/>
          <w:sz w:val="16"/>
          <w:szCs w:val="16"/>
        </w:rPr>
        <w:t xml:space="preserve"> </w:t>
      </w:r>
      <w:r w:rsidRPr="00E135DD">
        <w:rPr>
          <w:rFonts w:ascii="Verdana" w:hAnsi="Verdana"/>
          <w:sz w:val="16"/>
          <w:szCs w:val="16"/>
        </w:rPr>
        <w:tab/>
      </w:r>
      <w:r w:rsidRPr="00E135DD">
        <w:rPr>
          <w:rFonts w:ascii="Verdana" w:hAnsi="Verdana"/>
          <w:i/>
          <w:sz w:val="16"/>
          <w:szCs w:val="16"/>
        </w:rPr>
        <w:t>Cfr</w:t>
      </w:r>
      <w:r w:rsidRPr="00E135DD">
        <w:rPr>
          <w:rFonts w:ascii="Verdana" w:hAnsi="Verdana"/>
          <w:sz w:val="16"/>
          <w:szCs w:val="16"/>
        </w:rPr>
        <w:t xml:space="preserve">. </w:t>
      </w:r>
      <w:r w:rsidRPr="00E135DD">
        <w:rPr>
          <w:rFonts w:ascii="Verdana" w:hAnsi="Verdana"/>
          <w:i/>
          <w:sz w:val="16"/>
          <w:szCs w:val="16"/>
        </w:rPr>
        <w:t>Caso Familia Barrios Vs. Venezuela.</w:t>
      </w:r>
      <w:r w:rsidRPr="00E135DD">
        <w:rPr>
          <w:rFonts w:ascii="Verdana" w:hAnsi="Verdana"/>
          <w:sz w:val="16"/>
          <w:szCs w:val="16"/>
        </w:rPr>
        <w:t xml:space="preserve"> </w:t>
      </w:r>
      <w:r w:rsidRPr="00E135DD">
        <w:rPr>
          <w:rFonts w:ascii="Verdana" w:hAnsi="Verdana"/>
          <w:i/>
          <w:sz w:val="16"/>
          <w:szCs w:val="16"/>
        </w:rPr>
        <w:t xml:space="preserve">Supervisión de Cumplimiento de Sentencia. </w:t>
      </w:r>
      <w:r w:rsidRPr="00632F2C">
        <w:rPr>
          <w:rFonts w:ascii="Verdana" w:hAnsi="Verdana"/>
          <w:sz w:val="16"/>
          <w:szCs w:val="16"/>
        </w:rPr>
        <w:t>Resolución de la Corte Interamericana de Derechos Humanos de 2 de septiembre de 2015.</w:t>
      </w:r>
      <w:r w:rsidRPr="00E135DD">
        <w:rPr>
          <w:rFonts w:ascii="Verdana" w:hAnsi="Verdana"/>
          <w:sz w:val="16"/>
          <w:szCs w:val="16"/>
        </w:rPr>
        <w:t xml:space="preserve"> El texto íntegro de dicha decisión se encuentra disponible en: </w:t>
      </w:r>
      <w:hyperlink r:id="rId2" w:history="1">
        <w:r w:rsidRPr="00E135DD">
          <w:rPr>
            <w:rStyle w:val="Hipervnculo"/>
            <w:rFonts w:ascii="Verdana" w:hAnsi="Verdana"/>
            <w:sz w:val="16"/>
            <w:szCs w:val="16"/>
          </w:rPr>
          <w:t>http://www.corteidh.or.cr/docs/supervisiones/barrios_02_09_15.pdf</w:t>
        </w:r>
      </w:hyperlink>
      <w:r w:rsidRPr="00E135DD">
        <w:rPr>
          <w:rFonts w:ascii="Verdana" w:hAnsi="Verdana"/>
          <w:sz w:val="16"/>
          <w:szCs w:val="16"/>
        </w:rPr>
        <w:t xml:space="preserve"> </w:t>
      </w:r>
    </w:p>
  </w:footnote>
  <w:footnote w:id="4">
    <w:p w:rsidR="0055292A" w:rsidRPr="00E135DD" w:rsidRDefault="0055292A" w:rsidP="00440DE4">
      <w:pPr>
        <w:pStyle w:val="Textonotapie"/>
        <w:jc w:val="both"/>
        <w:rPr>
          <w:rFonts w:ascii="Verdana" w:hAnsi="Verdana"/>
          <w:sz w:val="16"/>
          <w:szCs w:val="16"/>
        </w:rPr>
      </w:pPr>
      <w:r w:rsidRPr="00E135DD">
        <w:rPr>
          <w:rStyle w:val="Refdenotaalpie"/>
          <w:rFonts w:ascii="Verdana" w:hAnsi="Verdana"/>
          <w:sz w:val="16"/>
          <w:szCs w:val="16"/>
        </w:rPr>
        <w:footnoteRef/>
      </w:r>
      <w:r w:rsidRPr="00E135DD">
        <w:rPr>
          <w:rFonts w:ascii="Verdana" w:hAnsi="Verdana"/>
          <w:sz w:val="16"/>
          <w:szCs w:val="16"/>
        </w:rPr>
        <w:t xml:space="preserve"> </w:t>
      </w:r>
      <w:r w:rsidRPr="00E135DD">
        <w:rPr>
          <w:rFonts w:ascii="Verdana" w:hAnsi="Verdana"/>
          <w:sz w:val="16"/>
          <w:szCs w:val="16"/>
        </w:rPr>
        <w:tab/>
      </w:r>
      <w:r w:rsidRPr="00E135DD">
        <w:rPr>
          <w:rFonts w:ascii="Verdana" w:hAnsi="Verdana"/>
          <w:i/>
          <w:sz w:val="16"/>
          <w:szCs w:val="16"/>
        </w:rPr>
        <w:t>Cfr</w:t>
      </w:r>
      <w:r w:rsidRPr="00E135DD">
        <w:rPr>
          <w:rFonts w:ascii="Verdana" w:hAnsi="Verdana"/>
          <w:sz w:val="16"/>
          <w:szCs w:val="16"/>
        </w:rPr>
        <w:t xml:space="preserve">. </w:t>
      </w:r>
      <w:r w:rsidRPr="00E135DD">
        <w:rPr>
          <w:rFonts w:ascii="Verdana" w:hAnsi="Verdana"/>
          <w:i/>
          <w:sz w:val="16"/>
          <w:szCs w:val="16"/>
        </w:rPr>
        <w:t>Caso Familia Barrios Vs. Venezuela.</w:t>
      </w:r>
      <w:r w:rsidRPr="00E135DD">
        <w:rPr>
          <w:rFonts w:ascii="Verdana" w:hAnsi="Verdana"/>
          <w:sz w:val="16"/>
          <w:szCs w:val="16"/>
        </w:rPr>
        <w:t xml:space="preserve"> </w:t>
      </w:r>
      <w:r w:rsidRPr="00E135DD">
        <w:rPr>
          <w:rFonts w:ascii="Verdana" w:hAnsi="Verdana"/>
          <w:i/>
          <w:sz w:val="16"/>
          <w:szCs w:val="16"/>
        </w:rPr>
        <w:t xml:space="preserve">Supervisión de Cumplimiento de Sentencia. </w:t>
      </w:r>
      <w:r w:rsidRPr="00632F2C">
        <w:rPr>
          <w:rFonts w:ascii="Verdana" w:hAnsi="Verdana"/>
          <w:sz w:val="16"/>
          <w:szCs w:val="16"/>
        </w:rPr>
        <w:t>Resolución de la Corte Interamericana de Derechos Humanos de 23 de febrero de 2016.</w:t>
      </w:r>
      <w:r w:rsidRPr="00E135DD">
        <w:rPr>
          <w:rFonts w:ascii="Verdana" w:hAnsi="Verdana"/>
          <w:sz w:val="16"/>
          <w:szCs w:val="16"/>
        </w:rPr>
        <w:t xml:space="preserve"> El texto íntegro de dicha decisión se encuentra disponible en: </w:t>
      </w:r>
      <w:hyperlink r:id="rId3" w:history="1">
        <w:r w:rsidRPr="00E135DD">
          <w:rPr>
            <w:rStyle w:val="Hipervnculo"/>
            <w:rFonts w:ascii="Verdana" w:hAnsi="Verdana"/>
            <w:sz w:val="16"/>
            <w:szCs w:val="16"/>
          </w:rPr>
          <w:t>http://www.corteidh.or.cr/docs/supervisiones/barrios_23_02_16.pdf</w:t>
        </w:r>
      </w:hyperlink>
      <w:r w:rsidRPr="00E135DD">
        <w:rPr>
          <w:rFonts w:ascii="Verdana" w:hAnsi="Verdana"/>
          <w:sz w:val="16"/>
          <w:szCs w:val="16"/>
        </w:rPr>
        <w:t xml:space="preserve"> </w:t>
      </w:r>
    </w:p>
  </w:footnote>
  <w:footnote w:id="5">
    <w:p w:rsidR="001E5F79" w:rsidRDefault="001E5F79" w:rsidP="001E5F79">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El escrito fue presentado conjuntamente por el Centro por la Justicia y el Derecho Internacional (CEJIL), el Comité de Familiares de las Víctimas</w:t>
      </w:r>
      <w:r w:rsidR="007F2B3F">
        <w:rPr>
          <w:rFonts w:ascii="Verdana" w:hAnsi="Verdana"/>
          <w:sz w:val="16"/>
          <w:szCs w:val="16"/>
        </w:rPr>
        <w:t xml:space="preserve"> de los Sucesos de Febrero y Marzo de 1989</w:t>
      </w:r>
      <w:r>
        <w:rPr>
          <w:rFonts w:ascii="Verdana" w:hAnsi="Verdana"/>
          <w:sz w:val="16"/>
          <w:szCs w:val="16"/>
        </w:rPr>
        <w:t xml:space="preserve"> (COFAVIC), Vicaría Episcopal de Derechos Humanos de Caracas, la Comisión de Derechos Humanos de Justicia y Paz del Estado Aragua y el Programa Venezolano de Educación-Acción en Derechos Humanos (PROVEA), en relación con el incumplimiento de los siguientes siete casos contra Venezuela: (i) El Amparo; (ii) del Caracazo; (iii) Blanco Romero y otros; (iv) Montero Aranguren y otros; (v) Familia Barrios; (vi) Hermanos Landaeta Mejías y otros, y (vii) </w:t>
      </w:r>
      <w:proofErr w:type="spellStart"/>
      <w:r>
        <w:rPr>
          <w:rFonts w:ascii="Verdana" w:hAnsi="Verdana"/>
          <w:sz w:val="16"/>
          <w:szCs w:val="16"/>
        </w:rPr>
        <w:t>Uzcátegui</w:t>
      </w:r>
      <w:proofErr w:type="spellEnd"/>
      <w:r>
        <w:rPr>
          <w:rFonts w:ascii="Verdana" w:hAnsi="Verdana"/>
          <w:sz w:val="16"/>
          <w:szCs w:val="16"/>
        </w:rPr>
        <w:t xml:space="preserve"> y otros Vs. Venezuela.</w:t>
      </w:r>
    </w:p>
  </w:footnote>
  <w:footnote w:id="6">
    <w:p w:rsidR="0055292A" w:rsidRPr="00E135DD" w:rsidRDefault="0055292A" w:rsidP="00E135DD">
      <w:pPr>
        <w:pStyle w:val="Textonotapie"/>
        <w:ind w:right="4"/>
        <w:jc w:val="both"/>
        <w:rPr>
          <w:rFonts w:ascii="Verdana" w:hAnsi="Verdana"/>
          <w:sz w:val="16"/>
          <w:szCs w:val="16"/>
        </w:rPr>
      </w:pPr>
      <w:r w:rsidRPr="00E135DD">
        <w:rPr>
          <w:rStyle w:val="Refdenotaalpie"/>
          <w:rFonts w:ascii="Verdana" w:hAnsi="Verdana"/>
          <w:sz w:val="16"/>
          <w:szCs w:val="16"/>
        </w:rPr>
        <w:footnoteRef/>
      </w:r>
      <w:r w:rsidRPr="00E135DD">
        <w:rPr>
          <w:rFonts w:ascii="Verdana" w:hAnsi="Verdana"/>
          <w:sz w:val="16"/>
          <w:szCs w:val="16"/>
        </w:rPr>
        <w:t xml:space="preserve"> </w:t>
      </w:r>
      <w:r w:rsidRPr="00E135DD">
        <w:rPr>
          <w:rFonts w:ascii="Verdana" w:hAnsi="Verdana"/>
          <w:sz w:val="16"/>
          <w:szCs w:val="16"/>
        </w:rPr>
        <w:tab/>
        <w:t xml:space="preserve">Facultad que además </w:t>
      </w:r>
      <w:r w:rsidRPr="00E135DD">
        <w:rPr>
          <w:rFonts w:ascii="Verdana" w:hAnsi="Verdana"/>
          <w:sz w:val="16"/>
          <w:szCs w:val="16"/>
          <w:lang w:val="es-ES"/>
        </w:rPr>
        <w:t xml:space="preserve">se desprende de lo dispuesto en los artículos 33, 62.1, 62.3 y 65 de la Convención Americana y </w:t>
      </w:r>
      <w:r w:rsidRPr="00E135DD">
        <w:rPr>
          <w:rFonts w:ascii="Verdana" w:hAnsi="Verdana"/>
          <w:sz w:val="16"/>
          <w:szCs w:val="16"/>
        </w:rPr>
        <w:t>30 de su Estatuto y se encuentra regulada en el artículo 69 de su Reglamento.</w:t>
      </w:r>
    </w:p>
  </w:footnote>
  <w:footnote w:id="7">
    <w:p w:rsidR="002D31ED" w:rsidRPr="00E135DD" w:rsidRDefault="002D31ED" w:rsidP="002D31ED">
      <w:pPr>
        <w:pStyle w:val="Textonotapie"/>
        <w:jc w:val="both"/>
        <w:rPr>
          <w:rFonts w:ascii="Verdana" w:hAnsi="Verdana"/>
          <w:sz w:val="16"/>
          <w:szCs w:val="16"/>
        </w:rPr>
      </w:pPr>
      <w:r w:rsidRPr="00E135DD">
        <w:rPr>
          <w:rStyle w:val="Refdenotaalpie"/>
          <w:rFonts w:ascii="Verdana" w:hAnsi="Verdana"/>
          <w:sz w:val="16"/>
          <w:szCs w:val="16"/>
        </w:rPr>
        <w:footnoteRef/>
      </w:r>
      <w:r w:rsidRPr="00E135DD">
        <w:rPr>
          <w:rFonts w:ascii="Verdana" w:hAnsi="Verdana"/>
          <w:sz w:val="16"/>
          <w:szCs w:val="16"/>
        </w:rPr>
        <w:t xml:space="preserve"> </w:t>
      </w:r>
      <w:r w:rsidRPr="00E135DD">
        <w:rPr>
          <w:rFonts w:ascii="Verdana" w:hAnsi="Verdana"/>
          <w:sz w:val="16"/>
          <w:szCs w:val="16"/>
        </w:rPr>
        <w:tab/>
        <w:t xml:space="preserve">Las reparaciones dispuestas en la Sentencia pendientes de cumplimiento </w:t>
      </w:r>
      <w:r w:rsidRPr="00E135DD">
        <w:rPr>
          <w:rFonts w:ascii="Verdana" w:hAnsi="Verdana"/>
          <w:sz w:val="16"/>
          <w:szCs w:val="16"/>
          <w:lang w:val="es-MX"/>
        </w:rPr>
        <w:t>son</w:t>
      </w:r>
      <w:r w:rsidR="00A050C6">
        <w:rPr>
          <w:rFonts w:ascii="Verdana" w:hAnsi="Verdana"/>
          <w:sz w:val="16"/>
          <w:szCs w:val="16"/>
          <w:lang w:val="es-MX"/>
        </w:rPr>
        <w:t>:</w:t>
      </w:r>
      <w:r w:rsidRPr="00E135DD">
        <w:rPr>
          <w:rFonts w:ascii="Verdana" w:hAnsi="Verdana"/>
          <w:sz w:val="16"/>
          <w:szCs w:val="16"/>
          <w:lang w:val="es-MX"/>
        </w:rPr>
        <w:t xml:space="preserve"> i) la obligación de conducir eficazmente la investigación penal de los hechos del presente caso; ii) examinar las eventuales irregularidades procesales e investigativas y dado el caso sancionar la conducta de los servidores públicos; iii) brindar atención médica y psicológica gratuita a las víctimas que lo solicitaren; iv) realizar las publicaciones de la Sentencia o su resumen oficial ordenadas</w:t>
      </w:r>
      <w:r w:rsidRPr="00E135DD">
        <w:rPr>
          <w:rFonts w:ascii="Verdana" w:hAnsi="Verdana"/>
          <w:sz w:val="16"/>
          <w:szCs w:val="16"/>
        </w:rPr>
        <w:t>;</w:t>
      </w:r>
      <w:r w:rsidRPr="00E135DD">
        <w:rPr>
          <w:rFonts w:ascii="Verdana" w:hAnsi="Verdana"/>
          <w:sz w:val="16"/>
          <w:szCs w:val="16"/>
          <w:lang w:val="es-MX"/>
        </w:rPr>
        <w:t xml:space="preserve"> v) realizar un acto público de reconocimiento de responsabilidad internacional; vi) otorgar becas de estudio en instituciones públicas venezolanas en beneficio de las personas indicadas en la Sentencia; vii) continuar con acciones en materia de capacitación, e implementar un programa o curso obligatorio sobre los principios y normas de protección de los derechos humanos como parte de la formación general y continua de los policías del estado Aragua, y viii) pagar las cantidades fijadas en la Sentencia por concepto de indemnización de daño material e inmaterial, reintegro de costas y gastos, y el reintegro al Fondo de Asistencia Legal de Víctimas ordenado en la Sentencia.</w:t>
      </w:r>
    </w:p>
  </w:footnote>
  <w:footnote w:id="8">
    <w:p w:rsidR="0055292A" w:rsidRPr="00E135DD" w:rsidRDefault="0055292A" w:rsidP="00E135DD">
      <w:pPr>
        <w:pStyle w:val="Textonotapie"/>
        <w:jc w:val="both"/>
        <w:rPr>
          <w:rFonts w:ascii="Verdana" w:hAnsi="Verdana"/>
          <w:sz w:val="16"/>
          <w:szCs w:val="16"/>
        </w:rPr>
      </w:pPr>
      <w:r w:rsidRPr="00E135DD">
        <w:rPr>
          <w:rStyle w:val="Refdenotaalpie"/>
          <w:rFonts w:ascii="Verdana" w:hAnsi="Verdana"/>
          <w:sz w:val="16"/>
          <w:szCs w:val="16"/>
        </w:rPr>
        <w:footnoteRef/>
      </w:r>
      <w:r w:rsidRPr="00E135DD">
        <w:rPr>
          <w:rFonts w:ascii="Verdana" w:hAnsi="Verdana"/>
          <w:sz w:val="16"/>
          <w:szCs w:val="16"/>
        </w:rPr>
        <w:t xml:space="preserve"> </w:t>
      </w:r>
      <w:r w:rsidRPr="00E135DD">
        <w:rPr>
          <w:rFonts w:ascii="Verdana" w:hAnsi="Verdana"/>
          <w:sz w:val="16"/>
          <w:szCs w:val="16"/>
        </w:rPr>
        <w:tab/>
        <w:t>La Corte constató que el Estado no brindó al Tribunal información que le permita verificar siquiera algún avance dirigido al cumplimiento de las reparaciones ordenadas en la Sentencia</w:t>
      </w:r>
      <w:r w:rsidR="007F2B3F">
        <w:rPr>
          <w:rFonts w:ascii="Verdana" w:hAnsi="Verdana"/>
          <w:sz w:val="16"/>
          <w:szCs w:val="16"/>
        </w:rPr>
        <w:t>.</w:t>
      </w:r>
      <w:r w:rsidRPr="00E135DD">
        <w:rPr>
          <w:rFonts w:ascii="Verdana" w:hAnsi="Verdana"/>
          <w:sz w:val="16"/>
          <w:szCs w:val="16"/>
        </w:rPr>
        <w:t xml:space="preserve"> </w:t>
      </w:r>
      <w:proofErr w:type="spellStart"/>
      <w:r w:rsidR="007F2B3F">
        <w:rPr>
          <w:rFonts w:ascii="Verdana" w:hAnsi="Verdana"/>
          <w:sz w:val="16"/>
          <w:szCs w:val="16"/>
        </w:rPr>
        <w:t>A</w:t>
      </w:r>
      <w:r w:rsidRPr="00E135DD">
        <w:rPr>
          <w:rFonts w:ascii="Verdana" w:hAnsi="Verdana"/>
          <w:sz w:val="16"/>
          <w:szCs w:val="16"/>
        </w:rPr>
        <w:t>ún</w:t>
      </w:r>
      <w:proofErr w:type="spellEnd"/>
      <w:r w:rsidRPr="00E135DD">
        <w:rPr>
          <w:rFonts w:ascii="Verdana" w:hAnsi="Verdana"/>
          <w:sz w:val="16"/>
          <w:szCs w:val="16"/>
        </w:rPr>
        <w:t xml:space="preserve"> cuando la Corte valoró</w:t>
      </w:r>
      <w:r w:rsidR="007F2B3F">
        <w:rPr>
          <w:rFonts w:ascii="Verdana" w:hAnsi="Verdana"/>
          <w:sz w:val="16"/>
          <w:szCs w:val="16"/>
        </w:rPr>
        <w:t xml:space="preserve"> positivamente</w:t>
      </w:r>
      <w:r w:rsidRPr="00E135DD">
        <w:rPr>
          <w:rFonts w:ascii="Verdana" w:hAnsi="Verdana"/>
          <w:sz w:val="16"/>
          <w:szCs w:val="16"/>
        </w:rPr>
        <w:t xml:space="preserve"> que Venezuela participó en la audiencia de supervisión de cumplimiento de febrero de 2015</w:t>
      </w:r>
      <w:r w:rsidR="007F2B3F">
        <w:rPr>
          <w:rFonts w:ascii="Verdana" w:hAnsi="Verdana"/>
          <w:sz w:val="16"/>
          <w:szCs w:val="16"/>
        </w:rPr>
        <w:t xml:space="preserve"> sostuvo</w:t>
      </w:r>
      <w:r w:rsidRPr="00E135DD">
        <w:rPr>
          <w:rFonts w:ascii="Verdana" w:hAnsi="Verdana"/>
          <w:sz w:val="16"/>
          <w:szCs w:val="16"/>
        </w:rPr>
        <w:t xml:space="preserve">, la falta de presentación de información sobre el cumplimiento de </w:t>
      </w:r>
      <w:r w:rsidR="00C97634">
        <w:rPr>
          <w:rFonts w:ascii="Verdana" w:hAnsi="Verdana"/>
          <w:sz w:val="16"/>
          <w:szCs w:val="16"/>
        </w:rPr>
        <w:t>la mayoría de las</w:t>
      </w:r>
      <w:r w:rsidRPr="00E135DD">
        <w:rPr>
          <w:rFonts w:ascii="Verdana" w:hAnsi="Verdana"/>
          <w:sz w:val="16"/>
          <w:szCs w:val="16"/>
        </w:rPr>
        <w:t xml:space="preserve"> medidas de reparación y la falta de presentación por dos años y dos meses del informe requerido en la Sentencia constituyen un incumplimiento de la obligación estatal de informar al Tribunal sobre el cumplimiento de la Sentencia. </w:t>
      </w:r>
      <w:r w:rsidRPr="00E135DD">
        <w:rPr>
          <w:rFonts w:ascii="Verdana" w:hAnsi="Verdana"/>
          <w:i/>
          <w:sz w:val="16"/>
          <w:szCs w:val="16"/>
        </w:rPr>
        <w:t>Cfr</w:t>
      </w:r>
      <w:r w:rsidRPr="00E135DD">
        <w:rPr>
          <w:rFonts w:ascii="Verdana" w:hAnsi="Verdana"/>
          <w:sz w:val="16"/>
          <w:szCs w:val="16"/>
        </w:rPr>
        <w:t xml:space="preserve">. </w:t>
      </w:r>
      <w:r w:rsidRPr="00E135DD">
        <w:rPr>
          <w:rFonts w:ascii="Verdana" w:hAnsi="Verdana"/>
          <w:i/>
          <w:sz w:val="16"/>
          <w:szCs w:val="16"/>
        </w:rPr>
        <w:t>Caso Familia Barrios Vs. Venezuela.</w:t>
      </w:r>
      <w:r w:rsidRPr="00E135DD">
        <w:rPr>
          <w:rFonts w:ascii="Verdana" w:hAnsi="Verdana"/>
          <w:sz w:val="16"/>
          <w:szCs w:val="16"/>
        </w:rPr>
        <w:t xml:space="preserve"> </w:t>
      </w:r>
      <w:r w:rsidRPr="00E135DD">
        <w:rPr>
          <w:rFonts w:ascii="Verdana" w:hAnsi="Verdana"/>
          <w:i/>
          <w:sz w:val="16"/>
          <w:szCs w:val="16"/>
        </w:rPr>
        <w:t xml:space="preserve">Supervisión de Cumplimiento de Sentencia. </w:t>
      </w:r>
      <w:r w:rsidR="007F2B3F">
        <w:rPr>
          <w:rFonts w:ascii="Verdana" w:hAnsi="Verdana"/>
          <w:i/>
          <w:sz w:val="16"/>
          <w:szCs w:val="16"/>
        </w:rPr>
        <w:t>supra</w:t>
      </w:r>
      <w:r w:rsidR="007F2B3F">
        <w:rPr>
          <w:rFonts w:ascii="Verdana" w:hAnsi="Verdana"/>
          <w:sz w:val="16"/>
          <w:szCs w:val="16"/>
        </w:rPr>
        <w:t xml:space="preserve"> nota </w:t>
      </w:r>
      <w:r w:rsidR="007F2B3F">
        <w:rPr>
          <w:rFonts w:ascii="Verdana" w:hAnsi="Verdana"/>
          <w:sz w:val="16"/>
          <w:szCs w:val="16"/>
        </w:rPr>
        <w:fldChar w:fldCharType="begin"/>
      </w:r>
      <w:r w:rsidR="007F2B3F">
        <w:rPr>
          <w:rFonts w:ascii="Verdana" w:hAnsi="Verdana"/>
          <w:sz w:val="16"/>
          <w:szCs w:val="16"/>
        </w:rPr>
        <w:instrText xml:space="preserve"> NOTEREF _Ref469499627 \h </w:instrText>
      </w:r>
      <w:r w:rsidR="007F2B3F">
        <w:rPr>
          <w:rFonts w:ascii="Verdana" w:hAnsi="Verdana"/>
          <w:sz w:val="16"/>
          <w:szCs w:val="16"/>
        </w:rPr>
      </w:r>
      <w:r w:rsidR="007F2B3F">
        <w:rPr>
          <w:rFonts w:ascii="Verdana" w:hAnsi="Verdana"/>
          <w:sz w:val="16"/>
          <w:szCs w:val="16"/>
        </w:rPr>
        <w:fldChar w:fldCharType="separate"/>
      </w:r>
      <w:r w:rsidR="00711324">
        <w:rPr>
          <w:rFonts w:ascii="Verdana" w:hAnsi="Verdana"/>
          <w:sz w:val="16"/>
          <w:szCs w:val="16"/>
        </w:rPr>
        <w:t>3</w:t>
      </w:r>
      <w:r w:rsidR="007F2B3F">
        <w:rPr>
          <w:rFonts w:ascii="Verdana" w:hAnsi="Verdana"/>
          <w:sz w:val="16"/>
          <w:szCs w:val="16"/>
        </w:rPr>
        <w:fldChar w:fldCharType="end"/>
      </w:r>
      <w:r w:rsidRPr="00A050C6">
        <w:rPr>
          <w:rFonts w:ascii="Verdana" w:hAnsi="Verdana"/>
          <w:sz w:val="16"/>
          <w:szCs w:val="16"/>
        </w:rPr>
        <w:t>,</w:t>
      </w:r>
      <w:r w:rsidRPr="00E135DD">
        <w:rPr>
          <w:rFonts w:ascii="Verdana" w:hAnsi="Verdana"/>
          <w:sz w:val="16"/>
          <w:szCs w:val="16"/>
        </w:rPr>
        <w:t xml:space="preserve"> Considerandos 31 y 33.</w:t>
      </w:r>
    </w:p>
  </w:footnote>
  <w:footnote w:id="9">
    <w:p w:rsidR="0055292A" w:rsidRPr="00E135DD" w:rsidRDefault="0055292A" w:rsidP="00E135DD">
      <w:pPr>
        <w:pStyle w:val="Textonotapie"/>
        <w:jc w:val="both"/>
        <w:rPr>
          <w:rFonts w:ascii="Verdana" w:hAnsi="Verdana"/>
          <w:sz w:val="16"/>
          <w:szCs w:val="16"/>
        </w:rPr>
      </w:pPr>
      <w:r w:rsidRPr="00E135DD">
        <w:rPr>
          <w:rStyle w:val="Refdenotaalpie"/>
          <w:rFonts w:ascii="Verdana" w:hAnsi="Verdana"/>
          <w:sz w:val="16"/>
          <w:szCs w:val="16"/>
        </w:rPr>
        <w:footnoteRef/>
      </w:r>
      <w:r w:rsidRPr="00E135DD">
        <w:rPr>
          <w:rFonts w:ascii="Verdana" w:hAnsi="Verdana"/>
          <w:sz w:val="16"/>
          <w:szCs w:val="16"/>
        </w:rPr>
        <w:t xml:space="preserve"> </w:t>
      </w:r>
      <w:r w:rsidRPr="00E135DD">
        <w:rPr>
          <w:rFonts w:ascii="Verdana" w:hAnsi="Verdana"/>
          <w:sz w:val="16"/>
          <w:szCs w:val="16"/>
        </w:rPr>
        <w:tab/>
        <w:t>Sobre este punto, la Corte, entre otros, “</w:t>
      </w:r>
      <w:proofErr w:type="spellStart"/>
      <w:r>
        <w:rPr>
          <w:rFonts w:ascii="Verdana" w:hAnsi="Verdana"/>
          <w:sz w:val="16"/>
          <w:szCs w:val="16"/>
        </w:rPr>
        <w:t>observ</w:t>
      </w:r>
      <w:proofErr w:type="spellEnd"/>
      <w:r>
        <w:rPr>
          <w:rFonts w:ascii="Verdana" w:hAnsi="Verdana"/>
          <w:bCs/>
          <w:color w:val="000000"/>
          <w:sz w:val="16"/>
          <w:szCs w:val="16"/>
          <w:shd w:val="clear" w:color="auto" w:fill="FFFFFF"/>
          <w:lang w:val="es-ES"/>
        </w:rPr>
        <w:t>[</w:t>
      </w:r>
      <w:proofErr w:type="spellStart"/>
      <w:r>
        <w:rPr>
          <w:rFonts w:ascii="Verdana" w:hAnsi="Verdana"/>
          <w:bCs/>
          <w:color w:val="000000"/>
          <w:sz w:val="16"/>
          <w:szCs w:val="16"/>
          <w:shd w:val="clear" w:color="auto" w:fill="FFFFFF"/>
          <w:lang w:val="es-ES"/>
        </w:rPr>
        <w:t>ó</w:t>
      </w:r>
      <w:proofErr w:type="spellEnd"/>
      <w:r w:rsidRPr="00E135DD">
        <w:rPr>
          <w:rFonts w:ascii="Verdana" w:hAnsi="Verdana"/>
          <w:bCs/>
          <w:color w:val="000000"/>
          <w:sz w:val="16"/>
          <w:szCs w:val="16"/>
          <w:shd w:val="clear" w:color="auto" w:fill="FFFFFF"/>
          <w:lang w:val="es-ES"/>
        </w:rPr>
        <w:t>]</w:t>
      </w:r>
      <w:r>
        <w:rPr>
          <w:rFonts w:ascii="Verdana" w:hAnsi="Verdana"/>
          <w:bCs/>
          <w:color w:val="000000"/>
          <w:sz w:val="16"/>
          <w:szCs w:val="16"/>
          <w:shd w:val="clear" w:color="auto" w:fill="FFFFFF"/>
          <w:lang w:val="es-ES"/>
        </w:rPr>
        <w:t xml:space="preserve"> con preocupación que</w:t>
      </w:r>
      <w:r w:rsidRPr="00E135DD">
        <w:rPr>
          <w:rFonts w:ascii="Verdana" w:hAnsi="Verdana"/>
          <w:bCs/>
          <w:color w:val="000000"/>
          <w:sz w:val="16"/>
          <w:szCs w:val="16"/>
          <w:shd w:val="clear" w:color="auto" w:fill="FFFFFF"/>
          <w:lang w:val="es-ES"/>
        </w:rPr>
        <w:t>,</w:t>
      </w:r>
      <w:r w:rsidRPr="00E135DD">
        <w:rPr>
          <w:rFonts w:ascii="Verdana" w:hAnsi="Verdana"/>
          <w:sz w:val="16"/>
          <w:szCs w:val="16"/>
        </w:rPr>
        <w:t xml:space="preserve"> </w:t>
      </w:r>
      <w:r w:rsidR="00580515">
        <w:rPr>
          <w:rFonts w:ascii="Verdana" w:hAnsi="Verdana"/>
          <w:sz w:val="16"/>
          <w:szCs w:val="16"/>
        </w:rPr>
        <w:t xml:space="preserve">a </w:t>
      </w:r>
      <w:r w:rsidRPr="00E135DD">
        <w:rPr>
          <w:rFonts w:ascii="Verdana" w:hAnsi="Verdana"/>
          <w:sz w:val="16"/>
          <w:szCs w:val="16"/>
        </w:rPr>
        <w:t xml:space="preserve">más de 10 años </w:t>
      </w:r>
      <w:r w:rsidRPr="00E135DD">
        <w:rPr>
          <w:rFonts w:ascii="Verdana" w:hAnsi="Verdana"/>
          <w:bCs/>
          <w:color w:val="000000"/>
          <w:sz w:val="16"/>
          <w:szCs w:val="16"/>
          <w:shd w:val="clear" w:color="auto" w:fill="FFFFFF"/>
          <w:lang w:val="es-ES"/>
        </w:rPr>
        <w:t xml:space="preserve">de los últimos hechos que el Estado estaba obligado a investigar de conformidad con la Sentencia […], sólo se hayan emitido decisiones judiciales sobre  el esclarecimiento del hecho de la muerte de un miembro de la familia Barrios” </w:t>
      </w:r>
      <w:r>
        <w:rPr>
          <w:rFonts w:ascii="Verdana" w:hAnsi="Verdana"/>
          <w:bCs/>
          <w:color w:val="000000"/>
          <w:sz w:val="16"/>
          <w:szCs w:val="16"/>
          <w:shd w:val="clear" w:color="auto" w:fill="FFFFFF"/>
          <w:lang w:val="es-ES"/>
        </w:rPr>
        <w:t xml:space="preserve">e indicó </w:t>
      </w:r>
      <w:r w:rsidRPr="00E135DD">
        <w:rPr>
          <w:rFonts w:ascii="Verdana" w:hAnsi="Verdana"/>
          <w:bCs/>
          <w:color w:val="000000"/>
          <w:sz w:val="16"/>
          <w:szCs w:val="16"/>
          <w:shd w:val="clear" w:color="auto" w:fill="FFFFFF"/>
          <w:lang w:val="es-ES"/>
        </w:rPr>
        <w:t>que “[i]</w:t>
      </w:r>
      <w:proofErr w:type="spellStart"/>
      <w:r w:rsidRPr="00E135DD">
        <w:rPr>
          <w:rFonts w:ascii="Verdana" w:hAnsi="Verdana"/>
          <w:bCs/>
          <w:color w:val="000000"/>
          <w:sz w:val="16"/>
          <w:szCs w:val="16"/>
          <w:shd w:val="clear" w:color="auto" w:fill="FFFFFF"/>
          <w:lang w:val="es-ES"/>
        </w:rPr>
        <w:t>nquieta</w:t>
      </w:r>
      <w:proofErr w:type="spellEnd"/>
      <w:r w:rsidRPr="00E135DD">
        <w:rPr>
          <w:rFonts w:ascii="Verdana" w:hAnsi="Verdana"/>
          <w:bCs/>
          <w:color w:val="000000"/>
          <w:sz w:val="16"/>
          <w:szCs w:val="16"/>
          <w:shd w:val="clear" w:color="auto" w:fill="FFFFFF"/>
          <w:lang w:val="es-ES"/>
        </w:rPr>
        <w:t xml:space="preserve"> a este Tribunal que aún continúan en impunidad seis muertes de integrantes de la familia Barrios víctimas”. </w:t>
      </w:r>
      <w:r w:rsidRPr="00E135DD">
        <w:rPr>
          <w:rFonts w:ascii="Verdana" w:hAnsi="Verdana"/>
          <w:i/>
          <w:sz w:val="16"/>
          <w:szCs w:val="16"/>
        </w:rPr>
        <w:t>Cfr</w:t>
      </w:r>
      <w:r w:rsidRPr="00E135DD">
        <w:rPr>
          <w:rFonts w:ascii="Verdana" w:hAnsi="Verdana"/>
          <w:sz w:val="16"/>
          <w:szCs w:val="16"/>
        </w:rPr>
        <w:t xml:space="preserve">. </w:t>
      </w:r>
      <w:r w:rsidRPr="00E135DD">
        <w:rPr>
          <w:rFonts w:ascii="Verdana" w:hAnsi="Verdana"/>
          <w:i/>
          <w:sz w:val="16"/>
          <w:szCs w:val="16"/>
        </w:rPr>
        <w:t>Caso Familia Barrios Vs. Venezuela.</w:t>
      </w:r>
      <w:r w:rsidRPr="00E135DD">
        <w:rPr>
          <w:rFonts w:ascii="Verdana" w:hAnsi="Verdana"/>
          <w:sz w:val="16"/>
          <w:szCs w:val="16"/>
        </w:rPr>
        <w:t xml:space="preserve"> </w:t>
      </w:r>
      <w:r w:rsidRPr="00E135DD">
        <w:rPr>
          <w:rFonts w:ascii="Verdana" w:hAnsi="Verdana"/>
          <w:i/>
          <w:sz w:val="16"/>
          <w:szCs w:val="16"/>
        </w:rPr>
        <w:t>Supervisión de Cumplimiento de Sentencia</w:t>
      </w:r>
      <w:r w:rsidR="007F2B3F">
        <w:rPr>
          <w:rFonts w:ascii="Verdana" w:hAnsi="Verdana"/>
          <w:i/>
          <w:sz w:val="16"/>
          <w:szCs w:val="16"/>
        </w:rPr>
        <w:t>,</w:t>
      </w:r>
      <w:r w:rsidRPr="00E135DD">
        <w:rPr>
          <w:rFonts w:ascii="Verdana" w:hAnsi="Verdana"/>
          <w:i/>
          <w:sz w:val="16"/>
          <w:szCs w:val="16"/>
        </w:rPr>
        <w:t xml:space="preserve"> </w:t>
      </w:r>
      <w:r w:rsidR="007F2B3F">
        <w:rPr>
          <w:rFonts w:ascii="Verdana" w:hAnsi="Verdana"/>
          <w:i/>
          <w:sz w:val="16"/>
          <w:szCs w:val="16"/>
        </w:rPr>
        <w:t>supra</w:t>
      </w:r>
      <w:r w:rsidR="007F2B3F">
        <w:rPr>
          <w:rFonts w:ascii="Verdana" w:hAnsi="Verdana"/>
          <w:sz w:val="16"/>
          <w:szCs w:val="16"/>
        </w:rPr>
        <w:t xml:space="preserve"> nota </w:t>
      </w:r>
      <w:r w:rsidR="007F2B3F">
        <w:rPr>
          <w:rFonts w:ascii="Verdana" w:hAnsi="Verdana"/>
          <w:sz w:val="16"/>
          <w:szCs w:val="16"/>
        </w:rPr>
        <w:fldChar w:fldCharType="begin"/>
      </w:r>
      <w:r w:rsidR="007F2B3F">
        <w:rPr>
          <w:rFonts w:ascii="Verdana" w:hAnsi="Verdana"/>
          <w:sz w:val="16"/>
          <w:szCs w:val="16"/>
        </w:rPr>
        <w:instrText xml:space="preserve"> NOTEREF _Ref469499627 \h </w:instrText>
      </w:r>
      <w:r w:rsidR="007F2B3F">
        <w:rPr>
          <w:rFonts w:ascii="Verdana" w:hAnsi="Verdana"/>
          <w:sz w:val="16"/>
          <w:szCs w:val="16"/>
        </w:rPr>
      </w:r>
      <w:r w:rsidR="007F2B3F">
        <w:rPr>
          <w:rFonts w:ascii="Verdana" w:hAnsi="Verdana"/>
          <w:sz w:val="16"/>
          <w:szCs w:val="16"/>
        </w:rPr>
        <w:fldChar w:fldCharType="separate"/>
      </w:r>
      <w:r w:rsidR="00711324">
        <w:rPr>
          <w:rFonts w:ascii="Verdana" w:hAnsi="Verdana"/>
          <w:sz w:val="16"/>
          <w:szCs w:val="16"/>
        </w:rPr>
        <w:t>3</w:t>
      </w:r>
      <w:r w:rsidR="007F2B3F">
        <w:rPr>
          <w:rFonts w:ascii="Verdana" w:hAnsi="Verdana"/>
          <w:sz w:val="16"/>
          <w:szCs w:val="16"/>
        </w:rPr>
        <w:fldChar w:fldCharType="end"/>
      </w:r>
      <w:proofErr w:type="gramStart"/>
      <w:r w:rsidR="007F2B3F" w:rsidRPr="00A050C6">
        <w:rPr>
          <w:rFonts w:ascii="Verdana" w:hAnsi="Verdana"/>
          <w:sz w:val="16"/>
          <w:szCs w:val="16"/>
        </w:rPr>
        <w:t>,</w:t>
      </w:r>
      <w:r w:rsidRPr="00E135DD">
        <w:rPr>
          <w:rFonts w:ascii="Verdana" w:hAnsi="Verdana"/>
          <w:i/>
          <w:sz w:val="16"/>
          <w:szCs w:val="16"/>
        </w:rPr>
        <w:t>,</w:t>
      </w:r>
      <w:proofErr w:type="gramEnd"/>
      <w:r w:rsidRPr="00E135DD">
        <w:rPr>
          <w:rFonts w:ascii="Verdana" w:hAnsi="Verdana"/>
          <w:sz w:val="16"/>
          <w:szCs w:val="16"/>
        </w:rPr>
        <w:t xml:space="preserve"> Considerando 26.</w:t>
      </w:r>
    </w:p>
  </w:footnote>
  <w:footnote w:id="10">
    <w:p w:rsidR="00A050C6" w:rsidRPr="00E135DD" w:rsidRDefault="00A050C6" w:rsidP="00A050C6">
      <w:pPr>
        <w:pStyle w:val="Textonotapie"/>
        <w:jc w:val="both"/>
        <w:rPr>
          <w:rFonts w:ascii="Verdana" w:hAnsi="Verdana"/>
          <w:sz w:val="16"/>
          <w:szCs w:val="16"/>
        </w:rPr>
      </w:pPr>
      <w:r w:rsidRPr="00E135DD">
        <w:rPr>
          <w:rStyle w:val="Refdenotaalpie"/>
          <w:rFonts w:ascii="Verdana" w:hAnsi="Verdana"/>
          <w:sz w:val="16"/>
          <w:szCs w:val="16"/>
        </w:rPr>
        <w:footnoteRef/>
      </w:r>
      <w:r w:rsidRPr="00E135DD">
        <w:rPr>
          <w:rFonts w:ascii="Verdana" w:hAnsi="Verdana"/>
          <w:sz w:val="16"/>
          <w:szCs w:val="16"/>
        </w:rPr>
        <w:t xml:space="preserve"> </w:t>
      </w:r>
      <w:r w:rsidRPr="00E135DD">
        <w:rPr>
          <w:rFonts w:ascii="Verdana" w:hAnsi="Verdana"/>
          <w:sz w:val="16"/>
          <w:szCs w:val="16"/>
        </w:rPr>
        <w:tab/>
      </w:r>
      <w:r w:rsidRPr="00E135DD">
        <w:rPr>
          <w:rFonts w:ascii="Verdana" w:hAnsi="Verdana"/>
          <w:i/>
          <w:sz w:val="16"/>
          <w:szCs w:val="16"/>
        </w:rPr>
        <w:t>Cfr</w:t>
      </w:r>
      <w:r w:rsidRPr="00E135DD">
        <w:rPr>
          <w:rFonts w:ascii="Verdana" w:hAnsi="Verdana"/>
          <w:sz w:val="16"/>
          <w:szCs w:val="16"/>
        </w:rPr>
        <w:t xml:space="preserve">. </w:t>
      </w:r>
      <w:r w:rsidRPr="00E135DD">
        <w:rPr>
          <w:rFonts w:ascii="Verdana" w:hAnsi="Verdana"/>
          <w:i/>
          <w:sz w:val="16"/>
          <w:szCs w:val="16"/>
        </w:rPr>
        <w:t>Caso Familia Barrios Vs. Venezuela.</w:t>
      </w:r>
      <w:r w:rsidRPr="00E135DD">
        <w:rPr>
          <w:rFonts w:ascii="Verdana" w:hAnsi="Verdana"/>
          <w:sz w:val="16"/>
          <w:szCs w:val="16"/>
        </w:rPr>
        <w:t xml:space="preserve"> </w:t>
      </w:r>
      <w:r w:rsidRPr="00E135DD">
        <w:rPr>
          <w:rFonts w:ascii="Verdana" w:hAnsi="Verdana"/>
          <w:i/>
          <w:sz w:val="16"/>
          <w:szCs w:val="16"/>
        </w:rPr>
        <w:t>Supervisión de Cumplimiento de Sentencia</w:t>
      </w:r>
      <w:r w:rsidR="007F2B3F">
        <w:rPr>
          <w:rFonts w:ascii="Verdana" w:hAnsi="Verdana"/>
          <w:i/>
          <w:sz w:val="16"/>
          <w:szCs w:val="16"/>
        </w:rPr>
        <w:t>,</w:t>
      </w:r>
      <w:r w:rsidRPr="00E135DD">
        <w:rPr>
          <w:rFonts w:ascii="Verdana" w:hAnsi="Verdana"/>
          <w:i/>
          <w:sz w:val="16"/>
          <w:szCs w:val="16"/>
        </w:rPr>
        <w:t xml:space="preserve"> </w:t>
      </w:r>
      <w:r w:rsidR="007F2B3F">
        <w:rPr>
          <w:rFonts w:ascii="Verdana" w:hAnsi="Verdana"/>
          <w:i/>
          <w:sz w:val="16"/>
          <w:szCs w:val="16"/>
        </w:rPr>
        <w:t>supra</w:t>
      </w:r>
      <w:r w:rsidR="007F2B3F">
        <w:rPr>
          <w:rFonts w:ascii="Verdana" w:hAnsi="Verdana"/>
          <w:sz w:val="16"/>
          <w:szCs w:val="16"/>
        </w:rPr>
        <w:t xml:space="preserve"> nota </w:t>
      </w:r>
      <w:r w:rsidR="007F2B3F">
        <w:rPr>
          <w:rFonts w:ascii="Verdana" w:hAnsi="Verdana"/>
          <w:sz w:val="16"/>
          <w:szCs w:val="16"/>
        </w:rPr>
        <w:fldChar w:fldCharType="begin"/>
      </w:r>
      <w:r w:rsidR="007F2B3F">
        <w:rPr>
          <w:rFonts w:ascii="Verdana" w:hAnsi="Verdana"/>
          <w:sz w:val="16"/>
          <w:szCs w:val="16"/>
        </w:rPr>
        <w:instrText xml:space="preserve"> NOTEREF _Ref469499675 \h </w:instrText>
      </w:r>
      <w:r w:rsidR="007F2B3F">
        <w:rPr>
          <w:rFonts w:ascii="Verdana" w:hAnsi="Verdana"/>
          <w:sz w:val="16"/>
          <w:szCs w:val="16"/>
        </w:rPr>
      </w:r>
      <w:r w:rsidR="007F2B3F">
        <w:rPr>
          <w:rFonts w:ascii="Verdana" w:hAnsi="Verdana"/>
          <w:sz w:val="16"/>
          <w:szCs w:val="16"/>
        </w:rPr>
        <w:fldChar w:fldCharType="separate"/>
      </w:r>
      <w:r w:rsidR="00711324">
        <w:rPr>
          <w:rFonts w:ascii="Verdana" w:hAnsi="Verdana"/>
          <w:sz w:val="16"/>
          <w:szCs w:val="16"/>
        </w:rPr>
        <w:t>4</w:t>
      </w:r>
      <w:r w:rsidR="007F2B3F">
        <w:rPr>
          <w:rFonts w:ascii="Verdana" w:hAnsi="Verdana"/>
          <w:sz w:val="16"/>
          <w:szCs w:val="16"/>
        </w:rPr>
        <w:fldChar w:fldCharType="end"/>
      </w:r>
      <w:r w:rsidR="00FF13DB">
        <w:rPr>
          <w:rFonts w:ascii="Verdana" w:hAnsi="Verdana"/>
          <w:sz w:val="16"/>
          <w:szCs w:val="16"/>
        </w:rPr>
        <w:t xml:space="preserve">, </w:t>
      </w:r>
      <w:r w:rsidRPr="00E135DD">
        <w:rPr>
          <w:rFonts w:ascii="Verdana" w:hAnsi="Verdana"/>
          <w:sz w:val="16"/>
          <w:szCs w:val="16"/>
        </w:rPr>
        <w:t>Considerando</w:t>
      </w:r>
      <w:r w:rsidRPr="00E135DD">
        <w:rPr>
          <w:rFonts w:ascii="Verdana" w:hAnsi="Verdana"/>
          <w:i/>
          <w:sz w:val="16"/>
          <w:szCs w:val="16"/>
        </w:rPr>
        <w:t xml:space="preserve"> </w:t>
      </w:r>
      <w:r w:rsidRPr="00E135DD">
        <w:rPr>
          <w:rFonts w:ascii="Verdana" w:hAnsi="Verdana"/>
          <w:sz w:val="16"/>
          <w:szCs w:val="16"/>
        </w:rPr>
        <w:t>2.</w:t>
      </w:r>
    </w:p>
  </w:footnote>
  <w:footnote w:id="11">
    <w:p w:rsidR="000B4014" w:rsidRPr="00A44CDA" w:rsidRDefault="000B4014" w:rsidP="000B4014">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Caso </w:t>
      </w:r>
      <w:proofErr w:type="spellStart"/>
      <w:r>
        <w:rPr>
          <w:rFonts w:ascii="Verdana" w:hAnsi="Verdana"/>
          <w:i/>
          <w:sz w:val="16"/>
          <w:szCs w:val="16"/>
        </w:rPr>
        <w:t>Ivcher</w:t>
      </w:r>
      <w:proofErr w:type="spellEnd"/>
      <w:r>
        <w:rPr>
          <w:rFonts w:ascii="Verdana" w:hAnsi="Verdana"/>
          <w:i/>
          <w:sz w:val="16"/>
          <w:szCs w:val="16"/>
        </w:rPr>
        <w:t xml:space="preserve"> </w:t>
      </w:r>
      <w:proofErr w:type="spellStart"/>
      <w:r>
        <w:rPr>
          <w:rFonts w:ascii="Verdana" w:hAnsi="Verdana"/>
          <w:i/>
          <w:sz w:val="16"/>
          <w:szCs w:val="16"/>
        </w:rPr>
        <w:t>Bronstein</w:t>
      </w:r>
      <w:proofErr w:type="spellEnd"/>
      <w:r>
        <w:rPr>
          <w:rFonts w:ascii="Verdana" w:hAnsi="Verdana"/>
          <w:i/>
          <w:sz w:val="16"/>
          <w:szCs w:val="16"/>
        </w:rPr>
        <w:t xml:space="preserve"> Vs. Perú. Competencia. </w:t>
      </w:r>
      <w:r>
        <w:rPr>
          <w:rFonts w:ascii="Verdana" w:hAnsi="Verdana"/>
          <w:sz w:val="16"/>
          <w:szCs w:val="16"/>
        </w:rPr>
        <w:t>Sentencia de la Corte Interamericana de Derechos Humanos de 24 de septiembre de 1999. Serie C. No. 54, párr. 37</w:t>
      </w:r>
      <w:r w:rsidR="007F2B3F">
        <w:rPr>
          <w:rFonts w:ascii="Verdana" w:hAnsi="Verdana"/>
          <w:sz w:val="16"/>
          <w:szCs w:val="16"/>
        </w:rPr>
        <w:t>,</w:t>
      </w:r>
      <w:r>
        <w:rPr>
          <w:rFonts w:ascii="Verdana" w:hAnsi="Verdana"/>
          <w:sz w:val="16"/>
          <w:szCs w:val="16"/>
        </w:rPr>
        <w:t xml:space="preserve"> y </w:t>
      </w:r>
      <w:r>
        <w:rPr>
          <w:rFonts w:ascii="Verdana" w:hAnsi="Verdana"/>
          <w:i/>
          <w:sz w:val="16"/>
          <w:szCs w:val="16"/>
        </w:rPr>
        <w:t xml:space="preserve">Caso de las Comunidades Afrodescendientes desplazadas de la cuenca del Río Cacarica (Operación Génesis) Vs. Colombia. Supervisión de Cumplimiento de Sentencia.  </w:t>
      </w:r>
      <w:r>
        <w:rPr>
          <w:rFonts w:ascii="Verdana" w:hAnsi="Verdana"/>
          <w:sz w:val="16"/>
          <w:szCs w:val="16"/>
        </w:rPr>
        <w:t>Resolución de la Corte Interamericana de Derechos Humanos de 20 de octubre de 2016, Considerando 2.</w:t>
      </w:r>
    </w:p>
  </w:footnote>
  <w:footnote w:id="12">
    <w:p w:rsidR="0055292A" w:rsidRPr="004841B3" w:rsidRDefault="0055292A" w:rsidP="00E135DD">
      <w:pPr>
        <w:pStyle w:val="Textonotapie"/>
        <w:tabs>
          <w:tab w:val="left" w:pos="567"/>
        </w:tabs>
        <w:ind w:right="4"/>
        <w:jc w:val="both"/>
        <w:rPr>
          <w:rFonts w:ascii="Verdana" w:hAnsi="Verdana"/>
          <w:color w:val="000000"/>
          <w:sz w:val="16"/>
          <w:szCs w:val="16"/>
        </w:rPr>
      </w:pPr>
      <w:r w:rsidRPr="004841B3">
        <w:rPr>
          <w:rStyle w:val="Refdenotaalpie"/>
          <w:rFonts w:ascii="Verdana" w:hAnsi="Verdana"/>
          <w:sz w:val="16"/>
          <w:szCs w:val="16"/>
        </w:rPr>
        <w:footnoteRef/>
      </w:r>
      <w:r w:rsidRPr="004841B3">
        <w:rPr>
          <w:rFonts w:ascii="Verdana" w:hAnsi="Verdana"/>
          <w:sz w:val="16"/>
          <w:szCs w:val="16"/>
        </w:rPr>
        <w:t xml:space="preserve"> </w:t>
      </w:r>
      <w:r w:rsidRPr="004841B3">
        <w:rPr>
          <w:rFonts w:ascii="Verdana" w:hAnsi="Verdana"/>
          <w:sz w:val="16"/>
          <w:szCs w:val="16"/>
        </w:rPr>
        <w:tab/>
      </w:r>
      <w:r w:rsidRPr="004841B3">
        <w:rPr>
          <w:rFonts w:ascii="Verdana" w:hAnsi="Verdana"/>
          <w:i/>
          <w:color w:val="000000"/>
          <w:sz w:val="16"/>
          <w:szCs w:val="16"/>
          <w:lang w:val="es-MX"/>
        </w:rPr>
        <w:t xml:space="preserve">Cfr. Caso Castillo </w:t>
      </w:r>
      <w:proofErr w:type="spellStart"/>
      <w:r w:rsidRPr="004841B3">
        <w:rPr>
          <w:rFonts w:ascii="Verdana" w:hAnsi="Verdana"/>
          <w:i/>
          <w:color w:val="000000"/>
          <w:sz w:val="16"/>
          <w:szCs w:val="16"/>
          <w:lang w:val="es-MX"/>
        </w:rPr>
        <w:t>Petruzzi</w:t>
      </w:r>
      <w:proofErr w:type="spellEnd"/>
      <w:r w:rsidRPr="004841B3">
        <w:rPr>
          <w:rFonts w:ascii="Verdana" w:hAnsi="Verdana"/>
          <w:i/>
          <w:color w:val="000000"/>
          <w:sz w:val="16"/>
          <w:szCs w:val="16"/>
          <w:lang w:val="es-MX"/>
        </w:rPr>
        <w:t xml:space="preserve"> y otros Vs. Perú. Supervisión de Cumplimiento de Sentencia. </w:t>
      </w:r>
      <w:r w:rsidRPr="007F2B3F">
        <w:rPr>
          <w:rFonts w:ascii="Verdana" w:hAnsi="Verdana"/>
          <w:color w:val="000000"/>
          <w:sz w:val="16"/>
          <w:szCs w:val="16"/>
          <w:lang w:val="es-MX"/>
        </w:rPr>
        <w:t>Resolución de la Corte de 17 de noviembre de 1999, Considerando 3</w:t>
      </w:r>
      <w:r w:rsidRPr="004841B3">
        <w:rPr>
          <w:rFonts w:ascii="Verdana" w:hAnsi="Verdana"/>
          <w:i/>
          <w:color w:val="000000"/>
          <w:sz w:val="16"/>
          <w:szCs w:val="16"/>
          <w:lang w:val="es-MX"/>
        </w:rPr>
        <w:t xml:space="preserve">; </w:t>
      </w:r>
      <w:r w:rsidRPr="004841B3">
        <w:rPr>
          <w:rFonts w:ascii="Verdana" w:hAnsi="Verdana"/>
          <w:i/>
          <w:color w:val="000000"/>
          <w:sz w:val="16"/>
          <w:szCs w:val="16"/>
          <w:lang w:val="es-AR"/>
        </w:rPr>
        <w:t xml:space="preserve">y </w:t>
      </w:r>
      <w:r w:rsidR="004841B3" w:rsidRPr="004841B3">
        <w:rPr>
          <w:rStyle w:val="Textoennegrita"/>
          <w:rFonts w:ascii="Verdana" w:hAnsi="Verdana"/>
          <w:b w:val="0"/>
          <w:i/>
          <w:color w:val="000000"/>
          <w:sz w:val="16"/>
          <w:szCs w:val="16"/>
        </w:rPr>
        <w:t xml:space="preserve">Caso </w:t>
      </w:r>
      <w:proofErr w:type="spellStart"/>
      <w:r w:rsidR="004841B3" w:rsidRPr="004841B3">
        <w:rPr>
          <w:rStyle w:val="Textoennegrita"/>
          <w:rFonts w:ascii="Verdana" w:hAnsi="Verdana"/>
          <w:b w:val="0"/>
          <w:i/>
          <w:color w:val="000000"/>
          <w:sz w:val="16"/>
          <w:szCs w:val="16"/>
        </w:rPr>
        <w:t>Yvon</w:t>
      </w:r>
      <w:proofErr w:type="spellEnd"/>
      <w:r w:rsidR="004841B3" w:rsidRPr="004841B3">
        <w:rPr>
          <w:rStyle w:val="Textoennegrita"/>
          <w:rFonts w:ascii="Verdana" w:hAnsi="Verdana"/>
          <w:b w:val="0"/>
          <w:i/>
          <w:color w:val="000000"/>
          <w:sz w:val="16"/>
          <w:szCs w:val="16"/>
        </w:rPr>
        <w:t xml:space="preserve"> </w:t>
      </w:r>
      <w:proofErr w:type="spellStart"/>
      <w:r w:rsidR="004841B3" w:rsidRPr="004841B3">
        <w:rPr>
          <w:rStyle w:val="Textoennegrita"/>
          <w:rFonts w:ascii="Verdana" w:hAnsi="Verdana"/>
          <w:b w:val="0"/>
          <w:i/>
          <w:color w:val="000000"/>
          <w:sz w:val="16"/>
          <w:szCs w:val="16"/>
        </w:rPr>
        <w:t>Neptune</w:t>
      </w:r>
      <w:proofErr w:type="spellEnd"/>
      <w:r w:rsidR="004841B3" w:rsidRPr="004841B3">
        <w:rPr>
          <w:rStyle w:val="Textoennegrita"/>
          <w:rFonts w:ascii="Verdana" w:hAnsi="Verdana"/>
          <w:b w:val="0"/>
          <w:i/>
          <w:color w:val="000000"/>
          <w:sz w:val="16"/>
          <w:szCs w:val="16"/>
        </w:rPr>
        <w:t xml:space="preserve"> Vs. Haití. Supervisión de Cumplimiento de Sentencia.</w:t>
      </w:r>
      <w:r w:rsidR="004841B3" w:rsidRPr="004841B3">
        <w:rPr>
          <w:rStyle w:val="Textoennegrita"/>
          <w:rFonts w:ascii="Verdana" w:hAnsi="Verdana"/>
          <w:b w:val="0"/>
          <w:color w:val="000000"/>
          <w:sz w:val="16"/>
          <w:szCs w:val="16"/>
        </w:rPr>
        <w:t xml:space="preserve"> Resolución de la Corte Interamericana de Derechos Humanos de 20 de noviembre de 2015, Considerando 3.</w:t>
      </w:r>
    </w:p>
  </w:footnote>
  <w:footnote w:id="13">
    <w:p w:rsidR="0055292A" w:rsidRPr="00E135DD" w:rsidRDefault="0055292A" w:rsidP="00E135DD">
      <w:pPr>
        <w:pStyle w:val="Textonotapie"/>
        <w:tabs>
          <w:tab w:val="left" w:pos="567"/>
        </w:tabs>
        <w:ind w:right="4"/>
        <w:jc w:val="both"/>
        <w:rPr>
          <w:rFonts w:ascii="Verdana" w:hAnsi="Verdana"/>
          <w:sz w:val="16"/>
          <w:szCs w:val="16"/>
        </w:rPr>
      </w:pPr>
      <w:r w:rsidRPr="00E135DD">
        <w:rPr>
          <w:rStyle w:val="Refdenotaalpie"/>
          <w:rFonts w:ascii="Verdana" w:hAnsi="Verdana"/>
          <w:sz w:val="16"/>
          <w:szCs w:val="16"/>
        </w:rPr>
        <w:footnoteRef/>
      </w:r>
      <w:r w:rsidRPr="00E135DD">
        <w:rPr>
          <w:rFonts w:ascii="Verdana" w:hAnsi="Verdana"/>
          <w:sz w:val="16"/>
          <w:szCs w:val="16"/>
        </w:rPr>
        <w:t xml:space="preserve"> </w:t>
      </w:r>
      <w:r w:rsidRPr="00E135DD">
        <w:rPr>
          <w:rFonts w:ascii="Verdana" w:hAnsi="Verdana"/>
          <w:sz w:val="16"/>
          <w:szCs w:val="16"/>
        </w:rPr>
        <w:tab/>
      </w:r>
      <w:r w:rsidRPr="00E135DD">
        <w:rPr>
          <w:rFonts w:ascii="Verdana" w:hAnsi="Verdana"/>
          <w:i/>
          <w:sz w:val="16"/>
          <w:szCs w:val="16"/>
        </w:rPr>
        <w:t xml:space="preserve">Cfr. Caso Garrido y </w:t>
      </w:r>
      <w:proofErr w:type="spellStart"/>
      <w:r w:rsidRPr="00E135DD">
        <w:rPr>
          <w:rFonts w:ascii="Verdana" w:hAnsi="Verdana"/>
          <w:i/>
          <w:sz w:val="16"/>
          <w:szCs w:val="16"/>
        </w:rPr>
        <w:t>Baigorria</w:t>
      </w:r>
      <w:proofErr w:type="spellEnd"/>
      <w:r w:rsidRPr="00E135DD">
        <w:rPr>
          <w:rFonts w:ascii="Verdana" w:hAnsi="Verdana"/>
          <w:i/>
          <w:sz w:val="16"/>
          <w:szCs w:val="16"/>
        </w:rPr>
        <w:t>. Reparaciones</w:t>
      </w:r>
      <w:r w:rsidRPr="00E135DD">
        <w:rPr>
          <w:rFonts w:ascii="Verdana" w:hAnsi="Verdana"/>
          <w:sz w:val="16"/>
          <w:szCs w:val="16"/>
        </w:rPr>
        <w:t xml:space="preserve"> (art. 63.1 Convención Americana sobre Derechos Humanos). Sentencia de 27 de agosto de 1998. Serie C No. 39, párr. 40, y</w:t>
      </w:r>
      <w:r w:rsidRPr="00E135DD">
        <w:rPr>
          <w:rFonts w:ascii="Verdana" w:hAnsi="Verdana"/>
          <w:b/>
          <w:i/>
          <w:sz w:val="16"/>
          <w:szCs w:val="16"/>
        </w:rPr>
        <w:t xml:space="preserve"> </w:t>
      </w:r>
      <w:r w:rsidR="004841B3" w:rsidRPr="004841B3">
        <w:rPr>
          <w:rStyle w:val="Textoennegrita"/>
          <w:rFonts w:ascii="Verdana" w:hAnsi="Verdana"/>
          <w:b w:val="0"/>
          <w:i/>
          <w:color w:val="000000"/>
          <w:sz w:val="16"/>
          <w:szCs w:val="16"/>
        </w:rPr>
        <w:t xml:space="preserve">Caso </w:t>
      </w:r>
      <w:proofErr w:type="spellStart"/>
      <w:r w:rsidR="004841B3" w:rsidRPr="004841B3">
        <w:rPr>
          <w:rStyle w:val="Textoennegrita"/>
          <w:rFonts w:ascii="Verdana" w:hAnsi="Verdana"/>
          <w:b w:val="0"/>
          <w:i/>
          <w:color w:val="000000"/>
          <w:sz w:val="16"/>
          <w:szCs w:val="16"/>
        </w:rPr>
        <w:t>Yvon</w:t>
      </w:r>
      <w:proofErr w:type="spellEnd"/>
      <w:r w:rsidR="004841B3" w:rsidRPr="004841B3">
        <w:rPr>
          <w:rStyle w:val="Textoennegrita"/>
          <w:rFonts w:ascii="Verdana" w:hAnsi="Verdana"/>
          <w:b w:val="0"/>
          <w:i/>
          <w:color w:val="000000"/>
          <w:sz w:val="16"/>
          <w:szCs w:val="16"/>
        </w:rPr>
        <w:t xml:space="preserve"> </w:t>
      </w:r>
      <w:proofErr w:type="spellStart"/>
      <w:r w:rsidR="004841B3" w:rsidRPr="004841B3">
        <w:rPr>
          <w:rStyle w:val="Textoennegrita"/>
          <w:rFonts w:ascii="Verdana" w:hAnsi="Verdana"/>
          <w:b w:val="0"/>
          <w:i/>
          <w:color w:val="000000"/>
          <w:sz w:val="16"/>
          <w:szCs w:val="16"/>
        </w:rPr>
        <w:t>Neptune</w:t>
      </w:r>
      <w:proofErr w:type="spellEnd"/>
      <w:r w:rsidR="004841B3" w:rsidRPr="004841B3">
        <w:rPr>
          <w:rStyle w:val="Textoennegrita"/>
          <w:rFonts w:ascii="Verdana" w:hAnsi="Verdana"/>
          <w:b w:val="0"/>
          <w:i/>
          <w:color w:val="000000"/>
          <w:sz w:val="16"/>
          <w:szCs w:val="16"/>
        </w:rPr>
        <w:t xml:space="preserve"> Vs. Haití. Supervisión de Cumplimiento de Sentencia.</w:t>
      </w:r>
      <w:r w:rsidR="004841B3" w:rsidRPr="004841B3">
        <w:rPr>
          <w:rStyle w:val="Textoennegrita"/>
          <w:rFonts w:ascii="Verdana" w:hAnsi="Verdana"/>
          <w:b w:val="0"/>
          <w:color w:val="000000"/>
          <w:sz w:val="16"/>
          <w:szCs w:val="16"/>
        </w:rPr>
        <w:t xml:space="preserve"> Resolución de la Corte Interamericana de Derechos Humanos de 20 de noviembre de 2015, Considerando 3.</w:t>
      </w:r>
    </w:p>
  </w:footnote>
  <w:footnote w:id="14">
    <w:p w:rsidR="0055292A" w:rsidRPr="00E135DD" w:rsidRDefault="0055292A" w:rsidP="00E135DD">
      <w:pPr>
        <w:pStyle w:val="Textonotapie"/>
        <w:tabs>
          <w:tab w:val="left" w:pos="567"/>
        </w:tabs>
        <w:ind w:right="4"/>
        <w:jc w:val="both"/>
        <w:rPr>
          <w:rFonts w:ascii="Verdana" w:hAnsi="Verdana"/>
          <w:color w:val="000000"/>
          <w:sz w:val="16"/>
          <w:szCs w:val="16"/>
          <w:lang w:val="fr-FR"/>
        </w:rPr>
      </w:pPr>
      <w:r w:rsidRPr="00E135DD">
        <w:rPr>
          <w:rStyle w:val="Refdenotaalpie"/>
          <w:rFonts w:ascii="Verdana" w:hAnsi="Verdana"/>
          <w:sz w:val="16"/>
          <w:szCs w:val="16"/>
        </w:rPr>
        <w:footnoteRef/>
      </w:r>
      <w:r w:rsidRPr="00E135DD">
        <w:rPr>
          <w:rFonts w:ascii="Verdana" w:hAnsi="Verdana"/>
          <w:sz w:val="16"/>
          <w:szCs w:val="16"/>
        </w:rPr>
        <w:t xml:space="preserve"> </w:t>
      </w:r>
      <w:r w:rsidRPr="00E135DD">
        <w:rPr>
          <w:rFonts w:ascii="Verdana" w:hAnsi="Verdana"/>
          <w:sz w:val="16"/>
          <w:szCs w:val="16"/>
        </w:rPr>
        <w:tab/>
      </w:r>
      <w:r w:rsidRPr="00E135DD">
        <w:rPr>
          <w:rFonts w:ascii="Verdana" w:hAnsi="Verdana"/>
          <w:i/>
          <w:sz w:val="16"/>
          <w:szCs w:val="16"/>
          <w:lang w:val="es-ES"/>
        </w:rPr>
        <w:t>Cfr.</w:t>
      </w:r>
      <w:r w:rsidRPr="00E135DD">
        <w:rPr>
          <w:rFonts w:ascii="Verdana" w:hAnsi="Verdana"/>
          <w:b/>
          <w:sz w:val="16"/>
          <w:szCs w:val="16"/>
          <w:lang w:val="es-ES"/>
        </w:rPr>
        <w:t xml:space="preserve"> </w:t>
      </w:r>
      <w:r w:rsidRPr="00E135DD">
        <w:rPr>
          <w:rFonts w:ascii="Verdana" w:hAnsi="Verdana"/>
          <w:bCs/>
          <w:i/>
          <w:color w:val="000000"/>
          <w:sz w:val="16"/>
          <w:szCs w:val="16"/>
        </w:rPr>
        <w:t>Caso Castillo Páez Vs. Perú</w:t>
      </w:r>
      <w:r w:rsidRPr="00E135DD">
        <w:rPr>
          <w:rFonts w:ascii="Verdana" w:hAnsi="Verdana"/>
          <w:b/>
          <w:bCs/>
          <w:color w:val="000000"/>
          <w:sz w:val="16"/>
          <w:szCs w:val="16"/>
        </w:rPr>
        <w:t xml:space="preserve">. </w:t>
      </w:r>
      <w:r w:rsidRPr="00E135DD">
        <w:rPr>
          <w:rFonts w:ascii="Verdana" w:hAnsi="Verdana"/>
          <w:i/>
          <w:color w:val="000000"/>
          <w:sz w:val="16"/>
          <w:szCs w:val="16"/>
        </w:rPr>
        <w:t>Reparaciones y Costas.</w:t>
      </w:r>
      <w:r w:rsidRPr="00E135DD">
        <w:rPr>
          <w:rFonts w:ascii="Verdana" w:hAnsi="Verdana"/>
          <w:color w:val="000000"/>
          <w:sz w:val="16"/>
          <w:szCs w:val="16"/>
        </w:rPr>
        <w:t xml:space="preserve"> Sentencia de 27 de noviembre de 1998. Serie C No. 43, párr. 50,</w:t>
      </w:r>
      <w:r w:rsidRPr="00E135DD">
        <w:rPr>
          <w:rFonts w:ascii="Verdana" w:hAnsi="Verdana"/>
          <w:sz w:val="16"/>
          <w:szCs w:val="16"/>
          <w:lang w:val="es-ES"/>
        </w:rPr>
        <w:t xml:space="preserve"> y </w:t>
      </w:r>
      <w:r w:rsidR="004841B3" w:rsidRPr="004841B3">
        <w:rPr>
          <w:rStyle w:val="Textoennegrita"/>
          <w:rFonts w:ascii="Verdana" w:hAnsi="Verdana"/>
          <w:b w:val="0"/>
          <w:i/>
          <w:color w:val="000000"/>
          <w:sz w:val="16"/>
          <w:szCs w:val="16"/>
        </w:rPr>
        <w:t xml:space="preserve">Caso </w:t>
      </w:r>
      <w:proofErr w:type="spellStart"/>
      <w:r w:rsidR="004841B3" w:rsidRPr="004841B3">
        <w:rPr>
          <w:rStyle w:val="Textoennegrita"/>
          <w:rFonts w:ascii="Verdana" w:hAnsi="Verdana"/>
          <w:b w:val="0"/>
          <w:i/>
          <w:color w:val="000000"/>
          <w:sz w:val="16"/>
          <w:szCs w:val="16"/>
        </w:rPr>
        <w:t>Yvon</w:t>
      </w:r>
      <w:proofErr w:type="spellEnd"/>
      <w:r w:rsidR="004841B3" w:rsidRPr="004841B3">
        <w:rPr>
          <w:rStyle w:val="Textoennegrita"/>
          <w:rFonts w:ascii="Verdana" w:hAnsi="Verdana"/>
          <w:b w:val="0"/>
          <w:i/>
          <w:color w:val="000000"/>
          <w:sz w:val="16"/>
          <w:szCs w:val="16"/>
        </w:rPr>
        <w:t xml:space="preserve"> </w:t>
      </w:r>
      <w:proofErr w:type="spellStart"/>
      <w:r w:rsidR="004841B3" w:rsidRPr="004841B3">
        <w:rPr>
          <w:rStyle w:val="Textoennegrita"/>
          <w:rFonts w:ascii="Verdana" w:hAnsi="Verdana"/>
          <w:b w:val="0"/>
          <w:i/>
          <w:color w:val="000000"/>
          <w:sz w:val="16"/>
          <w:szCs w:val="16"/>
        </w:rPr>
        <w:t>Neptune</w:t>
      </w:r>
      <w:proofErr w:type="spellEnd"/>
      <w:r w:rsidR="004841B3" w:rsidRPr="004841B3">
        <w:rPr>
          <w:rStyle w:val="Textoennegrita"/>
          <w:rFonts w:ascii="Verdana" w:hAnsi="Verdana"/>
          <w:b w:val="0"/>
          <w:i/>
          <w:color w:val="000000"/>
          <w:sz w:val="16"/>
          <w:szCs w:val="16"/>
        </w:rPr>
        <w:t xml:space="preserve"> Vs. Haití. Supervisión de Cumplimiento de Sentencia.</w:t>
      </w:r>
      <w:r w:rsidR="004841B3" w:rsidRPr="004841B3">
        <w:rPr>
          <w:rStyle w:val="Textoennegrita"/>
          <w:rFonts w:ascii="Verdana" w:hAnsi="Verdana"/>
          <w:b w:val="0"/>
          <w:color w:val="000000"/>
          <w:sz w:val="16"/>
          <w:szCs w:val="16"/>
        </w:rPr>
        <w:t xml:space="preserve"> Resolución de la Corte Interamericana de Derechos Humanos de 20 de noviembre de 2015, Considerando 3.</w:t>
      </w:r>
    </w:p>
  </w:footnote>
  <w:footnote w:id="15">
    <w:p w:rsidR="0055292A" w:rsidRPr="00E135DD" w:rsidRDefault="0055292A" w:rsidP="00E135DD">
      <w:pPr>
        <w:pStyle w:val="Textonotapie"/>
        <w:tabs>
          <w:tab w:val="left" w:pos="567"/>
        </w:tabs>
        <w:ind w:right="4"/>
        <w:jc w:val="both"/>
        <w:rPr>
          <w:rFonts w:ascii="Verdana" w:hAnsi="Verdana"/>
          <w:sz w:val="16"/>
          <w:szCs w:val="16"/>
          <w:lang w:val="pl-PL"/>
        </w:rPr>
      </w:pPr>
      <w:r w:rsidRPr="00E135DD">
        <w:rPr>
          <w:rStyle w:val="Refdenotaalpie"/>
          <w:rFonts w:ascii="Verdana" w:hAnsi="Verdana"/>
          <w:sz w:val="16"/>
          <w:szCs w:val="16"/>
        </w:rPr>
        <w:footnoteRef/>
      </w:r>
      <w:r w:rsidRPr="00E135DD">
        <w:rPr>
          <w:rFonts w:ascii="Verdana" w:hAnsi="Verdana"/>
          <w:sz w:val="16"/>
          <w:szCs w:val="16"/>
          <w:lang w:val="fr-FR"/>
        </w:rPr>
        <w:t xml:space="preserve"> </w:t>
      </w:r>
      <w:r w:rsidRPr="00E135DD">
        <w:rPr>
          <w:rFonts w:ascii="Verdana" w:hAnsi="Verdana"/>
          <w:sz w:val="16"/>
          <w:szCs w:val="16"/>
          <w:lang w:val="fr-FR"/>
        </w:rPr>
        <w:tab/>
      </w:r>
      <w:r w:rsidRPr="00E135DD">
        <w:rPr>
          <w:rFonts w:ascii="Verdana" w:hAnsi="Verdana"/>
          <w:i/>
          <w:sz w:val="16"/>
          <w:szCs w:val="16"/>
          <w:lang w:val="pl-PL"/>
        </w:rPr>
        <w:t>Cfr</w:t>
      </w:r>
      <w:r w:rsidRPr="00E135DD">
        <w:rPr>
          <w:rFonts w:ascii="Verdana" w:hAnsi="Verdana"/>
          <w:sz w:val="16"/>
          <w:szCs w:val="16"/>
          <w:lang w:val="pl-PL"/>
        </w:rPr>
        <w:t xml:space="preserve">. </w:t>
      </w:r>
      <w:r w:rsidRPr="00E135DD">
        <w:rPr>
          <w:rFonts w:ascii="Verdana" w:hAnsi="Verdana"/>
          <w:i/>
          <w:sz w:val="16"/>
          <w:szCs w:val="16"/>
          <w:lang w:val="pl-PL"/>
        </w:rPr>
        <w:t>Reparation for Injuries Suffered in the Service of the United Nations</w:t>
      </w:r>
      <w:r w:rsidRPr="00E135DD">
        <w:rPr>
          <w:rFonts w:ascii="Verdana" w:hAnsi="Verdana"/>
          <w:sz w:val="16"/>
          <w:szCs w:val="16"/>
          <w:lang w:val="pl-PL"/>
        </w:rPr>
        <w:t xml:space="preserve">, </w:t>
      </w:r>
      <w:r w:rsidRPr="00E135DD">
        <w:rPr>
          <w:rFonts w:ascii="Verdana" w:hAnsi="Verdana"/>
          <w:i/>
          <w:sz w:val="16"/>
          <w:szCs w:val="16"/>
          <w:lang w:val="pl-PL"/>
        </w:rPr>
        <w:t>Advisory Opinion: I.C.J. Reports 1949, p. 184;</w:t>
      </w:r>
      <w:r w:rsidRPr="00E135DD">
        <w:rPr>
          <w:rFonts w:ascii="Verdana" w:hAnsi="Verdana"/>
          <w:sz w:val="16"/>
          <w:szCs w:val="16"/>
          <w:lang w:val="pl-PL"/>
        </w:rPr>
        <w:t xml:space="preserve"> </w:t>
      </w:r>
      <w:r w:rsidRPr="00E135DD">
        <w:rPr>
          <w:rFonts w:ascii="Verdana" w:hAnsi="Verdana"/>
          <w:i/>
          <w:sz w:val="16"/>
          <w:szCs w:val="16"/>
          <w:lang w:val="pl-PL"/>
        </w:rPr>
        <w:t>Affaire relative à l’Usine de Chorzów (Demande en Indemnité) (Fond), Arrêt Nº 13, le 13 septembre 1928, C.P.J.I. Série A-Nº 17, p. 29;</w:t>
      </w:r>
      <w:r w:rsidRPr="00E135DD">
        <w:rPr>
          <w:rFonts w:ascii="Verdana" w:hAnsi="Verdana"/>
          <w:sz w:val="16"/>
          <w:szCs w:val="16"/>
          <w:lang w:val="pl-PL"/>
        </w:rPr>
        <w:t xml:space="preserve"> y </w:t>
      </w:r>
      <w:r w:rsidRPr="00E135DD">
        <w:rPr>
          <w:rFonts w:ascii="Verdana" w:hAnsi="Verdana"/>
          <w:i/>
          <w:sz w:val="16"/>
          <w:szCs w:val="16"/>
          <w:lang w:val="pl-PL"/>
        </w:rPr>
        <w:t>Affaire relative à l’Usine de Chorzów</w:t>
      </w:r>
      <w:r w:rsidRPr="00E135DD">
        <w:rPr>
          <w:rFonts w:ascii="Verdana" w:hAnsi="Verdana"/>
          <w:sz w:val="16"/>
          <w:szCs w:val="16"/>
          <w:lang w:val="pl-PL"/>
        </w:rPr>
        <w:t xml:space="preserve"> </w:t>
      </w:r>
      <w:r w:rsidRPr="00E135DD">
        <w:rPr>
          <w:rFonts w:ascii="Verdana" w:hAnsi="Verdana"/>
          <w:i/>
          <w:sz w:val="16"/>
          <w:szCs w:val="16"/>
          <w:lang w:val="pl-PL"/>
        </w:rPr>
        <w:t>(Demande en Indemnité) (Compétence)</w:t>
      </w:r>
      <w:r w:rsidRPr="00E135DD">
        <w:rPr>
          <w:rFonts w:ascii="Verdana" w:hAnsi="Verdana"/>
          <w:sz w:val="16"/>
          <w:szCs w:val="16"/>
          <w:lang w:val="pl-PL"/>
        </w:rPr>
        <w:t xml:space="preserve">, </w:t>
      </w:r>
      <w:r w:rsidRPr="00E135DD">
        <w:rPr>
          <w:rFonts w:ascii="Verdana" w:hAnsi="Verdana"/>
          <w:i/>
          <w:sz w:val="16"/>
          <w:szCs w:val="16"/>
          <w:lang w:val="pl-PL"/>
        </w:rPr>
        <w:t>Arrêt Nº 8, le 26 juillet 1927, C.P.J.I. Série A-Nº 9, p. 21.</w:t>
      </w:r>
    </w:p>
  </w:footnote>
  <w:footnote w:id="16">
    <w:p w:rsidR="0055292A" w:rsidRPr="0020033F" w:rsidRDefault="0055292A" w:rsidP="007F2B3F">
      <w:pPr>
        <w:pStyle w:val="Textonotapie"/>
        <w:jc w:val="both"/>
        <w:rPr>
          <w:rFonts w:ascii="Verdana" w:hAnsi="Verdana"/>
          <w:b/>
          <w:sz w:val="16"/>
          <w:szCs w:val="16"/>
        </w:rPr>
      </w:pPr>
      <w:r w:rsidRPr="0020033F">
        <w:rPr>
          <w:rStyle w:val="Refdenotaalpie"/>
          <w:rFonts w:ascii="Verdana" w:hAnsi="Verdana"/>
          <w:sz w:val="16"/>
          <w:szCs w:val="16"/>
        </w:rPr>
        <w:footnoteRef/>
      </w:r>
      <w:r w:rsidRPr="0020033F">
        <w:rPr>
          <w:rFonts w:ascii="Verdana" w:hAnsi="Verdana"/>
          <w:i/>
          <w:sz w:val="16"/>
          <w:szCs w:val="16"/>
        </w:rPr>
        <w:tab/>
        <w:t>Cfr.</w:t>
      </w:r>
      <w:r w:rsidRPr="0020033F">
        <w:rPr>
          <w:rFonts w:ascii="Verdana" w:hAnsi="Verdana"/>
          <w:sz w:val="16"/>
          <w:szCs w:val="16"/>
        </w:rPr>
        <w:t xml:space="preserve"> </w:t>
      </w:r>
      <w:r w:rsidRPr="0020033F">
        <w:rPr>
          <w:rFonts w:ascii="Verdana" w:hAnsi="Verdana"/>
          <w:i/>
          <w:sz w:val="16"/>
          <w:szCs w:val="16"/>
        </w:rPr>
        <w:t>Caso</w:t>
      </w:r>
      <w:r w:rsidRPr="0020033F">
        <w:rPr>
          <w:rFonts w:ascii="Verdana" w:hAnsi="Verdana"/>
          <w:b/>
          <w:i/>
          <w:sz w:val="16"/>
          <w:szCs w:val="16"/>
        </w:rPr>
        <w:t xml:space="preserve"> </w:t>
      </w:r>
      <w:r w:rsidRPr="0020033F">
        <w:rPr>
          <w:rStyle w:val="Textoennegrita"/>
          <w:rFonts w:ascii="Verdana" w:hAnsi="Verdana"/>
          <w:b w:val="0"/>
          <w:i/>
          <w:sz w:val="16"/>
          <w:szCs w:val="16"/>
        </w:rPr>
        <w:t>Baena Ricardo y otros Vs. Panamá. Competencia.</w:t>
      </w:r>
      <w:r w:rsidRPr="0020033F">
        <w:rPr>
          <w:rStyle w:val="Textoennegrita"/>
          <w:rFonts w:ascii="Verdana" w:hAnsi="Verdana"/>
          <w:b w:val="0"/>
          <w:sz w:val="16"/>
          <w:szCs w:val="16"/>
        </w:rPr>
        <w:t xml:space="preserve"> Sentencia de 28 de noviembre de 2003. Serie C No. 104, párr. 83 y </w:t>
      </w:r>
      <w:r w:rsidR="0020033F" w:rsidRPr="0020033F">
        <w:rPr>
          <w:rStyle w:val="Textoennegrita"/>
          <w:rFonts w:ascii="Verdana" w:hAnsi="Verdana"/>
          <w:b w:val="0"/>
          <w:i/>
          <w:color w:val="000000"/>
          <w:sz w:val="16"/>
          <w:szCs w:val="16"/>
          <w:shd w:val="clear" w:color="auto" w:fill="FFFFFF"/>
        </w:rPr>
        <w:t xml:space="preserve">Casos </w:t>
      </w:r>
      <w:proofErr w:type="spellStart"/>
      <w:r w:rsidR="0020033F" w:rsidRPr="0020033F">
        <w:rPr>
          <w:rStyle w:val="Textoennegrita"/>
          <w:rFonts w:ascii="Verdana" w:hAnsi="Verdana"/>
          <w:b w:val="0"/>
          <w:i/>
          <w:color w:val="000000"/>
          <w:sz w:val="16"/>
          <w:szCs w:val="16"/>
          <w:shd w:val="clear" w:color="auto" w:fill="FFFFFF"/>
        </w:rPr>
        <w:t>Chocrón</w:t>
      </w:r>
      <w:proofErr w:type="spellEnd"/>
      <w:r w:rsidR="0020033F" w:rsidRPr="0020033F">
        <w:rPr>
          <w:rStyle w:val="Textoennegrita"/>
          <w:rFonts w:ascii="Verdana" w:hAnsi="Verdana"/>
          <w:b w:val="0"/>
          <w:i/>
          <w:color w:val="000000"/>
          <w:sz w:val="16"/>
          <w:szCs w:val="16"/>
          <w:shd w:val="clear" w:color="auto" w:fill="FFFFFF"/>
        </w:rPr>
        <w:t xml:space="preserve"> </w:t>
      </w:r>
      <w:proofErr w:type="spellStart"/>
      <w:r w:rsidR="0020033F" w:rsidRPr="0020033F">
        <w:rPr>
          <w:rStyle w:val="Textoennegrita"/>
          <w:rFonts w:ascii="Verdana" w:hAnsi="Verdana"/>
          <w:b w:val="0"/>
          <w:i/>
          <w:color w:val="000000"/>
          <w:sz w:val="16"/>
          <w:szCs w:val="16"/>
          <w:shd w:val="clear" w:color="auto" w:fill="FFFFFF"/>
        </w:rPr>
        <w:t>Chocrón</w:t>
      </w:r>
      <w:proofErr w:type="spellEnd"/>
      <w:r w:rsidR="0020033F" w:rsidRPr="0020033F">
        <w:rPr>
          <w:rStyle w:val="Textoennegrita"/>
          <w:rFonts w:ascii="Verdana" w:hAnsi="Verdana"/>
          <w:b w:val="0"/>
          <w:i/>
          <w:color w:val="000000"/>
          <w:sz w:val="16"/>
          <w:szCs w:val="16"/>
          <w:shd w:val="clear" w:color="auto" w:fill="FFFFFF"/>
        </w:rPr>
        <w:t xml:space="preserve">, Díaz Peña, y </w:t>
      </w:r>
      <w:proofErr w:type="spellStart"/>
      <w:r w:rsidR="0020033F" w:rsidRPr="0020033F">
        <w:rPr>
          <w:rStyle w:val="Textoennegrita"/>
          <w:rFonts w:ascii="Verdana" w:hAnsi="Verdana"/>
          <w:b w:val="0"/>
          <w:i/>
          <w:color w:val="000000"/>
          <w:sz w:val="16"/>
          <w:szCs w:val="16"/>
          <w:shd w:val="clear" w:color="auto" w:fill="FFFFFF"/>
        </w:rPr>
        <w:t>Uzcátegui</w:t>
      </w:r>
      <w:proofErr w:type="spellEnd"/>
      <w:r w:rsidR="0020033F" w:rsidRPr="0020033F">
        <w:rPr>
          <w:rStyle w:val="Textoennegrita"/>
          <w:rFonts w:ascii="Verdana" w:hAnsi="Verdana"/>
          <w:b w:val="0"/>
          <w:i/>
          <w:color w:val="000000"/>
          <w:sz w:val="16"/>
          <w:szCs w:val="16"/>
          <w:shd w:val="clear" w:color="auto" w:fill="FFFFFF"/>
        </w:rPr>
        <w:t xml:space="preserve"> y otros Vs. Venezuela. Supervisión de Cumplimiento de Sentencias. </w:t>
      </w:r>
      <w:r w:rsidR="0020033F" w:rsidRPr="0020033F">
        <w:rPr>
          <w:rStyle w:val="Textoennegrita"/>
          <w:rFonts w:ascii="Verdana" w:hAnsi="Verdana"/>
          <w:b w:val="0"/>
          <w:color w:val="000000"/>
          <w:sz w:val="16"/>
          <w:szCs w:val="16"/>
          <w:shd w:val="clear" w:color="auto" w:fill="FFFFFF"/>
        </w:rPr>
        <w:t xml:space="preserve">Resolución de la Corte Interamericana de Derechos Humanos de 20 de noviembre de 2015, </w:t>
      </w:r>
      <w:r w:rsidR="004841B3" w:rsidRPr="0020033F">
        <w:rPr>
          <w:rStyle w:val="Textoennegrita"/>
          <w:rFonts w:ascii="Verdana" w:hAnsi="Verdana"/>
          <w:b w:val="0"/>
          <w:color w:val="000000"/>
          <w:sz w:val="16"/>
          <w:szCs w:val="16"/>
          <w:shd w:val="clear" w:color="auto" w:fill="FFFFFF"/>
        </w:rPr>
        <w:t>Considerando 5.</w:t>
      </w:r>
    </w:p>
  </w:footnote>
  <w:footnote w:id="17">
    <w:p w:rsidR="00EF2A74" w:rsidRPr="00EF2A74" w:rsidRDefault="00EF2A74" w:rsidP="00EF2A74">
      <w:pPr>
        <w:pStyle w:val="Textonotapie"/>
        <w:jc w:val="both"/>
        <w:rPr>
          <w:rFonts w:ascii="Verdana" w:hAnsi="Verdana"/>
          <w:sz w:val="16"/>
          <w:szCs w:val="16"/>
        </w:rPr>
      </w:pPr>
      <w:r w:rsidRPr="00EF2A74">
        <w:rPr>
          <w:rStyle w:val="Refdenotaalpie"/>
          <w:rFonts w:ascii="Verdana" w:hAnsi="Verdana"/>
          <w:sz w:val="16"/>
          <w:szCs w:val="16"/>
        </w:rPr>
        <w:footnoteRef/>
      </w:r>
      <w:r w:rsidRPr="00EF2A74">
        <w:rPr>
          <w:rFonts w:ascii="Verdana" w:hAnsi="Verdana"/>
          <w:sz w:val="16"/>
          <w:szCs w:val="16"/>
        </w:rPr>
        <w:t xml:space="preserve"> </w:t>
      </w:r>
      <w:r w:rsidRPr="00EF2A74">
        <w:rPr>
          <w:rFonts w:ascii="Verdana" w:hAnsi="Verdana"/>
          <w:sz w:val="16"/>
          <w:szCs w:val="16"/>
        </w:rPr>
        <w:tab/>
        <w:t xml:space="preserve">En el punto dispositivo décimo de la Sentencia se otorgó el plazo de un año para que el Estado presentara un informe al Tribunal. </w:t>
      </w:r>
    </w:p>
  </w:footnote>
  <w:footnote w:id="18">
    <w:p w:rsidR="00530D9F" w:rsidRPr="00530D9F" w:rsidRDefault="00530D9F" w:rsidP="00530D9F">
      <w:pPr>
        <w:pStyle w:val="Textonotapie"/>
        <w:jc w:val="both"/>
        <w:rPr>
          <w:rFonts w:ascii="Verdana" w:hAnsi="Verdana"/>
          <w:sz w:val="16"/>
          <w:szCs w:val="16"/>
        </w:rPr>
      </w:pPr>
      <w:r w:rsidRPr="00530D9F">
        <w:rPr>
          <w:rStyle w:val="Refdenotaalpie"/>
          <w:rFonts w:ascii="Verdana" w:hAnsi="Verdana"/>
          <w:sz w:val="16"/>
          <w:szCs w:val="16"/>
        </w:rPr>
        <w:footnoteRef/>
      </w:r>
      <w:r w:rsidRPr="00530D9F">
        <w:rPr>
          <w:rFonts w:ascii="Verdana" w:hAnsi="Verdana"/>
          <w:sz w:val="16"/>
          <w:szCs w:val="16"/>
        </w:rPr>
        <w:t xml:space="preserve"> </w:t>
      </w:r>
      <w:r w:rsidRPr="00530D9F">
        <w:rPr>
          <w:rFonts w:ascii="Verdana" w:hAnsi="Verdana"/>
          <w:sz w:val="16"/>
          <w:szCs w:val="16"/>
        </w:rPr>
        <w:tab/>
        <w:t>El Fondo de Asistencia Legal de Víctimas de la Corte Interamericana no cuenta con recursos del presupuesto ordinario de la OEA. Hasta la fecha los fondos provienen de proyectos de cooperación firmados por el Tribunal con Noruega y Dinamarca, y del aporte voluntario realizado por Colombia. Al respecto ver: Informe Anual de la Corte Interamericana de Derechos Humanos de 2015, págs. 149 y ss., disponible en: http://www.corteidh.or.cr/sitios/informes/docs/SPA/spa_2015.pdf.</w:t>
      </w:r>
    </w:p>
  </w:footnote>
  <w:footnote w:id="19">
    <w:p w:rsidR="0004777E" w:rsidRPr="0004777E" w:rsidRDefault="0004777E" w:rsidP="0004777E">
      <w:pPr>
        <w:pStyle w:val="Textonotapie"/>
        <w:jc w:val="both"/>
        <w:rPr>
          <w:rFonts w:ascii="Verdana" w:hAnsi="Verdana"/>
          <w:sz w:val="16"/>
          <w:szCs w:val="16"/>
        </w:rPr>
      </w:pPr>
      <w:r w:rsidRPr="0004777E">
        <w:rPr>
          <w:rStyle w:val="Refdenotaalpie"/>
          <w:rFonts w:ascii="Verdana" w:hAnsi="Verdana"/>
          <w:sz w:val="16"/>
          <w:szCs w:val="16"/>
        </w:rPr>
        <w:footnoteRef/>
      </w:r>
      <w:r w:rsidRPr="0004777E">
        <w:rPr>
          <w:rFonts w:ascii="Verdana" w:hAnsi="Verdana"/>
          <w:sz w:val="16"/>
          <w:szCs w:val="16"/>
        </w:rPr>
        <w:t xml:space="preserve"> </w:t>
      </w:r>
      <w:r w:rsidRPr="0004777E">
        <w:rPr>
          <w:rFonts w:ascii="Verdana" w:hAnsi="Verdana"/>
          <w:sz w:val="16"/>
          <w:szCs w:val="16"/>
        </w:rPr>
        <w:tab/>
      </w:r>
      <w:r w:rsidRPr="0004777E">
        <w:rPr>
          <w:rFonts w:ascii="Verdana" w:hAnsi="Verdana"/>
          <w:i/>
          <w:iCs/>
          <w:sz w:val="16"/>
          <w:szCs w:val="16"/>
        </w:rPr>
        <w:t>Cfr.</w:t>
      </w:r>
      <w:r w:rsidRPr="0004777E">
        <w:rPr>
          <w:rFonts w:ascii="Verdana" w:hAnsi="Verdana"/>
          <w:b/>
          <w:bCs/>
          <w:sz w:val="16"/>
          <w:szCs w:val="16"/>
        </w:rPr>
        <w:t xml:space="preserve"> </w:t>
      </w:r>
      <w:r w:rsidRPr="0004777E">
        <w:rPr>
          <w:rStyle w:val="Textoennegrita"/>
          <w:rFonts w:ascii="Verdana" w:hAnsi="Verdana"/>
          <w:b w:val="0"/>
          <w:bCs w:val="0"/>
          <w:i/>
          <w:iCs/>
          <w:color w:val="000000"/>
          <w:sz w:val="16"/>
          <w:szCs w:val="16"/>
          <w:shd w:val="clear" w:color="auto" w:fill="FFFFFF"/>
        </w:rPr>
        <w:t>Caso Familia Barrios Vs. Venezuela. Supervisión de Cumplimiento de Sentencia</w:t>
      </w:r>
      <w:r w:rsidR="007F2B3F">
        <w:rPr>
          <w:rStyle w:val="Textoennegrita"/>
          <w:rFonts w:ascii="Verdana" w:hAnsi="Verdana"/>
          <w:b w:val="0"/>
          <w:bCs w:val="0"/>
          <w:i/>
          <w:iCs/>
          <w:color w:val="000000"/>
          <w:sz w:val="16"/>
          <w:szCs w:val="16"/>
          <w:shd w:val="clear" w:color="auto" w:fill="FFFFFF"/>
        </w:rPr>
        <w:t>,</w:t>
      </w:r>
      <w:r w:rsidRPr="0004777E">
        <w:rPr>
          <w:rStyle w:val="Textoennegrita"/>
          <w:rFonts w:ascii="Verdana" w:hAnsi="Verdana"/>
          <w:b w:val="0"/>
          <w:bCs w:val="0"/>
          <w:i/>
          <w:iCs/>
          <w:color w:val="000000"/>
          <w:sz w:val="16"/>
          <w:szCs w:val="16"/>
          <w:shd w:val="clear" w:color="auto" w:fill="FFFFFF"/>
        </w:rPr>
        <w:t xml:space="preserve"> </w:t>
      </w:r>
      <w:r w:rsidR="007F2B3F">
        <w:rPr>
          <w:rFonts w:ascii="Verdana" w:hAnsi="Verdana"/>
          <w:i/>
          <w:sz w:val="16"/>
          <w:szCs w:val="16"/>
        </w:rPr>
        <w:t>supra</w:t>
      </w:r>
      <w:r w:rsidR="007F2B3F">
        <w:rPr>
          <w:rFonts w:ascii="Verdana" w:hAnsi="Verdana"/>
          <w:sz w:val="16"/>
          <w:szCs w:val="16"/>
        </w:rPr>
        <w:t xml:space="preserve"> nota </w:t>
      </w:r>
      <w:r w:rsidR="007F2B3F">
        <w:rPr>
          <w:rFonts w:ascii="Verdana" w:hAnsi="Verdana"/>
          <w:sz w:val="16"/>
          <w:szCs w:val="16"/>
        </w:rPr>
        <w:fldChar w:fldCharType="begin"/>
      </w:r>
      <w:r w:rsidR="007F2B3F">
        <w:rPr>
          <w:rFonts w:ascii="Verdana" w:hAnsi="Verdana"/>
          <w:sz w:val="16"/>
          <w:szCs w:val="16"/>
        </w:rPr>
        <w:instrText xml:space="preserve"> NOTEREF _Ref469499675 \h </w:instrText>
      </w:r>
      <w:r w:rsidR="007F2B3F">
        <w:rPr>
          <w:rFonts w:ascii="Verdana" w:hAnsi="Verdana"/>
          <w:sz w:val="16"/>
          <w:szCs w:val="16"/>
        </w:rPr>
      </w:r>
      <w:r w:rsidR="007F2B3F">
        <w:rPr>
          <w:rFonts w:ascii="Verdana" w:hAnsi="Verdana"/>
          <w:sz w:val="16"/>
          <w:szCs w:val="16"/>
        </w:rPr>
        <w:fldChar w:fldCharType="separate"/>
      </w:r>
      <w:r w:rsidR="00711324">
        <w:rPr>
          <w:rFonts w:ascii="Verdana" w:hAnsi="Verdana"/>
          <w:sz w:val="16"/>
          <w:szCs w:val="16"/>
        </w:rPr>
        <w:t>4</w:t>
      </w:r>
      <w:r w:rsidR="007F2B3F">
        <w:rPr>
          <w:rFonts w:ascii="Verdana" w:hAnsi="Verdana"/>
          <w:sz w:val="16"/>
          <w:szCs w:val="16"/>
        </w:rPr>
        <w:fldChar w:fldCharType="end"/>
      </w:r>
      <w:r w:rsidRPr="0004777E">
        <w:rPr>
          <w:rStyle w:val="Textoennegrita"/>
          <w:rFonts w:ascii="Verdana" w:hAnsi="Verdana"/>
          <w:b w:val="0"/>
          <w:bCs w:val="0"/>
          <w:color w:val="000000"/>
          <w:sz w:val="16"/>
          <w:szCs w:val="16"/>
          <w:shd w:val="clear" w:color="auto" w:fill="FFFFFF"/>
        </w:rPr>
        <w:t>, Considerando 6.</w:t>
      </w:r>
    </w:p>
  </w:footnote>
  <w:footnote w:id="20">
    <w:p w:rsidR="0055292A" w:rsidRPr="00757886" w:rsidRDefault="0055292A" w:rsidP="00E135DD">
      <w:pPr>
        <w:pStyle w:val="Textonotapie"/>
        <w:tabs>
          <w:tab w:val="left" w:pos="611"/>
        </w:tabs>
        <w:jc w:val="both"/>
        <w:rPr>
          <w:rFonts w:ascii="Verdana" w:eastAsia="Times" w:hAnsi="Verdana"/>
          <w:sz w:val="16"/>
          <w:szCs w:val="16"/>
          <w:lang w:val="es-ES_tradnl" w:eastAsia="x-none"/>
        </w:rPr>
      </w:pPr>
      <w:r w:rsidRPr="00757886">
        <w:rPr>
          <w:rStyle w:val="Refdenotaalpie"/>
          <w:rFonts w:ascii="Verdana" w:hAnsi="Verdana"/>
          <w:sz w:val="16"/>
          <w:szCs w:val="16"/>
        </w:rPr>
        <w:footnoteRef/>
      </w:r>
      <w:r w:rsidRPr="00757886">
        <w:rPr>
          <w:rFonts w:ascii="Verdana" w:hAnsi="Verdana"/>
          <w:sz w:val="16"/>
          <w:szCs w:val="16"/>
        </w:rPr>
        <w:t xml:space="preserve"> </w:t>
      </w:r>
      <w:r w:rsidRPr="00757886">
        <w:rPr>
          <w:rFonts w:ascii="Verdana" w:hAnsi="Verdana"/>
          <w:sz w:val="16"/>
          <w:szCs w:val="16"/>
        </w:rPr>
        <w:tab/>
      </w:r>
      <w:r w:rsidRPr="00757886">
        <w:rPr>
          <w:rFonts w:ascii="Verdana" w:hAnsi="Verdana"/>
          <w:i/>
          <w:sz w:val="16"/>
          <w:szCs w:val="16"/>
        </w:rPr>
        <w:t xml:space="preserve">Cfr. Caso </w:t>
      </w:r>
      <w:proofErr w:type="spellStart"/>
      <w:r w:rsidRPr="00757886">
        <w:rPr>
          <w:rFonts w:ascii="Verdana" w:hAnsi="Verdana"/>
          <w:i/>
          <w:sz w:val="16"/>
          <w:szCs w:val="16"/>
        </w:rPr>
        <w:t>Caesar</w:t>
      </w:r>
      <w:proofErr w:type="spellEnd"/>
      <w:r w:rsidRPr="00757886">
        <w:rPr>
          <w:rFonts w:ascii="Verdana" w:hAnsi="Verdana"/>
          <w:i/>
          <w:sz w:val="16"/>
          <w:szCs w:val="16"/>
        </w:rPr>
        <w:t xml:space="preserve"> Vs. Trinidad y Tobago. Fondo, Reparaciones y Costas.</w:t>
      </w:r>
      <w:r w:rsidRPr="00757886">
        <w:rPr>
          <w:rFonts w:ascii="Verdana" w:hAnsi="Verdana"/>
          <w:sz w:val="16"/>
          <w:szCs w:val="16"/>
        </w:rPr>
        <w:t xml:space="preserve"> Sentencia de 11 de marzo de 2005. Serie C No. 123, párr. 38, </w:t>
      </w:r>
      <w:r w:rsidRPr="00757886">
        <w:rPr>
          <w:rStyle w:val="Textoennegrita"/>
          <w:rFonts w:ascii="Verdana" w:hAnsi="Verdana"/>
          <w:b w:val="0"/>
          <w:sz w:val="16"/>
          <w:szCs w:val="16"/>
        </w:rPr>
        <w:t xml:space="preserve">y </w:t>
      </w:r>
      <w:r w:rsidR="00757886" w:rsidRPr="00757886">
        <w:rPr>
          <w:rFonts w:ascii="Verdana" w:hAnsi="Verdana"/>
          <w:i/>
          <w:sz w:val="16"/>
          <w:szCs w:val="16"/>
        </w:rPr>
        <w:t xml:space="preserve">Caso </w:t>
      </w:r>
      <w:proofErr w:type="spellStart"/>
      <w:r w:rsidR="00757886" w:rsidRPr="00757886">
        <w:rPr>
          <w:rFonts w:ascii="Verdana" w:hAnsi="Verdana"/>
          <w:i/>
          <w:sz w:val="16"/>
          <w:szCs w:val="16"/>
        </w:rPr>
        <w:t>Fleury</w:t>
      </w:r>
      <w:proofErr w:type="spellEnd"/>
      <w:r w:rsidR="00757886" w:rsidRPr="00757886">
        <w:rPr>
          <w:rFonts w:ascii="Verdana" w:hAnsi="Verdana"/>
          <w:i/>
          <w:sz w:val="16"/>
          <w:szCs w:val="16"/>
        </w:rPr>
        <w:t xml:space="preserve"> y otros Vs. Haití. Supervisión de cumplimiento de Sentencia</w:t>
      </w:r>
      <w:r w:rsidR="00757886" w:rsidRPr="00757886">
        <w:rPr>
          <w:rFonts w:ascii="Verdana" w:hAnsi="Verdana"/>
          <w:sz w:val="16"/>
          <w:szCs w:val="16"/>
        </w:rPr>
        <w:t xml:space="preserve">. Resolución de la </w:t>
      </w:r>
      <w:r w:rsidR="00757886">
        <w:rPr>
          <w:rFonts w:ascii="Verdana" w:hAnsi="Verdana"/>
          <w:sz w:val="16"/>
          <w:szCs w:val="16"/>
        </w:rPr>
        <w:t>C</w:t>
      </w:r>
      <w:r w:rsidR="00757886" w:rsidRPr="00757886">
        <w:rPr>
          <w:rFonts w:ascii="Verdana" w:hAnsi="Verdana"/>
          <w:sz w:val="16"/>
          <w:szCs w:val="16"/>
        </w:rPr>
        <w:t xml:space="preserve">orte Interamericana de Derechos Humanos de 20 de noviembre de 2015, </w:t>
      </w:r>
      <w:r w:rsidR="00757886">
        <w:rPr>
          <w:rFonts w:ascii="Verdana" w:hAnsi="Verdana"/>
          <w:sz w:val="16"/>
          <w:szCs w:val="16"/>
        </w:rPr>
        <w:t>C</w:t>
      </w:r>
      <w:r w:rsidR="00757886" w:rsidRPr="00757886">
        <w:rPr>
          <w:rFonts w:ascii="Verdana" w:hAnsi="Verdana"/>
          <w:sz w:val="16"/>
          <w:szCs w:val="16"/>
        </w:rPr>
        <w:t>onsiderando 4</w:t>
      </w:r>
      <w:r w:rsidR="00757886">
        <w:rPr>
          <w:rFonts w:ascii="Verdana" w:hAnsi="Verdana"/>
          <w:sz w:val="16"/>
          <w:szCs w:val="16"/>
        </w:rPr>
        <w:t>.</w:t>
      </w:r>
    </w:p>
  </w:footnote>
  <w:footnote w:id="21">
    <w:p w:rsidR="0055292A" w:rsidRPr="00E135DD" w:rsidRDefault="0055292A" w:rsidP="00E135DD">
      <w:pPr>
        <w:tabs>
          <w:tab w:val="left" w:pos="0"/>
          <w:tab w:val="left" w:pos="720"/>
          <w:tab w:val="left" w:pos="1440"/>
          <w:tab w:val="left" w:pos="2160"/>
        </w:tabs>
        <w:spacing w:line="240" w:lineRule="auto"/>
        <w:jc w:val="both"/>
        <w:rPr>
          <w:rFonts w:ascii="Verdana" w:hAnsi="Verdana"/>
          <w:b/>
          <w:sz w:val="16"/>
          <w:szCs w:val="16"/>
        </w:rPr>
      </w:pPr>
      <w:r w:rsidRPr="00E135DD">
        <w:rPr>
          <w:rStyle w:val="Refdenotaalpie"/>
          <w:rFonts w:ascii="Verdana" w:hAnsi="Verdana"/>
          <w:sz w:val="16"/>
          <w:szCs w:val="16"/>
        </w:rPr>
        <w:footnoteRef/>
      </w:r>
      <w:r w:rsidRPr="00E135DD">
        <w:rPr>
          <w:rFonts w:ascii="Verdana" w:hAnsi="Verdana"/>
          <w:b/>
          <w:sz w:val="16"/>
          <w:szCs w:val="16"/>
        </w:rPr>
        <w:tab/>
      </w:r>
      <w:r w:rsidRPr="00E135DD">
        <w:rPr>
          <w:rFonts w:ascii="Verdana" w:hAnsi="Verdana"/>
          <w:i/>
          <w:sz w:val="16"/>
          <w:szCs w:val="16"/>
        </w:rPr>
        <w:t xml:space="preserve">Cfr. Caso </w:t>
      </w:r>
      <w:proofErr w:type="spellStart"/>
      <w:r w:rsidRPr="00E135DD">
        <w:rPr>
          <w:rFonts w:ascii="Verdana" w:hAnsi="Verdana"/>
          <w:i/>
          <w:sz w:val="16"/>
          <w:szCs w:val="16"/>
        </w:rPr>
        <w:t>Caesar</w:t>
      </w:r>
      <w:proofErr w:type="spellEnd"/>
      <w:r w:rsidRPr="00E135DD">
        <w:rPr>
          <w:rFonts w:ascii="Verdana" w:hAnsi="Verdana"/>
          <w:i/>
          <w:sz w:val="16"/>
          <w:szCs w:val="16"/>
        </w:rPr>
        <w:t xml:space="preserve"> Vs. Trinidad y Tobago. Supervisión de Cumplimiento de Sentencia.</w:t>
      </w:r>
      <w:r w:rsidRPr="00E135DD">
        <w:rPr>
          <w:rFonts w:ascii="Verdana" w:hAnsi="Verdana"/>
          <w:sz w:val="16"/>
          <w:szCs w:val="16"/>
        </w:rPr>
        <w:t xml:space="preserve"> Resolución de la Corte Interamericana de Derechos Humanos de 21 de noviembre de 2007, Considerando 11</w:t>
      </w:r>
      <w:r w:rsidR="007F2B3F">
        <w:rPr>
          <w:rFonts w:ascii="Verdana" w:hAnsi="Verdana"/>
          <w:sz w:val="16"/>
          <w:szCs w:val="16"/>
        </w:rPr>
        <w:t>,</w:t>
      </w:r>
      <w:r w:rsidRPr="00E135DD">
        <w:rPr>
          <w:rFonts w:ascii="Verdana" w:hAnsi="Verdana"/>
          <w:sz w:val="16"/>
          <w:szCs w:val="16"/>
        </w:rPr>
        <w:t xml:space="preserve"> y</w:t>
      </w:r>
      <w:r w:rsidRPr="00E135DD">
        <w:rPr>
          <w:rFonts w:ascii="Verdana" w:hAnsi="Verdana"/>
          <w:b/>
          <w:sz w:val="16"/>
          <w:szCs w:val="16"/>
        </w:rPr>
        <w:t xml:space="preserve"> </w:t>
      </w:r>
      <w:r w:rsidR="00757886" w:rsidRPr="00757886">
        <w:rPr>
          <w:rFonts w:ascii="Verdana" w:hAnsi="Verdana"/>
          <w:i/>
          <w:sz w:val="16"/>
          <w:szCs w:val="16"/>
        </w:rPr>
        <w:t xml:space="preserve">Caso </w:t>
      </w:r>
      <w:proofErr w:type="spellStart"/>
      <w:r w:rsidR="00757886" w:rsidRPr="00757886">
        <w:rPr>
          <w:rFonts w:ascii="Verdana" w:hAnsi="Verdana"/>
          <w:i/>
          <w:sz w:val="16"/>
          <w:szCs w:val="16"/>
        </w:rPr>
        <w:t>Fleury</w:t>
      </w:r>
      <w:proofErr w:type="spellEnd"/>
      <w:r w:rsidR="00757886" w:rsidRPr="00757886">
        <w:rPr>
          <w:rFonts w:ascii="Verdana" w:hAnsi="Verdana"/>
          <w:i/>
          <w:sz w:val="16"/>
          <w:szCs w:val="16"/>
        </w:rPr>
        <w:t xml:space="preserve"> y otros Vs. Haití. Supervisión de cumplimiento de Sentencia</w:t>
      </w:r>
      <w:r w:rsidR="007F2B3F">
        <w:rPr>
          <w:rFonts w:ascii="Verdana" w:hAnsi="Verdana"/>
          <w:sz w:val="16"/>
          <w:szCs w:val="16"/>
        </w:rPr>
        <w:t>,</w:t>
      </w:r>
      <w:r w:rsidR="00757886" w:rsidRPr="00757886">
        <w:rPr>
          <w:rFonts w:ascii="Verdana" w:hAnsi="Verdana"/>
          <w:sz w:val="16"/>
          <w:szCs w:val="16"/>
        </w:rPr>
        <w:t xml:space="preserve"> </w:t>
      </w:r>
      <w:r w:rsidR="007F2B3F">
        <w:rPr>
          <w:rFonts w:ascii="Verdana" w:hAnsi="Verdana"/>
          <w:i/>
          <w:sz w:val="16"/>
          <w:szCs w:val="16"/>
        </w:rPr>
        <w:t xml:space="preserve">supra </w:t>
      </w:r>
      <w:r w:rsidR="007F2B3F">
        <w:rPr>
          <w:rFonts w:ascii="Verdana" w:hAnsi="Verdana"/>
          <w:sz w:val="16"/>
          <w:szCs w:val="16"/>
        </w:rPr>
        <w:t xml:space="preserve">nota </w:t>
      </w:r>
      <w:r w:rsidR="007F2B3F">
        <w:rPr>
          <w:rFonts w:ascii="Verdana" w:hAnsi="Verdana"/>
          <w:sz w:val="16"/>
          <w:szCs w:val="16"/>
        </w:rPr>
        <w:fldChar w:fldCharType="begin"/>
      </w:r>
      <w:r w:rsidR="007F2B3F">
        <w:rPr>
          <w:rFonts w:ascii="Verdana" w:hAnsi="Verdana"/>
          <w:sz w:val="16"/>
          <w:szCs w:val="16"/>
        </w:rPr>
        <w:instrText xml:space="preserve"> NOTEREF _Ref469499816 \h </w:instrText>
      </w:r>
      <w:r w:rsidR="007F2B3F">
        <w:rPr>
          <w:rFonts w:ascii="Verdana" w:hAnsi="Verdana"/>
          <w:sz w:val="16"/>
          <w:szCs w:val="16"/>
        </w:rPr>
      </w:r>
      <w:r w:rsidR="007F2B3F">
        <w:rPr>
          <w:rFonts w:ascii="Verdana" w:hAnsi="Verdana"/>
          <w:sz w:val="16"/>
          <w:szCs w:val="16"/>
        </w:rPr>
        <w:fldChar w:fldCharType="separate"/>
      </w:r>
      <w:r w:rsidR="00711324">
        <w:rPr>
          <w:rFonts w:ascii="Verdana" w:hAnsi="Verdana"/>
          <w:sz w:val="16"/>
          <w:szCs w:val="16"/>
        </w:rPr>
        <w:t>20</w:t>
      </w:r>
      <w:r w:rsidR="007F2B3F">
        <w:rPr>
          <w:rFonts w:ascii="Verdana" w:hAnsi="Verdana"/>
          <w:sz w:val="16"/>
          <w:szCs w:val="16"/>
        </w:rPr>
        <w:fldChar w:fldCharType="end"/>
      </w:r>
      <w:r w:rsidR="00757886" w:rsidRPr="00757886">
        <w:rPr>
          <w:rFonts w:ascii="Verdana" w:hAnsi="Verdana"/>
          <w:sz w:val="16"/>
          <w:szCs w:val="16"/>
        </w:rPr>
        <w:t xml:space="preserve">, </w:t>
      </w:r>
      <w:r w:rsidR="00757886">
        <w:rPr>
          <w:rFonts w:ascii="Verdana" w:hAnsi="Verdana"/>
          <w:sz w:val="16"/>
          <w:szCs w:val="16"/>
        </w:rPr>
        <w:t>C</w:t>
      </w:r>
      <w:r w:rsidR="00757886" w:rsidRPr="00757886">
        <w:rPr>
          <w:rFonts w:ascii="Verdana" w:hAnsi="Verdana"/>
          <w:sz w:val="16"/>
          <w:szCs w:val="16"/>
        </w:rPr>
        <w:t>onsiderando 4</w:t>
      </w:r>
      <w:r w:rsidR="00757886">
        <w:rPr>
          <w:rFonts w:ascii="Verdana" w:hAnsi="Verdana"/>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9CC" w:rsidRDefault="002419CC">
    <w:pPr>
      <w:pStyle w:val="Encabezado"/>
      <w:jc w:val="center"/>
    </w:pPr>
    <w:r>
      <w:fldChar w:fldCharType="begin"/>
    </w:r>
    <w:r>
      <w:instrText xml:space="preserve"> PAGE   \* MERGEFORMAT </w:instrText>
    </w:r>
    <w:r>
      <w:fldChar w:fldCharType="separate"/>
    </w:r>
    <w:r w:rsidR="00337D41">
      <w:rPr>
        <w:noProof/>
      </w:rPr>
      <w:t>2</w:t>
    </w:r>
    <w:r>
      <w:rPr>
        <w:noProof/>
      </w:rPr>
      <w:fldChar w:fldCharType="end"/>
    </w:r>
  </w:p>
  <w:p w:rsidR="0055292A" w:rsidRPr="00F07F92" w:rsidRDefault="0055292A" w:rsidP="00F07F92">
    <w:pPr>
      <w:pStyle w:val="Encabezad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65D2"/>
    <w:multiLevelType w:val="hybridMultilevel"/>
    <w:tmpl w:val="056A23BC"/>
    <w:lvl w:ilvl="0" w:tplc="7DB28384">
      <w:start w:val="1"/>
      <w:numFmt w:val="decimal"/>
      <w:lvlText w:val="%1."/>
      <w:lvlJc w:val="left"/>
      <w:pPr>
        <w:ind w:left="3240" w:hanging="72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1">
    <w:nsid w:val="00B25368"/>
    <w:multiLevelType w:val="hybridMultilevel"/>
    <w:tmpl w:val="EEC0FB24"/>
    <w:lvl w:ilvl="0" w:tplc="A970B9CC">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75A2AE6"/>
    <w:multiLevelType w:val="multilevel"/>
    <w:tmpl w:val="86806766"/>
    <w:lvl w:ilvl="0">
      <w:start w:val="1"/>
      <w:numFmt w:val="decimal"/>
      <w:lvlText w:val="%1."/>
      <w:lvlJc w:val="left"/>
      <w:pPr>
        <w:ind w:left="360" w:hanging="360"/>
      </w:pPr>
    </w:lvl>
    <w:lvl w:ilvl="1">
      <w:start w:val="2"/>
      <w:numFmt w:val="decimal"/>
      <w:isLgl/>
      <w:lvlText w:val="%1.%2."/>
      <w:lvlJc w:val="left"/>
      <w:pPr>
        <w:ind w:left="1151" w:hanging="720"/>
      </w:pPr>
    </w:lvl>
    <w:lvl w:ilvl="2">
      <w:start w:val="1"/>
      <w:numFmt w:val="decimal"/>
      <w:isLgl/>
      <w:lvlText w:val="%1.%2.%3."/>
      <w:lvlJc w:val="left"/>
      <w:pPr>
        <w:ind w:left="1211" w:hanging="720"/>
      </w:pPr>
    </w:lvl>
    <w:lvl w:ilvl="3">
      <w:start w:val="1"/>
      <w:numFmt w:val="decimal"/>
      <w:isLgl/>
      <w:lvlText w:val="%1.%2.%3.%4."/>
      <w:lvlJc w:val="left"/>
      <w:pPr>
        <w:ind w:left="1631" w:hanging="1080"/>
      </w:pPr>
    </w:lvl>
    <w:lvl w:ilvl="4">
      <w:start w:val="1"/>
      <w:numFmt w:val="decimal"/>
      <w:isLgl/>
      <w:lvlText w:val="%1.%2.%3.%4.%5."/>
      <w:lvlJc w:val="left"/>
      <w:pPr>
        <w:ind w:left="2051" w:hanging="1440"/>
      </w:pPr>
    </w:lvl>
    <w:lvl w:ilvl="5">
      <w:start w:val="1"/>
      <w:numFmt w:val="decimal"/>
      <w:isLgl/>
      <w:lvlText w:val="%1.%2.%3.%4.%5.%6."/>
      <w:lvlJc w:val="left"/>
      <w:pPr>
        <w:ind w:left="2111" w:hanging="1440"/>
      </w:pPr>
    </w:lvl>
    <w:lvl w:ilvl="6">
      <w:start w:val="1"/>
      <w:numFmt w:val="decimal"/>
      <w:isLgl/>
      <w:lvlText w:val="%1.%2.%3.%4.%5.%6.%7."/>
      <w:lvlJc w:val="left"/>
      <w:pPr>
        <w:ind w:left="2531" w:hanging="1800"/>
      </w:pPr>
    </w:lvl>
    <w:lvl w:ilvl="7">
      <w:start w:val="1"/>
      <w:numFmt w:val="decimal"/>
      <w:isLgl/>
      <w:lvlText w:val="%1.%2.%3.%4.%5.%6.%7.%8."/>
      <w:lvlJc w:val="left"/>
      <w:pPr>
        <w:ind w:left="2951" w:hanging="2160"/>
      </w:pPr>
    </w:lvl>
    <w:lvl w:ilvl="8">
      <w:start w:val="1"/>
      <w:numFmt w:val="decimal"/>
      <w:isLgl/>
      <w:lvlText w:val="%1.%2.%3.%4.%5.%6.%7.%8.%9."/>
      <w:lvlJc w:val="left"/>
      <w:pPr>
        <w:ind w:left="3011" w:hanging="2160"/>
      </w:pPr>
    </w:lvl>
  </w:abstractNum>
  <w:abstractNum w:abstractNumId="3">
    <w:nsid w:val="284A524C"/>
    <w:multiLevelType w:val="hybridMultilevel"/>
    <w:tmpl w:val="5F56C960"/>
    <w:lvl w:ilvl="0" w:tplc="DB028CCA">
      <w:start w:val="1"/>
      <w:numFmt w:val="decimal"/>
      <w:lvlText w:val="%1."/>
      <w:lvlJc w:val="left"/>
      <w:pPr>
        <w:ind w:left="360" w:hanging="360"/>
      </w:pPr>
      <w:rPr>
        <w:rFonts w:hint="default"/>
        <w:color w:val="auto"/>
        <w:sz w:val="20"/>
        <w:szCs w:val="20"/>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nsid w:val="48216DC7"/>
    <w:multiLevelType w:val="hybridMultilevel"/>
    <w:tmpl w:val="967A486C"/>
    <w:lvl w:ilvl="0" w:tplc="D65E692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A10CB8"/>
    <w:multiLevelType w:val="hybridMultilevel"/>
    <w:tmpl w:val="EDC0821A"/>
    <w:lvl w:ilvl="0" w:tplc="8160C910">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nsid w:val="530A6348"/>
    <w:multiLevelType w:val="hybridMultilevel"/>
    <w:tmpl w:val="0890C770"/>
    <w:lvl w:ilvl="0" w:tplc="9B685B30">
      <w:start w:val="2"/>
      <w:numFmt w:val="upperLetter"/>
      <w:lvlText w:val="%1."/>
      <w:lvlJc w:val="left"/>
      <w:pPr>
        <w:ind w:left="1500" w:hanging="78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7">
    <w:nsid w:val="5E6A4F2C"/>
    <w:multiLevelType w:val="hybridMultilevel"/>
    <w:tmpl w:val="10B0A5D4"/>
    <w:lvl w:ilvl="0" w:tplc="9900014C">
      <w:start w:val="1"/>
      <w:numFmt w:val="decimal"/>
      <w:lvlText w:val="%1."/>
      <w:lvlJc w:val="left"/>
      <w:pPr>
        <w:ind w:left="1065" w:hanging="705"/>
      </w:pPr>
      <w:rPr>
        <w:b w:val="0"/>
        <w:i w:val="0"/>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0DC284E"/>
    <w:multiLevelType w:val="hybridMultilevel"/>
    <w:tmpl w:val="D978934E"/>
    <w:lvl w:ilvl="0" w:tplc="7EB6AED2">
      <w:start w:val="1"/>
      <w:numFmt w:val="decimal"/>
      <w:lvlText w:val="%1."/>
      <w:lvlJc w:val="left"/>
      <w:pPr>
        <w:ind w:left="1065" w:hanging="705"/>
      </w:pPr>
      <w:rPr>
        <w:rFonts w:ascii="Verdana" w:eastAsia="MS Mincho" w:hAnsi="Verdana" w:cs="Arial"/>
        <w:b w:val="0"/>
        <w:i w:val="0"/>
        <w:strike w:val="0"/>
        <w:dstrike w:val="0"/>
        <w:color w:val="auto"/>
        <w:sz w:val="20"/>
        <w:szCs w:val="2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983635B"/>
    <w:multiLevelType w:val="hybridMultilevel"/>
    <w:tmpl w:val="E57687BC"/>
    <w:lvl w:ilvl="0" w:tplc="AC1C5414">
      <w:start w:val="1"/>
      <w:numFmt w:val="decimal"/>
      <w:lvlText w:val="%1."/>
      <w:lvlJc w:val="left"/>
      <w:pPr>
        <w:ind w:left="360" w:hanging="360"/>
      </w:pPr>
      <w:rPr>
        <w:rFonts w:ascii="Verdana" w:hAnsi="Verdana" w:hint="default"/>
        <w:b w:val="0"/>
        <w:i w:val="0"/>
        <w:color w:val="auto"/>
        <w:sz w:val="20"/>
        <w:szCs w:val="20"/>
      </w:rPr>
    </w:lvl>
    <w:lvl w:ilvl="1" w:tplc="140A0019">
      <w:start w:val="1"/>
      <w:numFmt w:val="lowerLetter"/>
      <w:lvlText w:val="%2."/>
      <w:lvlJc w:val="left"/>
      <w:pPr>
        <w:ind w:left="-7916" w:hanging="360"/>
      </w:pPr>
    </w:lvl>
    <w:lvl w:ilvl="2" w:tplc="140A001B" w:tentative="1">
      <w:start w:val="1"/>
      <w:numFmt w:val="lowerRoman"/>
      <w:lvlText w:val="%3."/>
      <w:lvlJc w:val="right"/>
      <w:pPr>
        <w:ind w:left="-7196" w:hanging="180"/>
      </w:pPr>
    </w:lvl>
    <w:lvl w:ilvl="3" w:tplc="140A000F" w:tentative="1">
      <w:start w:val="1"/>
      <w:numFmt w:val="decimal"/>
      <w:lvlText w:val="%4."/>
      <w:lvlJc w:val="left"/>
      <w:pPr>
        <w:ind w:left="-6476" w:hanging="360"/>
      </w:pPr>
    </w:lvl>
    <w:lvl w:ilvl="4" w:tplc="140A0019" w:tentative="1">
      <w:start w:val="1"/>
      <w:numFmt w:val="lowerLetter"/>
      <w:lvlText w:val="%5."/>
      <w:lvlJc w:val="left"/>
      <w:pPr>
        <w:ind w:left="-5756" w:hanging="360"/>
      </w:pPr>
    </w:lvl>
    <w:lvl w:ilvl="5" w:tplc="140A001B" w:tentative="1">
      <w:start w:val="1"/>
      <w:numFmt w:val="lowerRoman"/>
      <w:lvlText w:val="%6."/>
      <w:lvlJc w:val="right"/>
      <w:pPr>
        <w:ind w:left="-5036" w:hanging="180"/>
      </w:pPr>
    </w:lvl>
    <w:lvl w:ilvl="6" w:tplc="140A000F" w:tentative="1">
      <w:start w:val="1"/>
      <w:numFmt w:val="decimal"/>
      <w:lvlText w:val="%7."/>
      <w:lvlJc w:val="left"/>
      <w:pPr>
        <w:ind w:left="-4316" w:hanging="360"/>
      </w:pPr>
    </w:lvl>
    <w:lvl w:ilvl="7" w:tplc="140A0019" w:tentative="1">
      <w:start w:val="1"/>
      <w:numFmt w:val="lowerLetter"/>
      <w:lvlText w:val="%8."/>
      <w:lvlJc w:val="left"/>
      <w:pPr>
        <w:ind w:left="-3596" w:hanging="360"/>
      </w:pPr>
    </w:lvl>
    <w:lvl w:ilvl="8" w:tplc="140A001B" w:tentative="1">
      <w:start w:val="1"/>
      <w:numFmt w:val="lowerRoman"/>
      <w:lvlText w:val="%9."/>
      <w:lvlJc w:val="right"/>
      <w:pPr>
        <w:ind w:left="-2876" w:hanging="180"/>
      </w:pPr>
    </w:lvl>
  </w:abstractNum>
  <w:abstractNum w:abstractNumId="10">
    <w:nsid w:val="7A0B4833"/>
    <w:multiLevelType w:val="hybridMultilevel"/>
    <w:tmpl w:val="4E4C3882"/>
    <w:lvl w:ilvl="0" w:tplc="21143C48">
      <w:start w:val="1"/>
      <w:numFmt w:val="decimal"/>
      <w:lvlText w:val="%1."/>
      <w:lvlJc w:val="left"/>
      <w:pPr>
        <w:ind w:left="360" w:hanging="360"/>
      </w:pPr>
      <w:rPr>
        <w:rFonts w:ascii="Verdana" w:hAnsi="Verdana" w:hint="default"/>
        <w:b w:val="0"/>
        <w:color w:val="auto"/>
        <w:sz w:val="20"/>
        <w:szCs w:val="20"/>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11">
    <w:nsid w:val="7E2B1DE0"/>
    <w:multiLevelType w:val="hybridMultilevel"/>
    <w:tmpl w:val="4F0863F8"/>
    <w:lvl w:ilvl="0" w:tplc="9724CEE4">
      <w:start w:val="1"/>
      <w:numFmt w:val="lowerLetter"/>
      <w:lvlText w:val="%1)"/>
      <w:lvlJc w:val="left"/>
      <w:pPr>
        <w:ind w:left="927" w:hanging="360"/>
      </w:pPr>
      <w:rPr>
        <w:rFonts w:ascii="Verdana" w:hAnsi="Verdana" w:hint="default"/>
        <w:b w:val="0"/>
        <w:sz w:val="20"/>
      </w:rPr>
    </w:lvl>
    <w:lvl w:ilvl="1" w:tplc="140A0019">
      <w:start w:val="1"/>
      <w:numFmt w:val="lowerLetter"/>
      <w:lvlText w:val="%2."/>
      <w:lvlJc w:val="left"/>
      <w:pPr>
        <w:ind w:left="1647" w:hanging="360"/>
      </w:pPr>
    </w:lvl>
    <w:lvl w:ilvl="2" w:tplc="140A001B">
      <w:start w:val="1"/>
      <w:numFmt w:val="lowerRoman"/>
      <w:lvlText w:val="%3."/>
      <w:lvlJc w:val="right"/>
      <w:pPr>
        <w:ind w:left="2367" w:hanging="180"/>
      </w:pPr>
    </w:lvl>
    <w:lvl w:ilvl="3" w:tplc="140A000F">
      <w:start w:val="1"/>
      <w:numFmt w:val="decimal"/>
      <w:lvlText w:val="%4."/>
      <w:lvlJc w:val="left"/>
      <w:pPr>
        <w:ind w:left="3087" w:hanging="360"/>
      </w:pPr>
    </w:lvl>
    <w:lvl w:ilvl="4" w:tplc="140A0019">
      <w:start w:val="1"/>
      <w:numFmt w:val="lowerLetter"/>
      <w:lvlText w:val="%5."/>
      <w:lvlJc w:val="left"/>
      <w:pPr>
        <w:ind w:left="3807" w:hanging="360"/>
      </w:pPr>
    </w:lvl>
    <w:lvl w:ilvl="5" w:tplc="140A001B">
      <w:start w:val="1"/>
      <w:numFmt w:val="lowerRoman"/>
      <w:lvlText w:val="%6."/>
      <w:lvlJc w:val="right"/>
      <w:pPr>
        <w:ind w:left="4527" w:hanging="180"/>
      </w:pPr>
    </w:lvl>
    <w:lvl w:ilvl="6" w:tplc="140A000F">
      <w:start w:val="1"/>
      <w:numFmt w:val="decimal"/>
      <w:lvlText w:val="%7."/>
      <w:lvlJc w:val="left"/>
      <w:pPr>
        <w:ind w:left="5247" w:hanging="360"/>
      </w:pPr>
    </w:lvl>
    <w:lvl w:ilvl="7" w:tplc="140A0019">
      <w:start w:val="1"/>
      <w:numFmt w:val="lowerLetter"/>
      <w:lvlText w:val="%8."/>
      <w:lvlJc w:val="left"/>
      <w:pPr>
        <w:ind w:left="5967" w:hanging="360"/>
      </w:pPr>
    </w:lvl>
    <w:lvl w:ilvl="8" w:tplc="140A001B">
      <w:start w:val="1"/>
      <w:numFmt w:val="lowerRoman"/>
      <w:lvlText w:val="%9."/>
      <w:lvlJc w:val="right"/>
      <w:pPr>
        <w:ind w:left="6687" w:hanging="180"/>
      </w:pPr>
    </w:lvl>
  </w:abstractNum>
  <w:num w:numId="1">
    <w:abstractNumId w:val="4"/>
  </w:num>
  <w:num w:numId="2">
    <w:abstractNumId w:val="9"/>
  </w:num>
  <w:num w:numId="3">
    <w:abstractNumId w:val="6"/>
  </w:num>
  <w:num w:numId="4">
    <w:abstractNumId w:val="1"/>
  </w:num>
  <w:num w:numId="5">
    <w:abstractNumId w:val="3"/>
  </w:num>
  <w:num w:numId="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14EA"/>
    <w:rsid w:val="0001236C"/>
    <w:rsid w:val="0001762D"/>
    <w:rsid w:val="000239F5"/>
    <w:rsid w:val="0003086C"/>
    <w:rsid w:val="00041008"/>
    <w:rsid w:val="00041A18"/>
    <w:rsid w:val="0004777E"/>
    <w:rsid w:val="000551C2"/>
    <w:rsid w:val="0005692F"/>
    <w:rsid w:val="00056D03"/>
    <w:rsid w:val="000707DF"/>
    <w:rsid w:val="00082662"/>
    <w:rsid w:val="00086521"/>
    <w:rsid w:val="000B4014"/>
    <w:rsid w:val="000D18A4"/>
    <w:rsid w:val="000F0879"/>
    <w:rsid w:val="0010237C"/>
    <w:rsid w:val="0011444B"/>
    <w:rsid w:val="001202E7"/>
    <w:rsid w:val="0012222D"/>
    <w:rsid w:val="00142311"/>
    <w:rsid w:val="00147387"/>
    <w:rsid w:val="001474CC"/>
    <w:rsid w:val="0015557D"/>
    <w:rsid w:val="00160E07"/>
    <w:rsid w:val="00175E25"/>
    <w:rsid w:val="001918E7"/>
    <w:rsid w:val="001A3F73"/>
    <w:rsid w:val="001B70EA"/>
    <w:rsid w:val="001C2A91"/>
    <w:rsid w:val="001D1AB9"/>
    <w:rsid w:val="001D2EBA"/>
    <w:rsid w:val="001E5F79"/>
    <w:rsid w:val="0020033F"/>
    <w:rsid w:val="002034B0"/>
    <w:rsid w:val="0020462D"/>
    <w:rsid w:val="00206156"/>
    <w:rsid w:val="00211522"/>
    <w:rsid w:val="002419CC"/>
    <w:rsid w:val="0026174E"/>
    <w:rsid w:val="00292A6C"/>
    <w:rsid w:val="002B1EBA"/>
    <w:rsid w:val="002D31ED"/>
    <w:rsid w:val="002D4FEA"/>
    <w:rsid w:val="002E2F47"/>
    <w:rsid w:val="003025F8"/>
    <w:rsid w:val="00311744"/>
    <w:rsid w:val="0032289E"/>
    <w:rsid w:val="0033258F"/>
    <w:rsid w:val="00337D41"/>
    <w:rsid w:val="00345A6F"/>
    <w:rsid w:val="003462A9"/>
    <w:rsid w:val="0037167C"/>
    <w:rsid w:val="00373B70"/>
    <w:rsid w:val="003B2CA2"/>
    <w:rsid w:val="003D13C5"/>
    <w:rsid w:val="003D14A1"/>
    <w:rsid w:val="003D6456"/>
    <w:rsid w:val="003F48C9"/>
    <w:rsid w:val="003F5862"/>
    <w:rsid w:val="004011D9"/>
    <w:rsid w:val="00440DE4"/>
    <w:rsid w:val="00446518"/>
    <w:rsid w:val="00473855"/>
    <w:rsid w:val="00474F65"/>
    <w:rsid w:val="004841B3"/>
    <w:rsid w:val="004A1E4E"/>
    <w:rsid w:val="004B2F7D"/>
    <w:rsid w:val="004D33A1"/>
    <w:rsid w:val="004D52B5"/>
    <w:rsid w:val="00514FE6"/>
    <w:rsid w:val="00516B88"/>
    <w:rsid w:val="00530D9F"/>
    <w:rsid w:val="0053393A"/>
    <w:rsid w:val="00540F69"/>
    <w:rsid w:val="0055292A"/>
    <w:rsid w:val="0056420C"/>
    <w:rsid w:val="00576FE7"/>
    <w:rsid w:val="00580515"/>
    <w:rsid w:val="00580FC4"/>
    <w:rsid w:val="00582A93"/>
    <w:rsid w:val="005834BB"/>
    <w:rsid w:val="00584FFC"/>
    <w:rsid w:val="0059560C"/>
    <w:rsid w:val="005A6669"/>
    <w:rsid w:val="005B782F"/>
    <w:rsid w:val="006146E8"/>
    <w:rsid w:val="00617D57"/>
    <w:rsid w:val="00632F2C"/>
    <w:rsid w:val="00637C09"/>
    <w:rsid w:val="0064645B"/>
    <w:rsid w:val="00654CED"/>
    <w:rsid w:val="00656A9A"/>
    <w:rsid w:val="006649A6"/>
    <w:rsid w:val="006703D6"/>
    <w:rsid w:val="00677A2B"/>
    <w:rsid w:val="00682206"/>
    <w:rsid w:val="0068460B"/>
    <w:rsid w:val="006861B0"/>
    <w:rsid w:val="006C0BD0"/>
    <w:rsid w:val="00711324"/>
    <w:rsid w:val="00712FD7"/>
    <w:rsid w:val="00757886"/>
    <w:rsid w:val="007624E2"/>
    <w:rsid w:val="00775977"/>
    <w:rsid w:val="007770E7"/>
    <w:rsid w:val="007931DB"/>
    <w:rsid w:val="007A3EAA"/>
    <w:rsid w:val="007B2A73"/>
    <w:rsid w:val="007D053B"/>
    <w:rsid w:val="007D4422"/>
    <w:rsid w:val="007F2B3F"/>
    <w:rsid w:val="007F354B"/>
    <w:rsid w:val="00804E1B"/>
    <w:rsid w:val="00822560"/>
    <w:rsid w:val="0083433C"/>
    <w:rsid w:val="00834A57"/>
    <w:rsid w:val="00847C65"/>
    <w:rsid w:val="00860218"/>
    <w:rsid w:val="008624BC"/>
    <w:rsid w:val="00865304"/>
    <w:rsid w:val="0086638B"/>
    <w:rsid w:val="008713B3"/>
    <w:rsid w:val="008B2EBB"/>
    <w:rsid w:val="008C0500"/>
    <w:rsid w:val="008C5DE0"/>
    <w:rsid w:val="008E7698"/>
    <w:rsid w:val="008F019A"/>
    <w:rsid w:val="008F78CD"/>
    <w:rsid w:val="00902C84"/>
    <w:rsid w:val="00926F5F"/>
    <w:rsid w:val="00931DC8"/>
    <w:rsid w:val="0094671E"/>
    <w:rsid w:val="00965F92"/>
    <w:rsid w:val="0098568B"/>
    <w:rsid w:val="009C5E04"/>
    <w:rsid w:val="009D449B"/>
    <w:rsid w:val="00A02AE7"/>
    <w:rsid w:val="00A050C6"/>
    <w:rsid w:val="00A218E7"/>
    <w:rsid w:val="00A400DB"/>
    <w:rsid w:val="00A44CDA"/>
    <w:rsid w:val="00A454AE"/>
    <w:rsid w:val="00A56F66"/>
    <w:rsid w:val="00A62B4A"/>
    <w:rsid w:val="00A671A5"/>
    <w:rsid w:val="00A87BE8"/>
    <w:rsid w:val="00AA14EA"/>
    <w:rsid w:val="00AA5237"/>
    <w:rsid w:val="00AB187A"/>
    <w:rsid w:val="00AC185F"/>
    <w:rsid w:val="00AD1974"/>
    <w:rsid w:val="00AD1E5F"/>
    <w:rsid w:val="00AD20B6"/>
    <w:rsid w:val="00AE5091"/>
    <w:rsid w:val="00AF632B"/>
    <w:rsid w:val="00AF77DF"/>
    <w:rsid w:val="00B1292C"/>
    <w:rsid w:val="00B236ED"/>
    <w:rsid w:val="00B57E23"/>
    <w:rsid w:val="00B71A8F"/>
    <w:rsid w:val="00BA271E"/>
    <w:rsid w:val="00BB2C17"/>
    <w:rsid w:val="00BD6882"/>
    <w:rsid w:val="00BD7E36"/>
    <w:rsid w:val="00BF33E5"/>
    <w:rsid w:val="00BF4453"/>
    <w:rsid w:val="00BF7CB7"/>
    <w:rsid w:val="00C04563"/>
    <w:rsid w:val="00C30CED"/>
    <w:rsid w:val="00C33B4B"/>
    <w:rsid w:val="00C510F4"/>
    <w:rsid w:val="00C61CBA"/>
    <w:rsid w:val="00C80031"/>
    <w:rsid w:val="00C97634"/>
    <w:rsid w:val="00CA1DAC"/>
    <w:rsid w:val="00CA2085"/>
    <w:rsid w:val="00CA73BA"/>
    <w:rsid w:val="00CA7E82"/>
    <w:rsid w:val="00CE1E49"/>
    <w:rsid w:val="00D04DAE"/>
    <w:rsid w:val="00D21354"/>
    <w:rsid w:val="00D33C64"/>
    <w:rsid w:val="00D365B2"/>
    <w:rsid w:val="00D4204F"/>
    <w:rsid w:val="00D622CB"/>
    <w:rsid w:val="00D91ABA"/>
    <w:rsid w:val="00D96A89"/>
    <w:rsid w:val="00D97A64"/>
    <w:rsid w:val="00DA40F4"/>
    <w:rsid w:val="00DA724C"/>
    <w:rsid w:val="00DB33F2"/>
    <w:rsid w:val="00DB5B78"/>
    <w:rsid w:val="00DC342C"/>
    <w:rsid w:val="00E10054"/>
    <w:rsid w:val="00E1325E"/>
    <w:rsid w:val="00E135DD"/>
    <w:rsid w:val="00E17F66"/>
    <w:rsid w:val="00E37257"/>
    <w:rsid w:val="00E46192"/>
    <w:rsid w:val="00E4741A"/>
    <w:rsid w:val="00E60314"/>
    <w:rsid w:val="00E77844"/>
    <w:rsid w:val="00EA22DB"/>
    <w:rsid w:val="00EF2A74"/>
    <w:rsid w:val="00EF2F89"/>
    <w:rsid w:val="00F051C9"/>
    <w:rsid w:val="00F07F92"/>
    <w:rsid w:val="00F115C9"/>
    <w:rsid w:val="00F262BE"/>
    <w:rsid w:val="00F44765"/>
    <w:rsid w:val="00F546D8"/>
    <w:rsid w:val="00F60879"/>
    <w:rsid w:val="00F73351"/>
    <w:rsid w:val="00F75AD0"/>
    <w:rsid w:val="00F772F5"/>
    <w:rsid w:val="00F93DEB"/>
    <w:rsid w:val="00F94DB1"/>
    <w:rsid w:val="00FA0719"/>
    <w:rsid w:val="00FC29AF"/>
    <w:rsid w:val="00FC5D7D"/>
    <w:rsid w:val="00FF13D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4EA"/>
    <w:pPr>
      <w:spacing w:after="200" w:line="276" w:lineRule="auto"/>
    </w:pPr>
    <w:rPr>
      <w:sz w:val="22"/>
      <w:szCs w:val="22"/>
      <w:lang w:val="es-CR" w:eastAsia="en-US"/>
    </w:rPr>
  </w:style>
  <w:style w:type="paragraph" w:styleId="Ttulo1">
    <w:name w:val="heading 1"/>
    <w:basedOn w:val="Prrafodelista"/>
    <w:next w:val="Normal"/>
    <w:link w:val="Ttulo1Car"/>
    <w:uiPriority w:val="9"/>
    <w:qFormat/>
    <w:rsid w:val="00AA14EA"/>
    <w:pPr>
      <w:spacing w:after="0" w:line="240" w:lineRule="auto"/>
      <w:contextualSpacing w:val="0"/>
      <w:outlineLvl w:val="0"/>
    </w:pPr>
    <w:rPr>
      <w:rFonts w:ascii="Verdana" w:eastAsia="Times" w:hAnsi="Verdana"/>
      <w:b/>
      <w:i/>
      <w:sz w:val="20"/>
      <w:szCs w:val="20"/>
      <w:lang w:val="es-ES_tradnl"/>
    </w:rPr>
  </w:style>
  <w:style w:type="paragraph" w:styleId="Ttulo2">
    <w:name w:val="heading 2"/>
    <w:basedOn w:val="Normal"/>
    <w:next w:val="Normal"/>
    <w:link w:val="Ttulo2Car"/>
    <w:uiPriority w:val="9"/>
    <w:semiHidden/>
    <w:unhideWhenUsed/>
    <w:qFormat/>
    <w:rsid w:val="009C5E04"/>
    <w:pPr>
      <w:keepNext/>
      <w:keepLines/>
      <w:spacing w:before="200" w:after="0"/>
      <w:outlineLvl w:val="1"/>
    </w:pPr>
    <w:rPr>
      <w:rFonts w:ascii="Cambria" w:eastAsia="MS Gothic"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AA14EA"/>
    <w:rPr>
      <w:rFonts w:ascii="Verdana" w:eastAsia="Times" w:hAnsi="Verdana" w:cs="Times New Roman"/>
      <w:b/>
      <w:i/>
      <w:sz w:val="20"/>
      <w:szCs w:val="20"/>
      <w:lang w:val="es-ES_tradnl"/>
    </w:rPr>
  </w:style>
  <w:style w:type="paragraph" w:styleId="Prrafodelista">
    <w:name w:val="List Paragraph"/>
    <w:aliases w:val="Footnote,Párrafo de lista1"/>
    <w:basedOn w:val="Normal"/>
    <w:link w:val="PrrafodelistaCar"/>
    <w:uiPriority w:val="34"/>
    <w:qFormat/>
    <w:rsid w:val="00AA14EA"/>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unhideWhenUsed/>
    <w:qFormat/>
    <w:rsid w:val="00AA14EA"/>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uiPriority w:val="99"/>
    <w:rsid w:val="00AA14EA"/>
    <w:rPr>
      <w:rFonts w:ascii="Calibri" w:eastAsia="Calibri" w:hAnsi="Calibri" w:cs="Times New Roman"/>
      <w:sz w:val="20"/>
      <w:szCs w:val="20"/>
      <w:lang w:val="es-CR"/>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unhideWhenUsed/>
    <w:qFormat/>
    <w:rsid w:val="00AA14EA"/>
    <w:rPr>
      <w:vertAlign w:val="superscript"/>
    </w:rPr>
  </w:style>
  <w:style w:type="character" w:styleId="Hipervnculo">
    <w:name w:val="Hyperlink"/>
    <w:uiPriority w:val="99"/>
    <w:unhideWhenUsed/>
    <w:rsid w:val="00AA14EA"/>
    <w:rPr>
      <w:color w:val="0000FF"/>
      <w:u w:val="single"/>
    </w:rPr>
  </w:style>
  <w:style w:type="character" w:customStyle="1" w:styleId="PrrafodelistaCar">
    <w:name w:val="Párrafo de lista Car"/>
    <w:aliases w:val="Footnote Car,Párrafo de lista1 Car"/>
    <w:link w:val="Prrafodelista"/>
    <w:uiPriority w:val="34"/>
    <w:rsid w:val="00AA14EA"/>
    <w:rPr>
      <w:rFonts w:ascii="Calibri" w:eastAsia="Calibri" w:hAnsi="Calibri" w:cs="Times New Roman"/>
      <w:lang w:val="es-CR"/>
    </w:rPr>
  </w:style>
  <w:style w:type="paragraph" w:styleId="TtulodeTDC">
    <w:name w:val="TOC Heading"/>
    <w:basedOn w:val="Ttulo1"/>
    <w:next w:val="Normal"/>
    <w:uiPriority w:val="39"/>
    <w:unhideWhenUsed/>
    <w:qFormat/>
    <w:rsid w:val="00AA14EA"/>
    <w:pPr>
      <w:keepNext/>
      <w:keepLines/>
      <w:spacing w:before="480" w:line="276" w:lineRule="auto"/>
      <w:ind w:left="0"/>
      <w:outlineLvl w:val="9"/>
    </w:pPr>
    <w:rPr>
      <w:rFonts w:ascii="Cambria" w:eastAsia="MS Gothic" w:hAnsi="Cambria"/>
      <w:bCs/>
      <w:i w:val="0"/>
      <w:color w:val="365F91"/>
      <w:sz w:val="28"/>
      <w:szCs w:val="28"/>
      <w:lang w:val="en-US"/>
    </w:rPr>
  </w:style>
  <w:style w:type="paragraph" w:styleId="TDC1">
    <w:name w:val="toc 1"/>
    <w:basedOn w:val="Normal"/>
    <w:next w:val="Normal"/>
    <w:autoRedefine/>
    <w:uiPriority w:val="39"/>
    <w:unhideWhenUsed/>
    <w:rsid w:val="00AA14EA"/>
    <w:pPr>
      <w:spacing w:after="100"/>
    </w:pPr>
  </w:style>
  <w:style w:type="paragraph" w:styleId="Textoindependiente2">
    <w:name w:val="Body Text 2"/>
    <w:basedOn w:val="Normal"/>
    <w:link w:val="Textoindependiente2Car"/>
    <w:rsid w:val="00AA14EA"/>
    <w:pPr>
      <w:spacing w:after="0" w:line="240" w:lineRule="auto"/>
      <w:jc w:val="both"/>
    </w:pPr>
    <w:rPr>
      <w:rFonts w:ascii="Verdana" w:eastAsia="Times" w:hAnsi="Verdana"/>
      <w:sz w:val="20"/>
      <w:szCs w:val="20"/>
      <w:lang w:val="es-ES_tradnl"/>
    </w:rPr>
  </w:style>
  <w:style w:type="character" w:customStyle="1" w:styleId="Textoindependiente2Car">
    <w:name w:val="Texto independiente 2 Car"/>
    <w:link w:val="Textoindependiente2"/>
    <w:rsid w:val="00AA14EA"/>
    <w:rPr>
      <w:rFonts w:ascii="Verdana" w:eastAsia="Times" w:hAnsi="Verdana" w:cs="Times New Roman"/>
      <w:sz w:val="20"/>
      <w:szCs w:val="20"/>
      <w:lang w:val="es-ES_tradnl"/>
    </w:rPr>
  </w:style>
  <w:style w:type="character" w:styleId="Refdecomentario">
    <w:name w:val="annotation reference"/>
    <w:uiPriority w:val="99"/>
    <w:semiHidden/>
    <w:unhideWhenUsed/>
    <w:rsid w:val="00292A6C"/>
    <w:rPr>
      <w:sz w:val="16"/>
      <w:szCs w:val="16"/>
    </w:rPr>
  </w:style>
  <w:style w:type="paragraph" w:customStyle="1" w:styleId="Sangradetindependiente">
    <w:name w:val="SangrÌa de t. independiente"/>
    <w:basedOn w:val="Normal"/>
    <w:rsid w:val="00292A6C"/>
    <w:pPr>
      <w:spacing w:after="0" w:line="240" w:lineRule="auto"/>
      <w:ind w:right="12"/>
      <w:jc w:val="both"/>
    </w:pPr>
    <w:rPr>
      <w:rFonts w:ascii="Garamond" w:eastAsia="Times New Roman" w:hAnsi="Garamond"/>
      <w:sz w:val="20"/>
      <w:szCs w:val="20"/>
      <w:lang w:val="es-ES_tradnl" w:eastAsia="es-ES"/>
    </w:rPr>
  </w:style>
  <w:style w:type="character" w:styleId="Textoennegrita">
    <w:name w:val="Strong"/>
    <w:uiPriority w:val="22"/>
    <w:qFormat/>
    <w:rsid w:val="00292A6C"/>
    <w:rPr>
      <w:b/>
      <w:bCs/>
    </w:rPr>
  </w:style>
  <w:style w:type="character" w:customStyle="1" w:styleId="LightGrid-Accent3Char">
    <w:name w:val="Light Grid - Accent 3 Char"/>
    <w:link w:val="Cuadrculaclara-nfasis3"/>
    <w:uiPriority w:val="34"/>
    <w:rsid w:val="00292A6C"/>
    <w:rPr>
      <w:rFonts w:ascii="Garamond" w:eastAsia="Times" w:hAnsi="Garamond"/>
      <w:sz w:val="24"/>
      <w:lang w:val="es-ES_tradnl" w:eastAsia="en-US"/>
    </w:rPr>
  </w:style>
  <w:style w:type="table" w:styleId="Cuadrculaclara-nfasis3">
    <w:name w:val="Light Grid Accent 3"/>
    <w:basedOn w:val="Tablanormal"/>
    <w:link w:val="LightGrid-Accent3Char"/>
    <w:uiPriority w:val="34"/>
    <w:rsid w:val="00292A6C"/>
    <w:rPr>
      <w:rFonts w:ascii="Garamond" w:eastAsia="Times" w:hAnsi="Garamond"/>
      <w:sz w:val="24"/>
      <w:lang w:val="es-ES_tradn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lastCol">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Nmerodelnea">
    <w:name w:val="line number"/>
    <w:basedOn w:val="Fuentedeprrafopredeter"/>
    <w:uiPriority w:val="99"/>
    <w:semiHidden/>
    <w:unhideWhenUsed/>
    <w:rsid w:val="00F07F92"/>
  </w:style>
  <w:style w:type="paragraph" w:styleId="Encabezado">
    <w:name w:val="header"/>
    <w:basedOn w:val="Normal"/>
    <w:link w:val="EncabezadoCar"/>
    <w:uiPriority w:val="99"/>
    <w:unhideWhenUsed/>
    <w:rsid w:val="00F07F92"/>
    <w:pPr>
      <w:tabs>
        <w:tab w:val="center" w:pos="4419"/>
        <w:tab w:val="right" w:pos="8838"/>
      </w:tabs>
      <w:spacing w:after="0" w:line="240" w:lineRule="auto"/>
    </w:pPr>
  </w:style>
  <w:style w:type="character" w:customStyle="1" w:styleId="EncabezadoCar">
    <w:name w:val="Encabezado Car"/>
    <w:link w:val="Encabezado"/>
    <w:uiPriority w:val="99"/>
    <w:rsid w:val="00F07F92"/>
    <w:rPr>
      <w:rFonts w:ascii="Calibri" w:eastAsia="Calibri" w:hAnsi="Calibri" w:cs="Times New Roman"/>
      <w:lang w:val="es-CR"/>
    </w:rPr>
  </w:style>
  <w:style w:type="paragraph" w:styleId="Piedepgina">
    <w:name w:val="footer"/>
    <w:basedOn w:val="Normal"/>
    <w:link w:val="PiedepginaCar"/>
    <w:uiPriority w:val="99"/>
    <w:unhideWhenUsed/>
    <w:rsid w:val="00F07F92"/>
    <w:pPr>
      <w:tabs>
        <w:tab w:val="center" w:pos="4419"/>
        <w:tab w:val="right" w:pos="8838"/>
      </w:tabs>
      <w:spacing w:after="0" w:line="240" w:lineRule="auto"/>
    </w:pPr>
  </w:style>
  <w:style w:type="character" w:customStyle="1" w:styleId="PiedepginaCar">
    <w:name w:val="Pie de página Car"/>
    <w:link w:val="Piedepgina"/>
    <w:uiPriority w:val="99"/>
    <w:rsid w:val="00F07F92"/>
    <w:rPr>
      <w:rFonts w:ascii="Calibri" w:eastAsia="Calibri" w:hAnsi="Calibri" w:cs="Times New Roman"/>
      <w:lang w:val="es-CR"/>
    </w:rPr>
  </w:style>
  <w:style w:type="paragraph" w:styleId="Textodeglobo">
    <w:name w:val="Balloon Text"/>
    <w:basedOn w:val="Normal"/>
    <w:link w:val="TextodegloboCar"/>
    <w:uiPriority w:val="99"/>
    <w:semiHidden/>
    <w:unhideWhenUsed/>
    <w:rsid w:val="00F93DEB"/>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93DEB"/>
    <w:rPr>
      <w:rFonts w:ascii="Tahoma" w:eastAsia="Calibri" w:hAnsi="Tahoma" w:cs="Tahoma"/>
      <w:sz w:val="16"/>
      <w:szCs w:val="16"/>
      <w:lang w:val="es-CR"/>
    </w:rPr>
  </w:style>
  <w:style w:type="paragraph" w:styleId="Textocomentario">
    <w:name w:val="annotation text"/>
    <w:basedOn w:val="Normal"/>
    <w:link w:val="TextocomentarioCar"/>
    <w:uiPriority w:val="99"/>
    <w:semiHidden/>
    <w:unhideWhenUsed/>
    <w:rsid w:val="00F75AD0"/>
    <w:pPr>
      <w:spacing w:line="240" w:lineRule="auto"/>
    </w:pPr>
    <w:rPr>
      <w:sz w:val="20"/>
      <w:szCs w:val="20"/>
    </w:rPr>
  </w:style>
  <w:style w:type="character" w:customStyle="1" w:styleId="TextocomentarioCar">
    <w:name w:val="Texto comentario Car"/>
    <w:link w:val="Textocomentario"/>
    <w:uiPriority w:val="99"/>
    <w:semiHidden/>
    <w:rsid w:val="00F75AD0"/>
    <w:rPr>
      <w:rFonts w:ascii="Calibri" w:eastAsia="Calibri" w:hAnsi="Calibri" w:cs="Times New Roman"/>
      <w:sz w:val="20"/>
      <w:szCs w:val="20"/>
      <w:lang w:val="es-CR"/>
    </w:rPr>
  </w:style>
  <w:style w:type="paragraph" w:styleId="Asuntodelcomentario">
    <w:name w:val="annotation subject"/>
    <w:basedOn w:val="Textocomentario"/>
    <w:next w:val="Textocomentario"/>
    <w:link w:val="AsuntodelcomentarioCar"/>
    <w:uiPriority w:val="99"/>
    <w:semiHidden/>
    <w:unhideWhenUsed/>
    <w:rsid w:val="00F75AD0"/>
    <w:rPr>
      <w:b/>
      <w:bCs/>
    </w:rPr>
  </w:style>
  <w:style w:type="character" w:customStyle="1" w:styleId="AsuntodelcomentarioCar">
    <w:name w:val="Asunto del comentario Car"/>
    <w:link w:val="Asuntodelcomentario"/>
    <w:uiPriority w:val="99"/>
    <w:semiHidden/>
    <w:rsid w:val="00F75AD0"/>
    <w:rPr>
      <w:rFonts w:ascii="Calibri" w:eastAsia="Calibri" w:hAnsi="Calibri" w:cs="Times New Roman"/>
      <w:b/>
      <w:bCs/>
      <w:sz w:val="20"/>
      <w:szCs w:val="20"/>
      <w:lang w:val="es-CR"/>
    </w:rPr>
  </w:style>
  <w:style w:type="character" w:customStyle="1" w:styleId="Ttulo2Car">
    <w:name w:val="Título 2 Car"/>
    <w:link w:val="Ttulo2"/>
    <w:uiPriority w:val="9"/>
    <w:semiHidden/>
    <w:rsid w:val="009C5E04"/>
    <w:rPr>
      <w:rFonts w:ascii="Cambria" w:eastAsia="MS Gothic" w:hAnsi="Cambria" w:cs="Times New Roman"/>
      <w:b/>
      <w:bCs/>
      <w:color w:val="4F81BD"/>
      <w:sz w:val="26"/>
      <w:szCs w:val="26"/>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6319">
      <w:bodyDiv w:val="1"/>
      <w:marLeft w:val="0"/>
      <w:marRight w:val="0"/>
      <w:marTop w:val="0"/>
      <w:marBottom w:val="0"/>
      <w:divBdr>
        <w:top w:val="none" w:sz="0" w:space="0" w:color="auto"/>
        <w:left w:val="none" w:sz="0" w:space="0" w:color="auto"/>
        <w:bottom w:val="none" w:sz="0" w:space="0" w:color="auto"/>
        <w:right w:val="none" w:sz="0" w:space="0" w:color="auto"/>
      </w:divBdr>
    </w:div>
    <w:div w:id="851992286">
      <w:bodyDiv w:val="1"/>
      <w:marLeft w:val="0"/>
      <w:marRight w:val="0"/>
      <w:marTop w:val="0"/>
      <w:marBottom w:val="0"/>
      <w:divBdr>
        <w:top w:val="none" w:sz="0" w:space="0" w:color="auto"/>
        <w:left w:val="none" w:sz="0" w:space="0" w:color="auto"/>
        <w:bottom w:val="none" w:sz="0" w:space="0" w:color="auto"/>
        <w:right w:val="none" w:sz="0" w:space="0" w:color="auto"/>
      </w:divBdr>
    </w:div>
    <w:div w:id="954749443">
      <w:bodyDiv w:val="1"/>
      <w:marLeft w:val="0"/>
      <w:marRight w:val="0"/>
      <w:marTop w:val="0"/>
      <w:marBottom w:val="0"/>
      <w:divBdr>
        <w:top w:val="none" w:sz="0" w:space="0" w:color="auto"/>
        <w:left w:val="none" w:sz="0" w:space="0" w:color="auto"/>
        <w:bottom w:val="none" w:sz="0" w:space="0" w:color="auto"/>
        <w:right w:val="none" w:sz="0" w:space="0" w:color="auto"/>
      </w:divBdr>
    </w:div>
    <w:div w:id="1008019213">
      <w:bodyDiv w:val="1"/>
      <w:marLeft w:val="0"/>
      <w:marRight w:val="0"/>
      <w:marTop w:val="0"/>
      <w:marBottom w:val="0"/>
      <w:divBdr>
        <w:top w:val="none" w:sz="0" w:space="0" w:color="auto"/>
        <w:left w:val="none" w:sz="0" w:space="0" w:color="auto"/>
        <w:bottom w:val="none" w:sz="0" w:space="0" w:color="auto"/>
        <w:right w:val="none" w:sz="0" w:space="0" w:color="auto"/>
      </w:divBdr>
    </w:div>
    <w:div w:id="1045443894">
      <w:bodyDiv w:val="1"/>
      <w:marLeft w:val="0"/>
      <w:marRight w:val="0"/>
      <w:marTop w:val="0"/>
      <w:marBottom w:val="0"/>
      <w:divBdr>
        <w:top w:val="none" w:sz="0" w:space="0" w:color="auto"/>
        <w:left w:val="none" w:sz="0" w:space="0" w:color="auto"/>
        <w:bottom w:val="none" w:sz="0" w:space="0" w:color="auto"/>
        <w:right w:val="none" w:sz="0" w:space="0" w:color="auto"/>
      </w:divBdr>
    </w:div>
    <w:div w:id="1164927816">
      <w:bodyDiv w:val="1"/>
      <w:marLeft w:val="0"/>
      <w:marRight w:val="0"/>
      <w:marTop w:val="0"/>
      <w:marBottom w:val="0"/>
      <w:divBdr>
        <w:top w:val="none" w:sz="0" w:space="0" w:color="auto"/>
        <w:left w:val="none" w:sz="0" w:space="0" w:color="auto"/>
        <w:bottom w:val="none" w:sz="0" w:space="0" w:color="auto"/>
        <w:right w:val="none" w:sz="0" w:space="0" w:color="auto"/>
      </w:divBdr>
    </w:div>
    <w:div w:id="1484734790">
      <w:bodyDiv w:val="1"/>
      <w:marLeft w:val="0"/>
      <w:marRight w:val="0"/>
      <w:marTop w:val="0"/>
      <w:marBottom w:val="0"/>
      <w:divBdr>
        <w:top w:val="none" w:sz="0" w:space="0" w:color="auto"/>
        <w:left w:val="none" w:sz="0" w:space="0" w:color="auto"/>
        <w:bottom w:val="none" w:sz="0" w:space="0" w:color="auto"/>
        <w:right w:val="none" w:sz="0" w:space="0" w:color="auto"/>
      </w:divBdr>
    </w:div>
    <w:div w:id="1489326080">
      <w:bodyDiv w:val="1"/>
      <w:marLeft w:val="0"/>
      <w:marRight w:val="0"/>
      <w:marTop w:val="0"/>
      <w:marBottom w:val="0"/>
      <w:divBdr>
        <w:top w:val="none" w:sz="0" w:space="0" w:color="auto"/>
        <w:left w:val="none" w:sz="0" w:space="0" w:color="auto"/>
        <w:bottom w:val="none" w:sz="0" w:space="0" w:color="auto"/>
        <w:right w:val="none" w:sz="0" w:space="0" w:color="auto"/>
      </w:divBdr>
    </w:div>
    <w:div w:id="2014870433">
      <w:bodyDiv w:val="1"/>
      <w:marLeft w:val="0"/>
      <w:marRight w:val="0"/>
      <w:marTop w:val="0"/>
      <w:marBottom w:val="0"/>
      <w:divBdr>
        <w:top w:val="none" w:sz="0" w:space="0" w:color="auto"/>
        <w:left w:val="none" w:sz="0" w:space="0" w:color="auto"/>
        <w:bottom w:val="none" w:sz="0" w:space="0" w:color="auto"/>
        <w:right w:val="none" w:sz="0" w:space="0" w:color="auto"/>
      </w:divBdr>
    </w:div>
    <w:div w:id="213047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barrios_23_02_16.pdf" TargetMode="External"/><Relationship Id="rId2" Type="http://schemas.openxmlformats.org/officeDocument/2006/relationships/hyperlink" Target="http://www.corteidh.or.cr/docs/supervisiones/barrios_02_09_15.pdf" TargetMode="External"/><Relationship Id="rId1" Type="http://schemas.openxmlformats.org/officeDocument/2006/relationships/hyperlink" Target="http://corteidh.or.cr/docs/casos/articulos/seriec_237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E55F1-E47A-47E4-8935-EA2566D87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2323</Words>
  <Characters>12777</Characters>
  <Application>Microsoft Office Word</Application>
  <DocSecurity>0</DocSecurity>
  <Lines>106</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15070</CharactersWithSpaces>
  <SharedDoc>false</SharedDoc>
  <HLinks>
    <vt:vector size="18" baseType="variant">
      <vt:variant>
        <vt:i4>7667800</vt:i4>
      </vt:variant>
      <vt:variant>
        <vt:i4>6</vt:i4>
      </vt:variant>
      <vt:variant>
        <vt:i4>0</vt:i4>
      </vt:variant>
      <vt:variant>
        <vt:i4>5</vt:i4>
      </vt:variant>
      <vt:variant>
        <vt:lpwstr>http://www.corteidh.or.cr/docs/supervisiones/barrios_23_02_16.pdf</vt:lpwstr>
      </vt:variant>
      <vt:variant>
        <vt:lpwstr/>
      </vt:variant>
      <vt:variant>
        <vt:i4>8126554</vt:i4>
      </vt:variant>
      <vt:variant>
        <vt:i4>3</vt:i4>
      </vt:variant>
      <vt:variant>
        <vt:i4>0</vt:i4>
      </vt:variant>
      <vt:variant>
        <vt:i4>5</vt:i4>
      </vt:variant>
      <vt:variant>
        <vt:lpwstr>http://www.corteidh.or.cr/docs/supervisiones/barrios_02_09_15.pdf</vt:lpwstr>
      </vt:variant>
      <vt:variant>
        <vt:lpwstr/>
      </vt:variant>
      <vt:variant>
        <vt:i4>5439496</vt:i4>
      </vt:variant>
      <vt:variant>
        <vt:i4>0</vt:i4>
      </vt:variant>
      <vt:variant>
        <vt:i4>0</vt:i4>
      </vt:variant>
      <vt:variant>
        <vt:i4>5</vt:i4>
      </vt:variant>
      <vt:variant>
        <vt:lpwstr>http://corteidh.or.cr/docs/casos/articulos/seriec_237_esp.pdf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2016-12-20T19:55:00Z</cp:lastPrinted>
  <dcterms:created xsi:type="dcterms:W3CDTF">2017-06-30T17:33:00Z</dcterms:created>
  <dcterms:modified xsi:type="dcterms:W3CDTF">2017-06-30T17:33:00Z</dcterms:modified>
</cp:coreProperties>
</file>