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C4" w:rsidRPr="008F3526" w:rsidRDefault="00A03DC4" w:rsidP="00FF18D7">
      <w:pPr>
        <w:spacing w:line="240" w:lineRule="auto"/>
        <w:ind w:right="1444"/>
        <w:jc w:val="center"/>
        <w:rPr>
          <w:rFonts w:ascii="Verdana" w:hAnsi="Verdana" w:cs="Verdana"/>
          <w:b/>
          <w:bCs/>
          <w:sz w:val="20"/>
          <w:szCs w:val="20"/>
          <w:lang w:val="es-ES"/>
        </w:rPr>
      </w:pPr>
      <w:bookmarkStart w:id="0" w:name="_GoBack"/>
      <w:bookmarkEnd w:id="0"/>
      <w:r w:rsidRPr="008F3526">
        <w:rPr>
          <w:rFonts w:ascii="Verdana" w:hAnsi="Verdana" w:cs="Verdana"/>
          <w:b/>
          <w:bCs/>
          <w:sz w:val="20"/>
          <w:szCs w:val="20"/>
          <w:lang w:val="es-ES"/>
        </w:rPr>
        <w:t>RESOLUCIÓN DE LA</w:t>
      </w:r>
    </w:p>
    <w:p w:rsidR="00A03DC4" w:rsidRPr="008F3526" w:rsidRDefault="00A03DC4" w:rsidP="00FF18D7">
      <w:pPr>
        <w:spacing w:line="240" w:lineRule="auto"/>
        <w:ind w:right="1444"/>
        <w:jc w:val="center"/>
        <w:rPr>
          <w:rFonts w:ascii="Verdana" w:hAnsi="Verdana" w:cs="Verdana"/>
          <w:b/>
          <w:bCs/>
          <w:sz w:val="20"/>
          <w:szCs w:val="20"/>
          <w:lang w:val="es-ES"/>
        </w:rPr>
      </w:pPr>
      <w:r w:rsidRPr="008F3526">
        <w:rPr>
          <w:rFonts w:ascii="Verdana" w:hAnsi="Verdana" w:cs="Verdana"/>
          <w:b/>
          <w:bCs/>
          <w:sz w:val="20"/>
          <w:szCs w:val="20"/>
          <w:lang w:val="es-ES"/>
        </w:rPr>
        <w:t>CORTE INTERAMERICANA DE DERECHOS HUMANOS</w:t>
      </w:r>
    </w:p>
    <w:p w:rsidR="00A03DC4" w:rsidRPr="00FF18D7" w:rsidRDefault="00907ADF" w:rsidP="00FF18D7">
      <w:pPr>
        <w:spacing w:line="240" w:lineRule="auto"/>
        <w:ind w:right="1444"/>
        <w:jc w:val="center"/>
        <w:rPr>
          <w:rFonts w:ascii="Verdana" w:eastAsia="Calibri" w:hAnsi="Verdana"/>
          <w:b/>
          <w:smallCaps/>
          <w:sz w:val="20"/>
          <w:szCs w:val="20"/>
          <w:lang w:val="es-ES"/>
        </w:rPr>
      </w:pPr>
      <w:r w:rsidRPr="008F3526">
        <w:rPr>
          <w:rFonts w:ascii="Verdana" w:eastAsia="Calibri" w:hAnsi="Verdana"/>
          <w:b/>
          <w:smallCaps/>
          <w:sz w:val="20"/>
          <w:szCs w:val="20"/>
          <w:lang w:val="es-ES"/>
        </w:rPr>
        <w:t xml:space="preserve">DE </w:t>
      </w:r>
      <w:r w:rsidR="00D97C45">
        <w:rPr>
          <w:rFonts w:ascii="Verdana" w:eastAsia="Calibri" w:hAnsi="Verdana"/>
          <w:b/>
          <w:smallCaps/>
          <w:sz w:val="20"/>
          <w:szCs w:val="20"/>
          <w:lang w:val="es-ES"/>
        </w:rPr>
        <w:t>22</w:t>
      </w:r>
      <w:r w:rsidR="00D97C45" w:rsidRPr="008F3526">
        <w:rPr>
          <w:rFonts w:ascii="Verdana" w:eastAsia="Calibri" w:hAnsi="Verdana"/>
          <w:b/>
          <w:smallCaps/>
          <w:sz w:val="20"/>
          <w:szCs w:val="20"/>
          <w:lang w:val="es-ES"/>
        </w:rPr>
        <w:t xml:space="preserve"> </w:t>
      </w:r>
      <w:r w:rsidRPr="008F3526">
        <w:rPr>
          <w:rFonts w:ascii="Verdana" w:eastAsia="Calibri" w:hAnsi="Verdana"/>
          <w:b/>
          <w:smallCaps/>
          <w:sz w:val="20"/>
          <w:szCs w:val="20"/>
          <w:lang w:val="es-ES"/>
        </w:rPr>
        <w:t xml:space="preserve">DE NOVIEMBRE </w:t>
      </w:r>
      <w:r w:rsidR="001267D0" w:rsidRPr="008F3526">
        <w:rPr>
          <w:rFonts w:ascii="Verdana" w:eastAsia="Calibri" w:hAnsi="Verdana"/>
          <w:b/>
          <w:smallCaps/>
          <w:sz w:val="20"/>
          <w:szCs w:val="20"/>
          <w:lang w:val="es-ES"/>
        </w:rPr>
        <w:t>DE 2016</w:t>
      </w:r>
    </w:p>
    <w:p w:rsidR="005068D8" w:rsidRPr="00FF18D7" w:rsidRDefault="001267D0" w:rsidP="00B90BB2">
      <w:pPr>
        <w:spacing w:before="120" w:after="120" w:line="240" w:lineRule="auto"/>
        <w:ind w:right="1446"/>
        <w:jc w:val="center"/>
        <w:rPr>
          <w:rFonts w:ascii="Verdana" w:eastAsia="Calibri" w:hAnsi="Verdana"/>
          <w:b/>
          <w:i/>
          <w:smallCaps/>
          <w:sz w:val="20"/>
          <w:szCs w:val="20"/>
          <w:lang w:val="es-ES"/>
        </w:rPr>
      </w:pPr>
      <w:r>
        <w:rPr>
          <w:rFonts w:ascii="Verdana" w:eastAsia="Calibri" w:hAnsi="Verdana"/>
          <w:b/>
          <w:i/>
          <w:smallCaps/>
          <w:sz w:val="20"/>
          <w:szCs w:val="20"/>
          <w:lang w:val="es-ES"/>
        </w:rPr>
        <w:t>CASO HERMANOS LANDAETA MEJÍAS Y OTROS VS</w:t>
      </w:r>
      <w:r w:rsidR="00E36975">
        <w:rPr>
          <w:rFonts w:ascii="Verdana" w:eastAsia="Calibri" w:hAnsi="Verdana"/>
          <w:b/>
          <w:i/>
          <w:smallCaps/>
          <w:sz w:val="20"/>
          <w:szCs w:val="20"/>
          <w:lang w:val="es-ES"/>
        </w:rPr>
        <w:t>.</w:t>
      </w:r>
      <w:r>
        <w:rPr>
          <w:rFonts w:ascii="Verdana" w:eastAsia="Calibri" w:hAnsi="Verdana"/>
          <w:b/>
          <w:i/>
          <w:smallCaps/>
          <w:sz w:val="20"/>
          <w:szCs w:val="20"/>
          <w:lang w:val="es-ES"/>
        </w:rPr>
        <w:t xml:space="preserve"> VENEZUELA</w:t>
      </w:r>
    </w:p>
    <w:p w:rsidR="00A03DC4" w:rsidRPr="00FF18D7" w:rsidRDefault="00A03DC4" w:rsidP="00FF18D7">
      <w:pPr>
        <w:spacing w:line="240" w:lineRule="auto"/>
        <w:ind w:right="1444"/>
        <w:jc w:val="center"/>
        <w:rPr>
          <w:rFonts w:ascii="Verdana" w:hAnsi="Verdana" w:cs="Verdana"/>
          <w:b/>
          <w:bCs/>
          <w:sz w:val="20"/>
          <w:szCs w:val="20"/>
          <w:lang w:val="es-ES"/>
        </w:rPr>
      </w:pPr>
      <w:r w:rsidRPr="00FF18D7">
        <w:rPr>
          <w:rFonts w:ascii="Verdana" w:hAnsi="Verdana" w:cs="Verdana"/>
          <w:b/>
          <w:bCs/>
          <w:sz w:val="20"/>
          <w:szCs w:val="20"/>
          <w:lang w:val="es-ES"/>
        </w:rPr>
        <w:t>SUPERVISIÓ</w:t>
      </w:r>
      <w:r w:rsidR="005068D8" w:rsidRPr="00FF18D7">
        <w:rPr>
          <w:rFonts w:ascii="Verdana" w:hAnsi="Verdana" w:cs="Verdana"/>
          <w:b/>
          <w:bCs/>
          <w:sz w:val="20"/>
          <w:szCs w:val="20"/>
          <w:lang w:val="es-ES"/>
        </w:rPr>
        <w:t>N</w:t>
      </w:r>
      <w:r w:rsidR="00823D2E">
        <w:rPr>
          <w:rFonts w:ascii="Verdana" w:hAnsi="Verdana" w:cs="Verdana"/>
          <w:b/>
          <w:bCs/>
          <w:sz w:val="20"/>
          <w:szCs w:val="20"/>
          <w:lang w:val="es-ES"/>
        </w:rPr>
        <w:t xml:space="preserve"> </w:t>
      </w:r>
      <w:r w:rsidR="001267D0">
        <w:rPr>
          <w:rFonts w:ascii="Verdana" w:hAnsi="Verdana" w:cs="Verdana"/>
          <w:b/>
          <w:bCs/>
          <w:sz w:val="20"/>
          <w:szCs w:val="20"/>
          <w:lang w:val="es-ES"/>
        </w:rPr>
        <w:t>DE CUMPLIMIENTO DE SENTENCIA</w:t>
      </w:r>
    </w:p>
    <w:p w:rsidR="005068D8" w:rsidRPr="00C35435" w:rsidRDefault="005068D8" w:rsidP="00FF18D7">
      <w:pPr>
        <w:spacing w:line="240" w:lineRule="auto"/>
        <w:ind w:right="1444"/>
        <w:jc w:val="center"/>
        <w:rPr>
          <w:rFonts w:ascii="Verdana" w:hAnsi="Verdana" w:cs="Verdana"/>
          <w:b/>
          <w:bCs/>
          <w:sz w:val="20"/>
          <w:szCs w:val="20"/>
          <w:lang w:val="es-ES"/>
        </w:rPr>
      </w:pPr>
    </w:p>
    <w:p w:rsidR="00A03DC4" w:rsidRPr="00FF18D7" w:rsidRDefault="00A03DC4" w:rsidP="00C609B0">
      <w:pPr>
        <w:spacing w:before="120" w:after="120" w:line="240" w:lineRule="auto"/>
        <w:ind w:right="1446"/>
        <w:jc w:val="both"/>
        <w:rPr>
          <w:rFonts w:ascii="Verdana" w:hAnsi="Verdana"/>
          <w:b/>
          <w:smallCaps/>
          <w:sz w:val="20"/>
          <w:szCs w:val="20"/>
        </w:rPr>
      </w:pPr>
      <w:r w:rsidRPr="00FF18D7">
        <w:rPr>
          <w:rFonts w:ascii="Verdana" w:hAnsi="Verdana"/>
          <w:b/>
          <w:smallCaps/>
          <w:sz w:val="20"/>
          <w:szCs w:val="20"/>
        </w:rPr>
        <w:t xml:space="preserve">VISTO: </w:t>
      </w:r>
    </w:p>
    <w:p w:rsidR="00B75584" w:rsidRDefault="001267D0" w:rsidP="00B75584">
      <w:pPr>
        <w:pStyle w:val="Prrafodelista"/>
        <w:numPr>
          <w:ilvl w:val="0"/>
          <w:numId w:val="1"/>
        </w:numPr>
        <w:spacing w:before="120" w:after="120" w:line="240" w:lineRule="auto"/>
        <w:ind w:left="0" w:right="1446" w:firstLine="0"/>
        <w:contextualSpacing w:val="0"/>
        <w:jc w:val="both"/>
        <w:rPr>
          <w:rFonts w:ascii="Verdana" w:hAnsi="Verdana"/>
          <w:sz w:val="20"/>
          <w:szCs w:val="20"/>
        </w:rPr>
      </w:pPr>
      <w:r w:rsidRPr="00B75584">
        <w:rPr>
          <w:rFonts w:ascii="Verdana" w:hAnsi="Verdana" w:cs="Arial"/>
          <w:sz w:val="20"/>
          <w:szCs w:val="20"/>
        </w:rPr>
        <w:t>La</w:t>
      </w:r>
      <w:r w:rsidR="00F77FF4" w:rsidRPr="00B75584">
        <w:rPr>
          <w:rFonts w:ascii="Verdana" w:hAnsi="Verdana" w:cs="Arial"/>
          <w:sz w:val="20"/>
          <w:szCs w:val="20"/>
        </w:rPr>
        <w:t xml:space="preserve"> Sentencia</w:t>
      </w:r>
      <w:r w:rsidR="009C6A9C" w:rsidRPr="00B75584">
        <w:rPr>
          <w:rFonts w:ascii="Verdana" w:hAnsi="Verdana" w:cs="Arial"/>
          <w:sz w:val="20"/>
          <w:szCs w:val="20"/>
        </w:rPr>
        <w:t xml:space="preserve"> de </w:t>
      </w:r>
      <w:r w:rsidR="00E36975" w:rsidRPr="00B75584">
        <w:rPr>
          <w:rFonts w:ascii="Verdana" w:hAnsi="Verdana" w:cs="Arial"/>
          <w:sz w:val="20"/>
          <w:szCs w:val="20"/>
        </w:rPr>
        <w:t xml:space="preserve">excepciones preliminares, </w:t>
      </w:r>
      <w:r w:rsidR="009C6A9C" w:rsidRPr="00B75584">
        <w:rPr>
          <w:rFonts w:ascii="Verdana" w:hAnsi="Verdana" w:cs="Arial"/>
          <w:sz w:val="20"/>
          <w:szCs w:val="20"/>
        </w:rPr>
        <w:t>fondo, reparaciones y costas (en adelante la Sentencia)</w:t>
      </w:r>
      <w:r w:rsidR="00F77FF4" w:rsidRPr="00B75584">
        <w:rPr>
          <w:rFonts w:ascii="Verdana" w:hAnsi="Verdana" w:cs="Arial"/>
          <w:sz w:val="20"/>
          <w:szCs w:val="20"/>
        </w:rPr>
        <w:t xml:space="preserve"> emitida por la Corte Interamericana de Derechos H</w:t>
      </w:r>
      <w:r w:rsidR="00BE23AB" w:rsidRPr="00B75584">
        <w:rPr>
          <w:rFonts w:ascii="Verdana" w:hAnsi="Verdana" w:cs="Arial"/>
          <w:sz w:val="20"/>
          <w:szCs w:val="20"/>
        </w:rPr>
        <w:t xml:space="preserve">umanos (en adelante “la </w:t>
      </w:r>
      <w:r w:rsidR="00E36975" w:rsidRPr="00B75584">
        <w:rPr>
          <w:rFonts w:ascii="Verdana" w:hAnsi="Verdana" w:cs="Arial"/>
          <w:sz w:val="20"/>
          <w:szCs w:val="20"/>
        </w:rPr>
        <w:t xml:space="preserve">“la Corte Interamericana”, “la </w:t>
      </w:r>
      <w:r w:rsidR="00BE23AB" w:rsidRPr="00B75584">
        <w:rPr>
          <w:rFonts w:ascii="Verdana" w:hAnsi="Verdana" w:cs="Arial"/>
          <w:sz w:val="20"/>
          <w:szCs w:val="20"/>
        </w:rPr>
        <w:t xml:space="preserve">Corte” </w:t>
      </w:r>
      <w:r w:rsidR="00F77FF4" w:rsidRPr="00B75584">
        <w:rPr>
          <w:rFonts w:ascii="Verdana" w:hAnsi="Verdana" w:cs="Arial"/>
          <w:sz w:val="20"/>
          <w:szCs w:val="20"/>
        </w:rPr>
        <w:t xml:space="preserve">o “el Tribunal”) </w:t>
      </w:r>
      <w:r w:rsidR="00C609B0" w:rsidRPr="00B75584">
        <w:rPr>
          <w:rFonts w:ascii="Verdana" w:hAnsi="Verdana" w:cs="Arial"/>
          <w:sz w:val="20"/>
          <w:szCs w:val="20"/>
        </w:rPr>
        <w:t xml:space="preserve">el </w:t>
      </w:r>
      <w:r w:rsidRPr="00B75584">
        <w:rPr>
          <w:rFonts w:ascii="Verdana" w:hAnsi="Verdana" w:cs="Arial"/>
          <w:sz w:val="20"/>
          <w:szCs w:val="20"/>
        </w:rPr>
        <w:t>27 de agosto de 2014</w:t>
      </w:r>
      <w:r w:rsidR="00227FB3">
        <w:rPr>
          <w:rStyle w:val="Refdenotaalpie"/>
          <w:rFonts w:ascii="Verdana" w:hAnsi="Verdana" w:cs="Arial"/>
          <w:sz w:val="20"/>
          <w:szCs w:val="20"/>
        </w:rPr>
        <w:footnoteReference w:id="1"/>
      </w:r>
      <w:r w:rsidR="00441ABC" w:rsidRPr="00B75584">
        <w:rPr>
          <w:rFonts w:ascii="Verdana" w:hAnsi="Verdana" w:cs="Arial"/>
          <w:sz w:val="20"/>
          <w:szCs w:val="20"/>
        </w:rPr>
        <w:t xml:space="preserve">. </w:t>
      </w:r>
      <w:r w:rsidR="00E36975" w:rsidRPr="00B75584">
        <w:rPr>
          <w:rFonts w:ascii="Verdana" w:hAnsi="Verdana" w:cs="Arial"/>
          <w:sz w:val="20"/>
          <w:szCs w:val="20"/>
        </w:rPr>
        <w:t>L</w:t>
      </w:r>
      <w:r w:rsidR="00441ABC" w:rsidRPr="00B75584">
        <w:rPr>
          <w:rFonts w:ascii="Verdana" w:hAnsi="Verdana" w:cs="Arial"/>
          <w:sz w:val="20"/>
          <w:szCs w:val="20"/>
        </w:rPr>
        <w:t xml:space="preserve">a </w:t>
      </w:r>
      <w:r w:rsidR="00E36975" w:rsidRPr="00B75584">
        <w:rPr>
          <w:rFonts w:ascii="Verdana" w:hAnsi="Verdana" w:cs="Arial"/>
          <w:sz w:val="20"/>
          <w:szCs w:val="20"/>
        </w:rPr>
        <w:t>C</w:t>
      </w:r>
      <w:r w:rsidR="00441ABC" w:rsidRPr="00B75584">
        <w:rPr>
          <w:rFonts w:ascii="Verdana" w:hAnsi="Verdana" w:cs="Arial"/>
          <w:sz w:val="20"/>
          <w:szCs w:val="20"/>
        </w:rPr>
        <w:t>orte declaró la responsabilidad internacional de</w:t>
      </w:r>
      <w:r w:rsidR="00E36975" w:rsidRPr="00B75584">
        <w:rPr>
          <w:rFonts w:ascii="Verdana" w:hAnsi="Verdana" w:cs="Arial"/>
          <w:sz w:val="20"/>
          <w:szCs w:val="20"/>
        </w:rPr>
        <w:t xml:space="preserve"> </w:t>
      </w:r>
      <w:r w:rsidR="00441ABC" w:rsidRPr="00B75584">
        <w:rPr>
          <w:rFonts w:ascii="Verdana" w:hAnsi="Verdana" w:cs="Arial"/>
          <w:sz w:val="20"/>
          <w:szCs w:val="20"/>
        </w:rPr>
        <w:t>l</w:t>
      </w:r>
      <w:r w:rsidR="00E36975" w:rsidRPr="00B75584">
        <w:rPr>
          <w:rFonts w:ascii="Verdana" w:hAnsi="Verdana" w:cs="Arial"/>
          <w:sz w:val="20"/>
          <w:szCs w:val="20"/>
        </w:rPr>
        <w:t>a República Bolivariana de Venezuela (en adelante</w:t>
      </w:r>
      <w:r w:rsidR="00441ABC" w:rsidRPr="00B75584">
        <w:rPr>
          <w:rFonts w:ascii="Verdana" w:hAnsi="Verdana" w:cs="Arial"/>
          <w:sz w:val="20"/>
          <w:szCs w:val="20"/>
        </w:rPr>
        <w:t xml:space="preserve"> </w:t>
      </w:r>
      <w:r w:rsidR="00E36975" w:rsidRPr="00B75584">
        <w:rPr>
          <w:rFonts w:ascii="Verdana" w:hAnsi="Verdana" w:cs="Arial"/>
          <w:sz w:val="20"/>
          <w:szCs w:val="20"/>
        </w:rPr>
        <w:t xml:space="preserve">“el </w:t>
      </w:r>
      <w:r w:rsidR="00441ABC" w:rsidRPr="00B75584">
        <w:rPr>
          <w:rFonts w:ascii="Verdana" w:hAnsi="Verdana" w:cs="Arial"/>
          <w:sz w:val="20"/>
          <w:szCs w:val="20"/>
        </w:rPr>
        <w:t>Estado</w:t>
      </w:r>
      <w:r w:rsidR="00E36975" w:rsidRPr="00B75584">
        <w:rPr>
          <w:rFonts w:ascii="Verdana" w:hAnsi="Verdana" w:cs="Arial"/>
          <w:sz w:val="20"/>
          <w:szCs w:val="20"/>
        </w:rPr>
        <w:t>” o “Venezuela”)</w:t>
      </w:r>
      <w:r w:rsidR="00441ABC" w:rsidRPr="00B75584">
        <w:rPr>
          <w:rFonts w:ascii="Verdana" w:hAnsi="Verdana" w:cs="Arial"/>
          <w:sz w:val="20"/>
          <w:szCs w:val="20"/>
        </w:rPr>
        <w:t xml:space="preserve"> por</w:t>
      </w:r>
      <w:r w:rsidR="008A7DD9" w:rsidRPr="00B75584">
        <w:rPr>
          <w:rFonts w:ascii="Verdana" w:hAnsi="Verdana" w:cs="Arial"/>
          <w:sz w:val="20"/>
          <w:szCs w:val="20"/>
        </w:rPr>
        <w:t xml:space="preserve"> la violación</w:t>
      </w:r>
      <w:r w:rsidR="00B75584" w:rsidRPr="00B75584">
        <w:rPr>
          <w:rFonts w:ascii="Verdana" w:hAnsi="Verdana" w:cs="Arial"/>
          <w:sz w:val="20"/>
          <w:szCs w:val="20"/>
        </w:rPr>
        <w:t>, entre otros,</w:t>
      </w:r>
      <w:r w:rsidR="008A7DD9" w:rsidRPr="00B75584">
        <w:rPr>
          <w:rFonts w:ascii="Verdana" w:hAnsi="Verdana" w:cs="Arial"/>
          <w:sz w:val="20"/>
          <w:szCs w:val="20"/>
        </w:rPr>
        <w:t xml:space="preserve"> de la obligación de respeto y garantía del derecho a la vida de </w:t>
      </w:r>
      <w:proofErr w:type="spellStart"/>
      <w:r w:rsidR="008A7DD9" w:rsidRPr="00B75584">
        <w:rPr>
          <w:rFonts w:ascii="Verdana" w:hAnsi="Verdana" w:cs="Arial"/>
          <w:sz w:val="20"/>
          <w:szCs w:val="20"/>
        </w:rPr>
        <w:t>Igmar</w:t>
      </w:r>
      <w:proofErr w:type="spellEnd"/>
      <w:r w:rsidR="008A7DD9" w:rsidRPr="00B75584">
        <w:rPr>
          <w:rFonts w:ascii="Verdana" w:hAnsi="Verdana" w:cs="Arial"/>
          <w:sz w:val="20"/>
          <w:szCs w:val="20"/>
        </w:rPr>
        <w:t xml:space="preserve"> Alexander Landaeta Mejías, </w:t>
      </w:r>
      <w:r w:rsidR="00B75584" w:rsidRPr="00B75584">
        <w:rPr>
          <w:rFonts w:ascii="Verdana" w:hAnsi="Verdana" w:cs="Arial"/>
          <w:sz w:val="20"/>
          <w:szCs w:val="20"/>
        </w:rPr>
        <w:t xml:space="preserve">de 18 años de edad al momento de los hechos, </w:t>
      </w:r>
      <w:r w:rsidR="008A7DD9" w:rsidRPr="00B75584">
        <w:rPr>
          <w:rFonts w:ascii="Verdana" w:hAnsi="Verdana" w:cs="Arial"/>
          <w:sz w:val="20"/>
          <w:szCs w:val="20"/>
        </w:rPr>
        <w:t xml:space="preserve">en relación con el deber </w:t>
      </w:r>
      <w:r w:rsidR="00D97C45">
        <w:rPr>
          <w:rFonts w:ascii="Verdana" w:hAnsi="Verdana" w:cs="Arial"/>
          <w:sz w:val="20"/>
          <w:szCs w:val="20"/>
        </w:rPr>
        <w:t xml:space="preserve">de adoptar </w:t>
      </w:r>
      <w:r w:rsidR="008A7DD9" w:rsidRPr="00B75584">
        <w:rPr>
          <w:rFonts w:ascii="Verdana" w:hAnsi="Verdana" w:cs="Arial"/>
          <w:sz w:val="20"/>
          <w:szCs w:val="20"/>
        </w:rPr>
        <w:t>disposiciones de derecho interno, y por la violación del derecho a la libertad personal y la obligación de respecto y garantía de los derechos a la vida e integridad personal, en relación con los derechos del niño, en perjuicio de Eduardo José Landaeta Mejías, de 17 años de</w:t>
      </w:r>
      <w:r w:rsidR="00B75584" w:rsidRPr="00B75584">
        <w:rPr>
          <w:rFonts w:ascii="Verdana" w:hAnsi="Verdana" w:cs="Arial"/>
          <w:sz w:val="20"/>
          <w:szCs w:val="20"/>
        </w:rPr>
        <w:t xml:space="preserve"> edad al momento de los hechos</w:t>
      </w:r>
      <w:r w:rsidR="00B75584">
        <w:rPr>
          <w:rStyle w:val="Refdenotaalpie"/>
          <w:rFonts w:ascii="Verdana" w:hAnsi="Verdana" w:cs="Arial"/>
          <w:sz w:val="20"/>
          <w:szCs w:val="20"/>
        </w:rPr>
        <w:footnoteReference w:id="2"/>
      </w:r>
      <w:r w:rsidR="00B75584" w:rsidRPr="00B75584">
        <w:rPr>
          <w:rFonts w:ascii="Verdana" w:hAnsi="Verdana" w:cs="Arial"/>
          <w:sz w:val="20"/>
          <w:szCs w:val="20"/>
        </w:rPr>
        <w:t xml:space="preserve">. </w:t>
      </w:r>
      <w:r w:rsidR="00B75584">
        <w:rPr>
          <w:rFonts w:ascii="Verdana" w:hAnsi="Verdana" w:cs="Arial"/>
          <w:sz w:val="20"/>
          <w:szCs w:val="20"/>
        </w:rPr>
        <w:t>Este Tribunal</w:t>
      </w:r>
      <w:r w:rsidR="00B75584" w:rsidRPr="00B75584">
        <w:rPr>
          <w:rFonts w:ascii="Verdana" w:hAnsi="Verdana" w:cs="Arial"/>
          <w:sz w:val="20"/>
          <w:szCs w:val="20"/>
        </w:rPr>
        <w:t xml:space="preserve"> tuvo por probado que los </w:t>
      </w:r>
      <w:r w:rsidR="00D97C45">
        <w:rPr>
          <w:rFonts w:ascii="Verdana" w:hAnsi="Verdana" w:cs="Arial"/>
          <w:sz w:val="20"/>
          <w:szCs w:val="20"/>
        </w:rPr>
        <w:t xml:space="preserve">referidos </w:t>
      </w:r>
      <w:r w:rsidR="00B75584" w:rsidRPr="00B75584">
        <w:rPr>
          <w:rFonts w:ascii="Verdana" w:hAnsi="Verdana" w:cs="Arial"/>
          <w:sz w:val="20"/>
          <w:szCs w:val="20"/>
        </w:rPr>
        <w:t xml:space="preserve">hermanos Landaeta </w:t>
      </w:r>
      <w:proofErr w:type="spellStart"/>
      <w:r w:rsidR="00B75584" w:rsidRPr="00B75584">
        <w:rPr>
          <w:rFonts w:ascii="Verdana" w:hAnsi="Verdana" w:cs="Arial"/>
          <w:sz w:val="20"/>
          <w:szCs w:val="20"/>
        </w:rPr>
        <w:t>Mejíasperdieron</w:t>
      </w:r>
      <w:proofErr w:type="spellEnd"/>
      <w:r w:rsidR="00B75584" w:rsidRPr="00B75584">
        <w:rPr>
          <w:rFonts w:ascii="Verdana" w:hAnsi="Verdana" w:cs="Arial"/>
          <w:sz w:val="20"/>
          <w:szCs w:val="20"/>
        </w:rPr>
        <w:t xml:space="preserve"> la vida a finales de 1996, con motivo de actuaciones de los funcionarios del Cuerpo de Seguridad y Orden Público del estado de Aragua (CSOP), y que al momento en que sucedieron los hechos existía una seria problemática de abusos policiales en diversos estados de Venezuela incluyendo el </w:t>
      </w:r>
      <w:r w:rsidR="00B75584">
        <w:rPr>
          <w:rFonts w:ascii="Verdana" w:hAnsi="Verdana" w:cs="Arial"/>
          <w:sz w:val="20"/>
          <w:szCs w:val="20"/>
        </w:rPr>
        <w:t>e</w:t>
      </w:r>
      <w:r w:rsidR="00B75584" w:rsidRPr="00B75584">
        <w:rPr>
          <w:rFonts w:ascii="Verdana" w:hAnsi="Verdana" w:cs="Arial"/>
          <w:sz w:val="20"/>
          <w:szCs w:val="20"/>
        </w:rPr>
        <w:t xml:space="preserve">stado de Aragua. </w:t>
      </w:r>
      <w:r w:rsidR="00E36975" w:rsidRPr="00B75584">
        <w:rPr>
          <w:rFonts w:ascii="Verdana" w:hAnsi="Verdana" w:cs="Verdana"/>
          <w:sz w:val="20"/>
          <w:szCs w:val="20"/>
        </w:rPr>
        <w:t xml:space="preserve">La Corte estableció que su </w:t>
      </w:r>
      <w:r w:rsidR="00E36975" w:rsidRPr="00B75584">
        <w:rPr>
          <w:rFonts w:ascii="Verdana" w:hAnsi="Verdana"/>
          <w:sz w:val="20"/>
          <w:szCs w:val="20"/>
        </w:rPr>
        <w:t xml:space="preserve">Sentencia constituye </w:t>
      </w:r>
      <w:r w:rsidR="00E36975" w:rsidRPr="00B75584">
        <w:rPr>
          <w:rFonts w:ascii="Verdana" w:hAnsi="Verdana"/>
          <w:iCs/>
          <w:sz w:val="20"/>
          <w:szCs w:val="20"/>
        </w:rPr>
        <w:t>por sí misma</w:t>
      </w:r>
      <w:r w:rsidR="00E36975" w:rsidRPr="00B75584">
        <w:rPr>
          <w:rFonts w:ascii="Verdana" w:hAnsi="Verdana"/>
          <w:i/>
          <w:iCs/>
          <w:sz w:val="20"/>
          <w:szCs w:val="20"/>
        </w:rPr>
        <w:t xml:space="preserve"> </w:t>
      </w:r>
      <w:r w:rsidR="00E36975" w:rsidRPr="00B75584">
        <w:rPr>
          <w:rFonts w:ascii="Verdana" w:hAnsi="Verdana"/>
          <w:sz w:val="20"/>
          <w:szCs w:val="20"/>
        </w:rPr>
        <w:t>una forma de reparación y, adicionalmente, ordenó al Estado determinadas medidas de reparación (</w:t>
      </w:r>
      <w:r w:rsidR="00E36975" w:rsidRPr="00B75584">
        <w:rPr>
          <w:rFonts w:ascii="Verdana" w:hAnsi="Verdana"/>
          <w:i/>
          <w:iCs/>
          <w:sz w:val="20"/>
          <w:szCs w:val="20"/>
        </w:rPr>
        <w:t xml:space="preserve">infra </w:t>
      </w:r>
      <w:r w:rsidR="00E36975" w:rsidRPr="00B75584">
        <w:rPr>
          <w:rFonts w:ascii="Verdana" w:hAnsi="Verdana"/>
          <w:sz w:val="20"/>
          <w:szCs w:val="20"/>
        </w:rPr>
        <w:t xml:space="preserve">Considerando 1). </w:t>
      </w:r>
    </w:p>
    <w:p w:rsidR="000F5ECD" w:rsidRPr="00B75584" w:rsidRDefault="00207D5B" w:rsidP="00B75584">
      <w:pPr>
        <w:pStyle w:val="Prrafodelista"/>
        <w:numPr>
          <w:ilvl w:val="0"/>
          <w:numId w:val="1"/>
        </w:numPr>
        <w:spacing w:before="120" w:after="120" w:line="240" w:lineRule="auto"/>
        <w:ind w:left="0" w:right="1446" w:firstLine="0"/>
        <w:contextualSpacing w:val="0"/>
        <w:jc w:val="both"/>
        <w:rPr>
          <w:rFonts w:ascii="Verdana" w:hAnsi="Verdana"/>
          <w:sz w:val="20"/>
          <w:szCs w:val="20"/>
        </w:rPr>
      </w:pPr>
      <w:r w:rsidRPr="00B75584">
        <w:rPr>
          <w:rFonts w:ascii="Verdana" w:hAnsi="Verdana" w:cs="Arial"/>
          <w:sz w:val="20"/>
          <w:szCs w:val="20"/>
        </w:rPr>
        <w:t>La n</w:t>
      </w:r>
      <w:r w:rsidR="00862FA0" w:rsidRPr="00B75584">
        <w:rPr>
          <w:rFonts w:ascii="Verdana" w:hAnsi="Verdana" w:cs="Arial"/>
          <w:sz w:val="20"/>
          <w:szCs w:val="20"/>
        </w:rPr>
        <w:t>ota de la Secretaría</w:t>
      </w:r>
      <w:r w:rsidRPr="00B75584">
        <w:rPr>
          <w:rFonts w:ascii="Verdana" w:hAnsi="Verdana" w:cs="Arial"/>
          <w:sz w:val="20"/>
          <w:szCs w:val="20"/>
        </w:rPr>
        <w:t xml:space="preserve"> de la Corte (en </w:t>
      </w:r>
      <w:r w:rsidRPr="001D776C">
        <w:rPr>
          <w:rFonts w:ascii="Verdana" w:hAnsi="Verdana" w:cs="Arial"/>
          <w:sz w:val="20"/>
          <w:szCs w:val="20"/>
        </w:rPr>
        <w:t>adelante “la Secretaría”) de 14 de octubre de 2015, mediante la cual,</w:t>
      </w:r>
      <w:r w:rsidR="00B9779E">
        <w:rPr>
          <w:rFonts w:ascii="Verdana" w:hAnsi="Verdana" w:cs="Arial"/>
          <w:sz w:val="20"/>
          <w:szCs w:val="20"/>
        </w:rPr>
        <w:t xml:space="preserve"> </w:t>
      </w:r>
      <w:r w:rsidR="00862FA0" w:rsidRPr="001D776C">
        <w:rPr>
          <w:rFonts w:ascii="Verdana" w:hAnsi="Verdana" w:cs="Arial"/>
          <w:sz w:val="20"/>
          <w:szCs w:val="20"/>
        </w:rPr>
        <w:t>siguiendo instrucciones del Presidente del Tribunal, se reiteró al Estado que presentara</w:t>
      </w:r>
      <w:r w:rsidR="00A86735" w:rsidRPr="001D776C">
        <w:rPr>
          <w:rFonts w:ascii="Verdana" w:hAnsi="Verdana" w:cs="Arial"/>
          <w:sz w:val="20"/>
          <w:szCs w:val="20"/>
        </w:rPr>
        <w:t xml:space="preserve"> “a la mayor brevedad posible”</w:t>
      </w:r>
      <w:r w:rsidR="00862FA0" w:rsidRPr="001D776C">
        <w:rPr>
          <w:rFonts w:ascii="Verdana" w:hAnsi="Verdana" w:cs="Arial"/>
          <w:sz w:val="20"/>
          <w:szCs w:val="20"/>
        </w:rPr>
        <w:t xml:space="preserve"> el informe sobre el cumplimiento de las reparaciones requerido en el punto dispositivo d</w:t>
      </w:r>
      <w:r w:rsidR="00D97C45">
        <w:rPr>
          <w:rFonts w:ascii="Verdana" w:hAnsi="Verdana" w:cs="Arial"/>
          <w:sz w:val="20"/>
          <w:szCs w:val="20"/>
        </w:rPr>
        <w:t>é</w:t>
      </w:r>
      <w:r w:rsidR="00862FA0" w:rsidRPr="001D776C">
        <w:rPr>
          <w:rFonts w:ascii="Verdana" w:hAnsi="Verdana" w:cs="Arial"/>
          <w:sz w:val="20"/>
          <w:szCs w:val="20"/>
        </w:rPr>
        <w:t>cimo</w:t>
      </w:r>
      <w:r w:rsidR="00D97C45">
        <w:rPr>
          <w:rFonts w:ascii="Verdana" w:hAnsi="Verdana" w:cs="Arial"/>
          <w:sz w:val="20"/>
          <w:szCs w:val="20"/>
        </w:rPr>
        <w:t xml:space="preserve"> </w:t>
      </w:r>
      <w:r w:rsidR="00862FA0" w:rsidRPr="001D776C">
        <w:rPr>
          <w:rFonts w:ascii="Verdana" w:hAnsi="Verdana" w:cs="Arial"/>
          <w:sz w:val="20"/>
          <w:szCs w:val="20"/>
        </w:rPr>
        <w:t>sexto</w:t>
      </w:r>
      <w:r w:rsidR="002F353E" w:rsidRPr="001D776C">
        <w:rPr>
          <w:rFonts w:ascii="Verdana" w:hAnsi="Verdana" w:cs="Arial"/>
          <w:sz w:val="20"/>
          <w:szCs w:val="20"/>
        </w:rPr>
        <w:t xml:space="preserve"> de la Sentencia</w:t>
      </w:r>
      <w:r w:rsidR="00862FA0" w:rsidRPr="001D776C">
        <w:rPr>
          <w:rFonts w:ascii="Verdana" w:hAnsi="Verdana" w:cs="Arial"/>
          <w:sz w:val="20"/>
          <w:szCs w:val="20"/>
        </w:rPr>
        <w:t xml:space="preserve">, </w:t>
      </w:r>
      <w:r w:rsidR="002F353E" w:rsidRPr="001D776C">
        <w:rPr>
          <w:rFonts w:ascii="Verdana" w:hAnsi="Verdana" w:cs="Arial"/>
          <w:sz w:val="20"/>
          <w:szCs w:val="20"/>
        </w:rPr>
        <w:t>ya que</w:t>
      </w:r>
      <w:r w:rsidR="00862FA0" w:rsidRPr="001D776C">
        <w:rPr>
          <w:rFonts w:ascii="Verdana" w:hAnsi="Verdana" w:cs="Arial"/>
          <w:sz w:val="20"/>
          <w:szCs w:val="20"/>
        </w:rPr>
        <w:t xml:space="preserve"> el plazo para su presentación </w:t>
      </w:r>
      <w:r w:rsidR="002F353E" w:rsidRPr="001D776C">
        <w:rPr>
          <w:rFonts w:ascii="Verdana" w:hAnsi="Verdana" w:cs="Arial"/>
          <w:sz w:val="20"/>
          <w:szCs w:val="20"/>
        </w:rPr>
        <w:t xml:space="preserve">venció </w:t>
      </w:r>
      <w:r w:rsidR="00862FA0" w:rsidRPr="001D776C">
        <w:rPr>
          <w:rFonts w:ascii="Verdana" w:hAnsi="Verdana" w:cs="Arial"/>
          <w:sz w:val="20"/>
          <w:szCs w:val="20"/>
        </w:rPr>
        <w:t>el 11 de octubre de 2015</w:t>
      </w:r>
      <w:r w:rsidR="00BB54D8" w:rsidRPr="001D776C">
        <w:rPr>
          <w:rFonts w:ascii="Verdana" w:hAnsi="Verdana" w:cs="Arial"/>
          <w:sz w:val="20"/>
          <w:szCs w:val="20"/>
        </w:rPr>
        <w:t>,</w:t>
      </w:r>
      <w:r w:rsidR="002F353E" w:rsidRPr="001D776C">
        <w:rPr>
          <w:rFonts w:ascii="Verdana" w:hAnsi="Verdana" w:cs="Arial"/>
          <w:sz w:val="20"/>
          <w:szCs w:val="20"/>
        </w:rPr>
        <w:t xml:space="preserve"> sin</w:t>
      </w:r>
      <w:r w:rsidR="002F353E" w:rsidRPr="00B75584">
        <w:rPr>
          <w:rFonts w:ascii="Verdana" w:hAnsi="Verdana" w:cs="Arial"/>
          <w:sz w:val="20"/>
          <w:szCs w:val="20"/>
        </w:rPr>
        <w:t xml:space="preserve"> que lo hubiere presentado</w:t>
      </w:r>
      <w:r w:rsidR="00AD1936">
        <w:rPr>
          <w:rStyle w:val="Refdenotaalpie"/>
          <w:rFonts w:ascii="Verdana" w:hAnsi="Verdana" w:cs="Arial"/>
          <w:sz w:val="20"/>
          <w:szCs w:val="20"/>
        </w:rPr>
        <w:footnoteReference w:id="3"/>
      </w:r>
      <w:r w:rsidR="002F353E" w:rsidRPr="00B75584">
        <w:rPr>
          <w:rFonts w:ascii="Verdana" w:hAnsi="Verdana" w:cs="Arial"/>
          <w:sz w:val="20"/>
          <w:szCs w:val="20"/>
        </w:rPr>
        <w:t xml:space="preserve">. </w:t>
      </w:r>
    </w:p>
    <w:p w:rsidR="00F92F9A" w:rsidRPr="00F92F9A" w:rsidRDefault="000E33BE" w:rsidP="000E33BE">
      <w:pPr>
        <w:pStyle w:val="Prrafodelista"/>
        <w:numPr>
          <w:ilvl w:val="0"/>
          <w:numId w:val="1"/>
        </w:numPr>
        <w:spacing w:before="120" w:after="120" w:line="240" w:lineRule="auto"/>
        <w:ind w:left="0" w:right="1444" w:firstLine="0"/>
        <w:contextualSpacing w:val="0"/>
        <w:jc w:val="both"/>
        <w:rPr>
          <w:rFonts w:ascii="Verdana" w:hAnsi="Verdana"/>
          <w:i/>
          <w:sz w:val="20"/>
          <w:szCs w:val="20"/>
        </w:rPr>
      </w:pPr>
      <w:r>
        <w:rPr>
          <w:rFonts w:ascii="Verdana" w:hAnsi="Verdana"/>
          <w:sz w:val="20"/>
          <w:szCs w:val="20"/>
        </w:rPr>
        <w:t xml:space="preserve">El escrito </w:t>
      </w:r>
      <w:r w:rsidR="00AD1936">
        <w:rPr>
          <w:rFonts w:ascii="Verdana" w:hAnsi="Verdana"/>
          <w:sz w:val="20"/>
          <w:szCs w:val="20"/>
        </w:rPr>
        <w:t xml:space="preserve">presentado </w:t>
      </w:r>
      <w:r>
        <w:rPr>
          <w:rFonts w:ascii="Verdana" w:hAnsi="Verdana"/>
          <w:sz w:val="20"/>
          <w:szCs w:val="20"/>
        </w:rPr>
        <w:t>e</w:t>
      </w:r>
      <w:r w:rsidR="00AD1936">
        <w:rPr>
          <w:rFonts w:ascii="Verdana" w:hAnsi="Verdana"/>
          <w:sz w:val="20"/>
          <w:szCs w:val="20"/>
        </w:rPr>
        <w:t>l</w:t>
      </w:r>
      <w:r>
        <w:rPr>
          <w:rFonts w:ascii="Verdana" w:hAnsi="Verdana"/>
          <w:sz w:val="20"/>
          <w:szCs w:val="20"/>
        </w:rPr>
        <w:t xml:space="preserve"> 8 de julio de 2016</w:t>
      </w:r>
      <w:r w:rsidRPr="00E7078D">
        <w:rPr>
          <w:rFonts w:ascii="Verdana" w:hAnsi="Verdana"/>
          <w:sz w:val="20"/>
          <w:szCs w:val="20"/>
        </w:rPr>
        <w:t xml:space="preserve"> por los representantes de l</w:t>
      </w:r>
      <w:r>
        <w:rPr>
          <w:rFonts w:ascii="Verdana" w:hAnsi="Verdana"/>
          <w:sz w:val="20"/>
          <w:szCs w:val="20"/>
        </w:rPr>
        <w:t>as víctimas</w:t>
      </w:r>
      <w:r w:rsidR="00AD1936">
        <w:rPr>
          <w:rFonts w:ascii="Verdana" w:hAnsi="Verdana"/>
          <w:sz w:val="20"/>
          <w:szCs w:val="20"/>
        </w:rPr>
        <w:t xml:space="preserve"> </w:t>
      </w:r>
      <w:r w:rsidR="008A7DD9">
        <w:rPr>
          <w:rFonts w:ascii="Verdana" w:hAnsi="Verdana"/>
          <w:sz w:val="20"/>
          <w:szCs w:val="20"/>
        </w:rPr>
        <w:t>de</w:t>
      </w:r>
      <w:r w:rsidR="00AD1936">
        <w:rPr>
          <w:rFonts w:ascii="Verdana" w:hAnsi="Verdana"/>
          <w:sz w:val="20"/>
          <w:szCs w:val="20"/>
        </w:rPr>
        <w:t xml:space="preserve"> s</w:t>
      </w:r>
      <w:r w:rsidR="008A7DD9">
        <w:rPr>
          <w:rFonts w:ascii="Verdana" w:hAnsi="Verdana"/>
          <w:sz w:val="20"/>
          <w:szCs w:val="20"/>
        </w:rPr>
        <w:t>iete</w:t>
      </w:r>
      <w:r w:rsidR="00AD1936">
        <w:rPr>
          <w:rFonts w:ascii="Verdana" w:hAnsi="Verdana"/>
          <w:sz w:val="20"/>
          <w:szCs w:val="20"/>
        </w:rPr>
        <w:t xml:space="preserve"> casos contra Venezuela</w:t>
      </w:r>
      <w:r w:rsidR="008A7DD9">
        <w:rPr>
          <w:rFonts w:ascii="Verdana" w:hAnsi="Verdana"/>
          <w:sz w:val="20"/>
          <w:szCs w:val="20"/>
        </w:rPr>
        <w:t>, incluyendo el presente caso</w:t>
      </w:r>
      <w:r w:rsidR="00AD1936">
        <w:rPr>
          <w:rStyle w:val="Refdenotaalpie"/>
          <w:rFonts w:ascii="Verdana" w:hAnsi="Verdana"/>
          <w:sz w:val="20"/>
          <w:szCs w:val="20"/>
        </w:rPr>
        <w:footnoteReference w:id="4"/>
      </w:r>
      <w:r w:rsidR="00AD1936">
        <w:rPr>
          <w:rFonts w:ascii="Verdana" w:hAnsi="Verdana"/>
          <w:sz w:val="20"/>
          <w:szCs w:val="20"/>
        </w:rPr>
        <w:t xml:space="preserve">, en el cual se refirieron al </w:t>
      </w:r>
      <w:r w:rsidR="006E08CA">
        <w:rPr>
          <w:rFonts w:ascii="Verdana" w:hAnsi="Verdana"/>
          <w:sz w:val="20"/>
          <w:szCs w:val="20"/>
        </w:rPr>
        <w:t xml:space="preserve">incumplimiento de lo ordenado en </w:t>
      </w:r>
      <w:r w:rsidR="00D97C45">
        <w:rPr>
          <w:rFonts w:ascii="Verdana" w:hAnsi="Verdana"/>
          <w:sz w:val="20"/>
          <w:szCs w:val="20"/>
        </w:rPr>
        <w:t xml:space="preserve">las Sentencias de </w:t>
      </w:r>
      <w:r w:rsidR="006E08CA">
        <w:rPr>
          <w:rFonts w:ascii="Verdana" w:hAnsi="Verdana"/>
          <w:sz w:val="20"/>
          <w:szCs w:val="20"/>
        </w:rPr>
        <w:t>esos casos</w:t>
      </w:r>
      <w:r w:rsidR="00AD1936">
        <w:rPr>
          <w:rFonts w:ascii="Verdana" w:hAnsi="Verdana"/>
          <w:sz w:val="20"/>
          <w:szCs w:val="20"/>
        </w:rPr>
        <w:t xml:space="preserve">, y </w:t>
      </w:r>
      <w:r w:rsidR="008A7DD9">
        <w:rPr>
          <w:rFonts w:ascii="Verdana" w:hAnsi="Verdana"/>
          <w:sz w:val="20"/>
          <w:szCs w:val="20"/>
        </w:rPr>
        <w:t xml:space="preserve">solicitaron “que se ordene </w:t>
      </w:r>
      <w:r w:rsidR="008A7DD9">
        <w:rPr>
          <w:rFonts w:ascii="Verdana" w:hAnsi="Verdana"/>
          <w:sz w:val="20"/>
          <w:szCs w:val="20"/>
        </w:rPr>
        <w:lastRenderedPageBreak/>
        <w:t xml:space="preserve">la realización de una audiencia conjunta de supervisión de cumplimiento de </w:t>
      </w:r>
      <w:r w:rsidR="006E08CA">
        <w:rPr>
          <w:rFonts w:ascii="Verdana" w:hAnsi="Verdana"/>
          <w:sz w:val="20"/>
          <w:szCs w:val="20"/>
        </w:rPr>
        <w:t xml:space="preserve">[sus] </w:t>
      </w:r>
      <w:r w:rsidR="008A7DD9">
        <w:rPr>
          <w:rFonts w:ascii="Verdana" w:hAnsi="Verdana"/>
          <w:sz w:val="20"/>
          <w:szCs w:val="20"/>
        </w:rPr>
        <w:t>sentencias</w:t>
      </w:r>
      <w:r w:rsidR="006E08CA">
        <w:rPr>
          <w:rFonts w:ascii="Verdana" w:hAnsi="Verdana"/>
          <w:sz w:val="20"/>
          <w:szCs w:val="20"/>
        </w:rPr>
        <w:t>”</w:t>
      </w:r>
      <w:r w:rsidR="008A7DD9">
        <w:rPr>
          <w:rFonts w:ascii="Verdana" w:hAnsi="Verdana"/>
          <w:sz w:val="20"/>
          <w:szCs w:val="20"/>
        </w:rPr>
        <w:t>.</w:t>
      </w:r>
      <w:r w:rsidR="00AD1936">
        <w:rPr>
          <w:rFonts w:ascii="Verdana" w:hAnsi="Verdana"/>
          <w:sz w:val="20"/>
          <w:szCs w:val="20"/>
        </w:rPr>
        <w:t xml:space="preserve"> </w:t>
      </w:r>
    </w:p>
    <w:p w:rsidR="00962F79" w:rsidRPr="00FF18D7" w:rsidRDefault="00962F79" w:rsidP="00C609B0">
      <w:pPr>
        <w:pStyle w:val="Prrafodelista"/>
        <w:spacing w:before="120" w:after="120" w:line="240" w:lineRule="auto"/>
        <w:ind w:left="0" w:right="1446"/>
        <w:jc w:val="both"/>
        <w:rPr>
          <w:rFonts w:ascii="Verdana" w:hAnsi="Verdana"/>
          <w:b/>
          <w:sz w:val="20"/>
          <w:szCs w:val="20"/>
        </w:rPr>
      </w:pPr>
    </w:p>
    <w:p w:rsidR="00FF3893" w:rsidRDefault="00FF3893" w:rsidP="00FF18D7">
      <w:pPr>
        <w:spacing w:before="120" w:after="120" w:line="240" w:lineRule="auto"/>
        <w:ind w:right="1444"/>
        <w:jc w:val="both"/>
        <w:rPr>
          <w:rFonts w:ascii="Verdana" w:hAnsi="Verdana"/>
          <w:b/>
          <w:sz w:val="20"/>
          <w:szCs w:val="20"/>
        </w:rPr>
      </w:pPr>
      <w:r w:rsidRPr="00FF18D7">
        <w:rPr>
          <w:rFonts w:ascii="Verdana" w:hAnsi="Verdana"/>
          <w:b/>
          <w:sz w:val="20"/>
          <w:szCs w:val="20"/>
        </w:rPr>
        <w:t>CONSIDERANDO QUE:</w:t>
      </w:r>
    </w:p>
    <w:p w:rsidR="003B1E02" w:rsidRPr="00FF18D7" w:rsidRDefault="003B1E02" w:rsidP="00FF18D7">
      <w:pPr>
        <w:spacing w:before="120" w:after="120" w:line="240" w:lineRule="auto"/>
        <w:ind w:right="1444"/>
        <w:jc w:val="both"/>
        <w:rPr>
          <w:rFonts w:ascii="Verdana" w:hAnsi="Verdana"/>
          <w:b/>
          <w:sz w:val="20"/>
          <w:szCs w:val="20"/>
        </w:rPr>
      </w:pPr>
    </w:p>
    <w:p w:rsidR="001820C6" w:rsidRPr="001820C6" w:rsidRDefault="00797528" w:rsidP="001820C6">
      <w:pPr>
        <w:pStyle w:val="Prrafodelista"/>
        <w:numPr>
          <w:ilvl w:val="0"/>
          <w:numId w:val="4"/>
        </w:numPr>
        <w:spacing w:before="120" w:after="120" w:line="240" w:lineRule="auto"/>
        <w:ind w:left="0" w:right="1444" w:firstLine="0"/>
        <w:contextualSpacing w:val="0"/>
        <w:jc w:val="both"/>
        <w:rPr>
          <w:rFonts w:ascii="Verdana" w:hAnsi="Verdana"/>
          <w:sz w:val="20"/>
          <w:szCs w:val="20"/>
        </w:rPr>
      </w:pPr>
      <w:r w:rsidRPr="00C76300">
        <w:rPr>
          <w:rFonts w:ascii="Verdana" w:hAnsi="Verdana"/>
          <w:sz w:val="20"/>
          <w:szCs w:val="20"/>
          <w:lang w:val="es-ES"/>
        </w:rPr>
        <w:t>En el ejercicio de su función jurisdiccional de supervisar el cumplimiento de sus decisiones</w:t>
      </w:r>
      <w:r w:rsidRPr="00C76300">
        <w:rPr>
          <w:rFonts w:ascii="Verdana" w:hAnsi="Verdana"/>
          <w:sz w:val="20"/>
          <w:szCs w:val="20"/>
          <w:vertAlign w:val="superscript"/>
        </w:rPr>
        <w:footnoteReference w:id="5"/>
      </w:r>
      <w:r w:rsidRPr="00C76300">
        <w:rPr>
          <w:rFonts w:ascii="Verdana" w:hAnsi="Verdana"/>
          <w:sz w:val="20"/>
          <w:szCs w:val="20"/>
          <w:lang w:val="es-ES"/>
        </w:rPr>
        <w:t xml:space="preserve"> la Corte ha venido </w:t>
      </w:r>
      <w:r w:rsidR="0096058C" w:rsidRPr="00C76300">
        <w:rPr>
          <w:rFonts w:ascii="Verdana" w:hAnsi="Verdana"/>
          <w:sz w:val="20"/>
          <w:szCs w:val="20"/>
          <w:lang w:val="es-ES"/>
        </w:rPr>
        <w:t xml:space="preserve">considerando </w:t>
      </w:r>
      <w:r w:rsidR="004C4767" w:rsidRPr="00C76300">
        <w:rPr>
          <w:rFonts w:ascii="Verdana" w:hAnsi="Verdana"/>
          <w:sz w:val="20"/>
          <w:szCs w:val="20"/>
          <w:lang w:val="es-ES"/>
        </w:rPr>
        <w:t>la ejecución de la</w:t>
      </w:r>
      <w:r w:rsidRPr="00C76300">
        <w:rPr>
          <w:rFonts w:ascii="Verdana" w:hAnsi="Verdana"/>
          <w:sz w:val="20"/>
          <w:szCs w:val="20"/>
          <w:lang w:val="es-ES"/>
        </w:rPr>
        <w:t xml:space="preserve"> Sentencia emitida </w:t>
      </w:r>
      <w:r w:rsidRPr="00C76300">
        <w:rPr>
          <w:rFonts w:ascii="Verdana" w:hAnsi="Verdana"/>
          <w:sz w:val="20"/>
          <w:szCs w:val="20"/>
          <w:lang w:val="es-MX"/>
        </w:rPr>
        <w:t xml:space="preserve">en </w:t>
      </w:r>
      <w:r w:rsidR="0096058C" w:rsidRPr="00C76300">
        <w:rPr>
          <w:rFonts w:ascii="Verdana" w:hAnsi="Verdana"/>
          <w:sz w:val="20"/>
          <w:szCs w:val="20"/>
          <w:lang w:val="es-MX"/>
        </w:rPr>
        <w:t>est</w:t>
      </w:r>
      <w:r w:rsidR="004C4767" w:rsidRPr="00C76300">
        <w:rPr>
          <w:rFonts w:ascii="Verdana" w:hAnsi="Verdana"/>
          <w:sz w:val="20"/>
          <w:szCs w:val="20"/>
          <w:lang w:val="es-MX"/>
        </w:rPr>
        <w:t>e</w:t>
      </w:r>
      <w:r w:rsidR="0096058C" w:rsidRPr="00C76300">
        <w:rPr>
          <w:rFonts w:ascii="Verdana" w:hAnsi="Verdana"/>
          <w:sz w:val="20"/>
          <w:szCs w:val="20"/>
          <w:lang w:val="es-MX"/>
        </w:rPr>
        <w:t xml:space="preserve"> c</w:t>
      </w:r>
      <w:r w:rsidRPr="00C76300">
        <w:rPr>
          <w:rFonts w:ascii="Verdana" w:hAnsi="Verdana"/>
          <w:sz w:val="20"/>
          <w:szCs w:val="20"/>
          <w:lang w:val="es-MX"/>
        </w:rPr>
        <w:t>aso</w:t>
      </w:r>
      <w:r w:rsidR="00F87659" w:rsidRPr="00C76300">
        <w:rPr>
          <w:rFonts w:ascii="Verdana" w:hAnsi="Verdana"/>
          <w:sz w:val="20"/>
          <w:szCs w:val="20"/>
          <w:lang w:val="es-MX"/>
        </w:rPr>
        <w:t xml:space="preserve"> </w:t>
      </w:r>
      <w:r w:rsidR="00B9779E">
        <w:rPr>
          <w:rFonts w:ascii="Verdana" w:hAnsi="Verdana"/>
          <w:sz w:val="20"/>
          <w:szCs w:val="20"/>
          <w:lang w:val="es-MX"/>
        </w:rPr>
        <w:t>en el 2014</w:t>
      </w:r>
      <w:r w:rsidRPr="00C76300">
        <w:rPr>
          <w:rFonts w:ascii="Verdana" w:hAnsi="Verdana"/>
          <w:sz w:val="20"/>
          <w:szCs w:val="20"/>
          <w:lang w:val="es-MX"/>
        </w:rPr>
        <w:t xml:space="preserve"> (</w:t>
      </w:r>
      <w:r w:rsidRPr="00C76300">
        <w:rPr>
          <w:rFonts w:ascii="Verdana" w:hAnsi="Verdana"/>
          <w:i/>
          <w:sz w:val="20"/>
          <w:szCs w:val="20"/>
          <w:lang w:val="es-MX"/>
        </w:rPr>
        <w:t>supra</w:t>
      </w:r>
      <w:r w:rsidRPr="00C76300">
        <w:rPr>
          <w:rFonts w:ascii="Verdana" w:hAnsi="Verdana"/>
          <w:sz w:val="20"/>
          <w:szCs w:val="20"/>
          <w:lang w:val="es-MX"/>
        </w:rPr>
        <w:t xml:space="preserve"> Visto 1)</w:t>
      </w:r>
      <w:r w:rsidR="006B672F" w:rsidRPr="00C76300">
        <w:rPr>
          <w:rFonts w:ascii="Verdana" w:hAnsi="Verdana"/>
          <w:sz w:val="20"/>
          <w:szCs w:val="20"/>
          <w:lang w:val="es-MX"/>
        </w:rPr>
        <w:t>.</w:t>
      </w:r>
      <w:r w:rsidR="008441DB" w:rsidRPr="00C76300">
        <w:rPr>
          <w:rFonts w:ascii="Verdana" w:hAnsi="Verdana"/>
          <w:sz w:val="20"/>
          <w:szCs w:val="20"/>
          <w:lang w:val="es-MX"/>
        </w:rPr>
        <w:t xml:space="preserve"> </w:t>
      </w:r>
      <w:r w:rsidR="004F04A8">
        <w:rPr>
          <w:rFonts w:ascii="Verdana" w:hAnsi="Verdana"/>
          <w:sz w:val="20"/>
          <w:szCs w:val="20"/>
          <w:lang w:val="es-MX"/>
        </w:rPr>
        <w:t xml:space="preserve">En dicho fallo, el Tribunal ordenó como medidas de reparación: </w:t>
      </w:r>
      <w:r w:rsidR="004F04A8" w:rsidRPr="009F49EF">
        <w:rPr>
          <w:rFonts w:ascii="Verdana" w:hAnsi="Verdana"/>
          <w:sz w:val="20"/>
          <w:szCs w:val="20"/>
          <w:lang w:val="es-MX"/>
        </w:rPr>
        <w:t>a)</w:t>
      </w:r>
      <w:r w:rsidR="004F04A8">
        <w:rPr>
          <w:rFonts w:ascii="Verdana" w:hAnsi="Verdana"/>
          <w:sz w:val="20"/>
          <w:szCs w:val="20"/>
          <w:lang w:val="es-MX"/>
        </w:rPr>
        <w:t xml:space="preserve"> investigar</w:t>
      </w:r>
      <w:r w:rsidR="00C86C5D">
        <w:rPr>
          <w:rFonts w:ascii="Verdana" w:hAnsi="Verdana"/>
          <w:sz w:val="20"/>
          <w:szCs w:val="20"/>
          <w:lang w:val="es-MX"/>
        </w:rPr>
        <w:t xml:space="preserve"> y esclarecer los hechos relativ</w:t>
      </w:r>
      <w:r w:rsidR="004F04A8">
        <w:rPr>
          <w:rFonts w:ascii="Verdana" w:hAnsi="Verdana"/>
          <w:sz w:val="20"/>
          <w:szCs w:val="20"/>
          <w:lang w:val="es-MX"/>
        </w:rPr>
        <w:t xml:space="preserve">os a la muerte de </w:t>
      </w:r>
      <w:proofErr w:type="spellStart"/>
      <w:r w:rsidR="004F04A8">
        <w:rPr>
          <w:rFonts w:ascii="Verdana" w:hAnsi="Verdana"/>
          <w:sz w:val="20"/>
          <w:szCs w:val="20"/>
          <w:lang w:val="es-MX"/>
        </w:rPr>
        <w:t>Igmar</w:t>
      </w:r>
      <w:proofErr w:type="spellEnd"/>
      <w:r w:rsidR="004F04A8">
        <w:rPr>
          <w:rFonts w:ascii="Verdana" w:hAnsi="Verdana"/>
          <w:sz w:val="20"/>
          <w:szCs w:val="20"/>
          <w:lang w:val="es-MX"/>
        </w:rPr>
        <w:t xml:space="preserve"> Landaeta Mejías y, en su caso, establecer la determinación de responsabilidades; </w:t>
      </w:r>
      <w:r w:rsidR="004F04A8" w:rsidRPr="009F49EF">
        <w:rPr>
          <w:rFonts w:ascii="Verdana" w:hAnsi="Verdana"/>
          <w:sz w:val="20"/>
          <w:szCs w:val="20"/>
          <w:lang w:val="es-MX"/>
        </w:rPr>
        <w:t>b)</w:t>
      </w:r>
      <w:r w:rsidR="004F04A8">
        <w:rPr>
          <w:rFonts w:ascii="Verdana" w:hAnsi="Verdana"/>
          <w:sz w:val="20"/>
          <w:szCs w:val="20"/>
          <w:lang w:val="es-MX"/>
        </w:rPr>
        <w:t xml:space="preserve"> </w:t>
      </w:r>
      <w:r w:rsidR="00583FBB">
        <w:rPr>
          <w:rFonts w:ascii="Verdana" w:hAnsi="Verdana"/>
          <w:sz w:val="20"/>
          <w:szCs w:val="20"/>
          <w:lang w:val="es-MX"/>
        </w:rPr>
        <w:t>continuar y concluir la investigación de los hechos ocurridos a Eduardo Landaeta Mejías en l</w:t>
      </w:r>
      <w:r w:rsidR="00C86C5D">
        <w:rPr>
          <w:rFonts w:ascii="Verdana" w:hAnsi="Verdana"/>
          <w:sz w:val="20"/>
          <w:szCs w:val="20"/>
          <w:lang w:val="es-MX"/>
        </w:rPr>
        <w:t>a jurisdicción ordinaria y, en s</w:t>
      </w:r>
      <w:r w:rsidR="00583FBB">
        <w:rPr>
          <w:rFonts w:ascii="Verdana" w:hAnsi="Verdana"/>
          <w:sz w:val="20"/>
          <w:szCs w:val="20"/>
          <w:lang w:val="es-MX"/>
        </w:rPr>
        <w:t xml:space="preserve">u caso, sancionar a los responsables; </w:t>
      </w:r>
      <w:r w:rsidR="00583FBB" w:rsidRPr="009F49EF">
        <w:rPr>
          <w:rFonts w:ascii="Verdana" w:hAnsi="Verdana"/>
          <w:sz w:val="20"/>
          <w:szCs w:val="20"/>
          <w:lang w:val="es-MX"/>
        </w:rPr>
        <w:t>c)</w:t>
      </w:r>
      <w:r w:rsidR="00583FBB">
        <w:rPr>
          <w:rFonts w:ascii="Verdana" w:hAnsi="Verdana"/>
          <w:sz w:val="20"/>
          <w:szCs w:val="20"/>
          <w:lang w:val="es-MX"/>
        </w:rPr>
        <w:t xml:space="preserve"> brindar el tratamiento psicológico que requieran los familiares de las víctimas; </w:t>
      </w:r>
      <w:r w:rsidR="00583FBB" w:rsidRPr="009F49EF">
        <w:rPr>
          <w:rFonts w:ascii="Verdana" w:hAnsi="Verdana"/>
          <w:sz w:val="20"/>
          <w:szCs w:val="20"/>
          <w:lang w:val="es-MX"/>
        </w:rPr>
        <w:t>d)</w:t>
      </w:r>
      <w:r w:rsidR="00583FBB">
        <w:rPr>
          <w:rFonts w:ascii="Verdana" w:hAnsi="Verdana"/>
          <w:sz w:val="20"/>
          <w:szCs w:val="20"/>
          <w:lang w:val="es-MX"/>
        </w:rPr>
        <w:t xml:space="preserve"> realizar un acto público de reconocimiento de responsabilidad internacional y disculpas públicas en relación con los hechos del caso; </w:t>
      </w:r>
      <w:r w:rsidR="00583FBB" w:rsidRPr="009F49EF">
        <w:rPr>
          <w:rFonts w:ascii="Verdana" w:hAnsi="Verdana"/>
          <w:sz w:val="20"/>
          <w:szCs w:val="20"/>
          <w:lang w:val="es-MX"/>
        </w:rPr>
        <w:t xml:space="preserve">e) </w:t>
      </w:r>
      <w:r w:rsidR="00583FBB">
        <w:rPr>
          <w:rFonts w:ascii="Verdana" w:hAnsi="Verdana"/>
          <w:sz w:val="20"/>
          <w:szCs w:val="20"/>
          <w:lang w:val="es-MX"/>
        </w:rPr>
        <w:t>realizar las publicaciones de la Sentencia y de su resumen oficial que se indican en el párrafo 305 de la misma</w:t>
      </w:r>
      <w:r w:rsidR="001820C6">
        <w:rPr>
          <w:rFonts w:ascii="Verdana" w:hAnsi="Verdana"/>
          <w:sz w:val="20"/>
          <w:szCs w:val="20"/>
          <w:lang w:val="es-MX"/>
        </w:rPr>
        <w:t xml:space="preserve">; </w:t>
      </w:r>
      <w:r w:rsidR="001820C6" w:rsidRPr="009F49EF">
        <w:rPr>
          <w:rFonts w:ascii="Verdana" w:hAnsi="Verdana"/>
          <w:sz w:val="20"/>
          <w:szCs w:val="20"/>
          <w:lang w:val="es-MX"/>
        </w:rPr>
        <w:t>f)</w:t>
      </w:r>
      <w:r w:rsidR="001820C6">
        <w:rPr>
          <w:rFonts w:ascii="Verdana" w:hAnsi="Verdana"/>
          <w:sz w:val="20"/>
          <w:szCs w:val="20"/>
          <w:lang w:val="es-MX"/>
        </w:rPr>
        <w:t xml:space="preserve"> pagar las cantidades fijadas en la Sentencia por concepto </w:t>
      </w:r>
      <w:r w:rsidR="00B9779E">
        <w:rPr>
          <w:rFonts w:ascii="Verdana" w:hAnsi="Verdana"/>
          <w:sz w:val="20"/>
          <w:szCs w:val="20"/>
          <w:lang w:val="es-MX"/>
        </w:rPr>
        <w:t xml:space="preserve">de indemnizaciones </w:t>
      </w:r>
      <w:r w:rsidR="001820C6">
        <w:rPr>
          <w:rFonts w:ascii="Verdana" w:hAnsi="Verdana"/>
          <w:sz w:val="20"/>
          <w:szCs w:val="20"/>
          <w:lang w:val="es-MX"/>
        </w:rPr>
        <w:t>de</w:t>
      </w:r>
      <w:r w:rsidR="00E34D51">
        <w:rPr>
          <w:rFonts w:ascii="Verdana" w:hAnsi="Verdana"/>
          <w:sz w:val="20"/>
          <w:szCs w:val="20"/>
          <w:lang w:val="es-MX"/>
        </w:rPr>
        <w:t>l</w:t>
      </w:r>
      <w:r w:rsidR="001820C6">
        <w:rPr>
          <w:rFonts w:ascii="Verdana" w:hAnsi="Verdana"/>
          <w:sz w:val="20"/>
          <w:szCs w:val="20"/>
          <w:lang w:val="es-MX"/>
        </w:rPr>
        <w:t xml:space="preserve"> daño material e inmaterial, y </w:t>
      </w:r>
      <w:r w:rsidR="001820C6" w:rsidRPr="009F49EF">
        <w:rPr>
          <w:rFonts w:ascii="Verdana" w:hAnsi="Verdana"/>
          <w:sz w:val="20"/>
          <w:szCs w:val="20"/>
          <w:lang w:val="es-MX"/>
        </w:rPr>
        <w:t>g)</w:t>
      </w:r>
      <w:r w:rsidR="001820C6">
        <w:rPr>
          <w:rFonts w:ascii="Verdana" w:hAnsi="Verdana"/>
          <w:sz w:val="20"/>
          <w:szCs w:val="20"/>
          <w:lang w:val="es-MX"/>
        </w:rPr>
        <w:t xml:space="preserve"> pagar la cantidad fijada por reintegro de costas y gastos</w:t>
      </w:r>
      <w:r w:rsidR="001820C6">
        <w:rPr>
          <w:rStyle w:val="Refdenotaalpie"/>
          <w:rFonts w:ascii="Verdana" w:hAnsi="Verdana"/>
          <w:sz w:val="20"/>
          <w:szCs w:val="20"/>
          <w:lang w:val="es-MX"/>
        </w:rPr>
        <w:footnoteReference w:id="6"/>
      </w:r>
      <w:r w:rsidR="001820C6">
        <w:rPr>
          <w:rFonts w:ascii="Verdana" w:hAnsi="Verdana"/>
          <w:sz w:val="20"/>
          <w:szCs w:val="20"/>
          <w:lang w:val="es-MX"/>
        </w:rPr>
        <w:t>. Además, este Tribunal ordenó al Estado que reintegrara al Fondo de Asistencia Legal de Víctimas de la Corte la cantidad erogada durante la tramitación del presente caso</w:t>
      </w:r>
      <w:r w:rsidR="001820C6">
        <w:rPr>
          <w:rStyle w:val="Refdenotaalpie"/>
          <w:rFonts w:ascii="Verdana" w:hAnsi="Verdana"/>
          <w:sz w:val="20"/>
          <w:szCs w:val="20"/>
          <w:lang w:val="es-MX"/>
        </w:rPr>
        <w:footnoteReference w:id="7"/>
      </w:r>
      <w:r w:rsidR="001820C6">
        <w:rPr>
          <w:rFonts w:ascii="Verdana" w:hAnsi="Verdana"/>
          <w:sz w:val="20"/>
          <w:szCs w:val="20"/>
          <w:lang w:val="es-MX"/>
        </w:rPr>
        <w:t>.</w:t>
      </w:r>
      <w:r w:rsidR="000766A2">
        <w:rPr>
          <w:rFonts w:ascii="Verdana" w:hAnsi="Verdana"/>
          <w:sz w:val="20"/>
          <w:szCs w:val="20"/>
          <w:lang w:val="es-MX"/>
        </w:rPr>
        <w:t xml:space="preserve"> </w:t>
      </w:r>
    </w:p>
    <w:p w:rsidR="006E08CA" w:rsidRPr="006E08CA" w:rsidRDefault="002D15D9" w:rsidP="00FF18D7">
      <w:pPr>
        <w:pStyle w:val="Prrafodelista"/>
        <w:numPr>
          <w:ilvl w:val="0"/>
          <w:numId w:val="4"/>
        </w:numPr>
        <w:spacing w:before="120" w:after="120" w:line="240" w:lineRule="auto"/>
        <w:ind w:left="0" w:right="1444" w:firstLine="0"/>
        <w:contextualSpacing w:val="0"/>
        <w:jc w:val="both"/>
        <w:rPr>
          <w:rFonts w:ascii="Verdana" w:hAnsi="Verdana"/>
          <w:sz w:val="20"/>
          <w:szCs w:val="20"/>
        </w:rPr>
      </w:pPr>
      <w:r>
        <w:rPr>
          <w:rFonts w:ascii="Verdana" w:hAnsi="Verdana" w:cs="Arial"/>
          <w:sz w:val="20"/>
          <w:szCs w:val="20"/>
        </w:rPr>
        <w:t>L</w:t>
      </w:r>
      <w:r w:rsidR="00AA57F6" w:rsidRPr="005C62C2">
        <w:rPr>
          <w:rFonts w:ascii="Verdana" w:hAnsi="Verdana" w:cs="Arial"/>
          <w:sz w:val="20"/>
          <w:szCs w:val="20"/>
        </w:rPr>
        <w:t>a Corte hace</w:t>
      </w:r>
      <w:r w:rsidR="00AA57F6" w:rsidRPr="00FF18D7">
        <w:rPr>
          <w:rFonts w:ascii="Verdana" w:hAnsi="Verdana" w:cs="Arial"/>
          <w:sz w:val="20"/>
          <w:szCs w:val="20"/>
        </w:rPr>
        <w:t xml:space="preserve"> notar que</w:t>
      </w:r>
      <w:r>
        <w:rPr>
          <w:rFonts w:ascii="Verdana" w:hAnsi="Verdana" w:cs="Arial"/>
          <w:sz w:val="20"/>
          <w:szCs w:val="20"/>
        </w:rPr>
        <w:t>,</w:t>
      </w:r>
      <w:r w:rsidR="00AA57F6" w:rsidRPr="00FF18D7">
        <w:rPr>
          <w:rFonts w:ascii="Verdana" w:hAnsi="Verdana" w:cs="Arial"/>
          <w:sz w:val="20"/>
          <w:szCs w:val="20"/>
        </w:rPr>
        <w:t xml:space="preserve"> en </w:t>
      </w:r>
      <w:r w:rsidR="001820C6">
        <w:rPr>
          <w:rFonts w:ascii="Verdana" w:hAnsi="Verdana" w:cs="Arial"/>
          <w:sz w:val="20"/>
          <w:szCs w:val="20"/>
        </w:rPr>
        <w:t xml:space="preserve">el punto resolutivo décimo sexto de la Sentencia dispuso que “[e]l Estado </w:t>
      </w:r>
      <w:proofErr w:type="spellStart"/>
      <w:proofErr w:type="gramStart"/>
      <w:r w:rsidR="001820C6">
        <w:rPr>
          <w:rFonts w:ascii="Verdana" w:hAnsi="Verdana" w:cs="Arial"/>
          <w:sz w:val="20"/>
          <w:szCs w:val="20"/>
        </w:rPr>
        <w:t>deb</w:t>
      </w:r>
      <w:proofErr w:type="spellEnd"/>
      <w:r w:rsidR="001820C6">
        <w:rPr>
          <w:rFonts w:ascii="Verdana" w:hAnsi="Verdana" w:cs="Arial"/>
          <w:sz w:val="20"/>
          <w:szCs w:val="20"/>
        </w:rPr>
        <w:t>[</w:t>
      </w:r>
      <w:proofErr w:type="spellStart"/>
      <w:proofErr w:type="gramEnd"/>
      <w:r w:rsidR="001820C6">
        <w:rPr>
          <w:rFonts w:ascii="Verdana" w:hAnsi="Verdana" w:cs="Arial"/>
          <w:sz w:val="20"/>
          <w:szCs w:val="20"/>
        </w:rPr>
        <w:t>ía</w:t>
      </w:r>
      <w:proofErr w:type="spellEnd"/>
      <w:r w:rsidR="001820C6">
        <w:rPr>
          <w:rFonts w:ascii="Verdana" w:hAnsi="Verdana" w:cs="Arial"/>
          <w:sz w:val="20"/>
          <w:szCs w:val="20"/>
        </w:rPr>
        <w:t xml:space="preserve">] dentro del plazo de un año contado a partir de la </w:t>
      </w:r>
      <w:proofErr w:type="spellStart"/>
      <w:r w:rsidR="001820C6">
        <w:rPr>
          <w:rFonts w:ascii="Verdana" w:hAnsi="Verdana" w:cs="Arial"/>
          <w:sz w:val="20"/>
          <w:szCs w:val="20"/>
        </w:rPr>
        <w:t>notificacipón</w:t>
      </w:r>
      <w:proofErr w:type="spellEnd"/>
      <w:r w:rsidR="001820C6">
        <w:rPr>
          <w:rFonts w:ascii="Verdana" w:hAnsi="Verdana" w:cs="Arial"/>
          <w:sz w:val="20"/>
          <w:szCs w:val="20"/>
        </w:rPr>
        <w:t xml:space="preserve"> de [la] Sentencia, rendir al [</w:t>
      </w:r>
      <w:r w:rsidR="001626CA">
        <w:rPr>
          <w:rFonts w:ascii="Verdana" w:hAnsi="Verdana" w:cs="Arial"/>
          <w:sz w:val="20"/>
          <w:szCs w:val="20"/>
        </w:rPr>
        <w:t>…</w:t>
      </w:r>
      <w:r w:rsidR="001820C6">
        <w:rPr>
          <w:rFonts w:ascii="Verdana" w:hAnsi="Verdana" w:cs="Arial"/>
          <w:sz w:val="20"/>
          <w:szCs w:val="20"/>
        </w:rPr>
        <w:t>] Tribunal un informe sobre las medidas adoptadas para cumplir con la misma”. El Estado no presentó el informe requerido</w:t>
      </w:r>
      <w:r w:rsidR="009B35F3">
        <w:rPr>
          <w:rFonts w:ascii="Verdana" w:hAnsi="Verdana" w:cs="Arial"/>
          <w:sz w:val="20"/>
          <w:szCs w:val="20"/>
        </w:rPr>
        <w:t xml:space="preserve"> en el referido plazo, por lo cual se le reiteró en una ocasión la solicitud </w:t>
      </w:r>
      <w:proofErr w:type="gramStart"/>
      <w:r w:rsidR="009B35F3">
        <w:rPr>
          <w:rFonts w:ascii="Verdana" w:hAnsi="Verdana" w:cs="Arial"/>
          <w:sz w:val="20"/>
          <w:szCs w:val="20"/>
        </w:rPr>
        <w:t>del</w:t>
      </w:r>
      <w:proofErr w:type="gramEnd"/>
      <w:r w:rsidR="009B35F3">
        <w:rPr>
          <w:rFonts w:ascii="Verdana" w:hAnsi="Verdana" w:cs="Arial"/>
          <w:sz w:val="20"/>
          <w:szCs w:val="20"/>
        </w:rPr>
        <w:t xml:space="preserve"> remisión del mismo (</w:t>
      </w:r>
      <w:r w:rsidR="009B35F3" w:rsidRPr="009B35F3">
        <w:rPr>
          <w:rFonts w:ascii="Verdana" w:hAnsi="Verdana" w:cs="Arial"/>
          <w:i/>
          <w:sz w:val="20"/>
          <w:szCs w:val="20"/>
        </w:rPr>
        <w:t xml:space="preserve">supra </w:t>
      </w:r>
      <w:r w:rsidR="009B35F3">
        <w:rPr>
          <w:rFonts w:ascii="Verdana" w:hAnsi="Verdana" w:cs="Arial"/>
          <w:sz w:val="20"/>
          <w:szCs w:val="20"/>
        </w:rPr>
        <w:t xml:space="preserve">Visto 2), lo cual no fue cumplido por Venezuela. En ese sentido, se destaca que han transcurrido aproximadamente </w:t>
      </w:r>
      <w:r w:rsidR="005C6107">
        <w:rPr>
          <w:rFonts w:ascii="Verdana" w:hAnsi="Verdana" w:cs="Arial"/>
          <w:sz w:val="20"/>
          <w:szCs w:val="20"/>
        </w:rPr>
        <w:t xml:space="preserve">un </w:t>
      </w:r>
      <w:r w:rsidR="009B35F3">
        <w:rPr>
          <w:rFonts w:ascii="Verdana" w:hAnsi="Verdana" w:cs="Arial"/>
          <w:sz w:val="20"/>
          <w:szCs w:val="20"/>
        </w:rPr>
        <w:t xml:space="preserve">año y </w:t>
      </w:r>
      <w:r w:rsidR="00EA6C82">
        <w:rPr>
          <w:rFonts w:ascii="Verdana" w:hAnsi="Verdana" w:cs="Arial"/>
          <w:sz w:val="20"/>
          <w:szCs w:val="20"/>
        </w:rPr>
        <w:t xml:space="preserve">un </w:t>
      </w:r>
      <w:r w:rsidR="009B35F3">
        <w:rPr>
          <w:rFonts w:ascii="Verdana" w:hAnsi="Verdana" w:cs="Arial"/>
          <w:sz w:val="20"/>
          <w:szCs w:val="20"/>
        </w:rPr>
        <w:t>mes desde el vencimiento del plazo de un año disp</w:t>
      </w:r>
      <w:r w:rsidR="006E08CA">
        <w:rPr>
          <w:rFonts w:ascii="Verdana" w:hAnsi="Verdana" w:cs="Arial"/>
          <w:sz w:val="20"/>
          <w:szCs w:val="20"/>
        </w:rPr>
        <w:t xml:space="preserve">uesto en la Sentencia para la presentación del informe. </w:t>
      </w:r>
    </w:p>
    <w:p w:rsidR="001820C6" w:rsidRPr="006E08CA" w:rsidRDefault="006E08CA" w:rsidP="001820C6">
      <w:pPr>
        <w:pStyle w:val="Prrafodelista"/>
        <w:numPr>
          <w:ilvl w:val="0"/>
          <w:numId w:val="4"/>
        </w:numPr>
        <w:spacing w:before="120" w:after="120" w:line="240" w:lineRule="auto"/>
        <w:ind w:left="0" w:right="1444" w:firstLine="0"/>
        <w:contextualSpacing w:val="0"/>
        <w:jc w:val="both"/>
        <w:rPr>
          <w:rFonts w:ascii="Verdana" w:hAnsi="Verdana"/>
          <w:sz w:val="20"/>
          <w:szCs w:val="20"/>
        </w:rPr>
      </w:pPr>
      <w:r>
        <w:rPr>
          <w:rFonts w:ascii="Verdana" w:hAnsi="Verdana" w:cs="Arial"/>
          <w:sz w:val="20"/>
          <w:szCs w:val="20"/>
        </w:rPr>
        <w:t>La Corte observa que, a pesar del tiempo transcurrido desde la notificación de la Sentencia, y del requerimiento realizado por la Presidencia de la Corte (</w:t>
      </w:r>
      <w:r w:rsidRPr="006E08CA">
        <w:rPr>
          <w:rFonts w:ascii="Verdana" w:hAnsi="Verdana" w:cs="Arial"/>
          <w:i/>
          <w:sz w:val="20"/>
          <w:szCs w:val="20"/>
        </w:rPr>
        <w:t>supra</w:t>
      </w:r>
      <w:r>
        <w:rPr>
          <w:rFonts w:ascii="Verdana" w:hAnsi="Verdana" w:cs="Arial"/>
          <w:sz w:val="20"/>
          <w:szCs w:val="20"/>
        </w:rPr>
        <w:t xml:space="preserve"> Vistos 1 y 2 y Considerando 2), Venezuela no informó respecto de las medidas ordenadas en la misma ni remitió escrito alguno al Tribunal. Por su parte, los </w:t>
      </w:r>
      <w:r w:rsidRPr="009F49EF">
        <w:rPr>
          <w:rFonts w:ascii="Verdana" w:hAnsi="Verdana" w:cs="Arial"/>
          <w:i/>
          <w:sz w:val="20"/>
          <w:szCs w:val="20"/>
        </w:rPr>
        <w:t>representantes de las víctimas</w:t>
      </w:r>
      <w:r>
        <w:rPr>
          <w:rFonts w:ascii="Verdana" w:hAnsi="Verdana" w:cs="Arial"/>
          <w:sz w:val="20"/>
          <w:szCs w:val="20"/>
        </w:rPr>
        <w:t xml:space="preserve"> sostuvieron que en </w:t>
      </w:r>
      <w:r w:rsidR="001626CA">
        <w:rPr>
          <w:rFonts w:ascii="Verdana" w:hAnsi="Verdana" w:cs="Arial"/>
          <w:sz w:val="20"/>
          <w:szCs w:val="20"/>
        </w:rPr>
        <w:t>é</w:t>
      </w:r>
      <w:r>
        <w:rPr>
          <w:rFonts w:ascii="Verdana" w:hAnsi="Verdana" w:cs="Arial"/>
          <w:sz w:val="20"/>
          <w:szCs w:val="20"/>
        </w:rPr>
        <w:t>ste y otros seis casos contra Venezuela hay un “incumplimiento sistemático […] en relación con lo ordenado por este</w:t>
      </w:r>
      <w:r w:rsidRPr="006E08CA">
        <w:rPr>
          <w:rFonts w:ascii="Verdana" w:hAnsi="Verdana"/>
          <w:sz w:val="20"/>
          <w:szCs w:val="20"/>
        </w:rPr>
        <w:t xml:space="preserve"> […] Tribunal”</w:t>
      </w:r>
      <w:r>
        <w:rPr>
          <w:rFonts w:ascii="Verdana" w:hAnsi="Verdana"/>
          <w:sz w:val="20"/>
          <w:szCs w:val="20"/>
        </w:rPr>
        <w:t xml:space="preserve"> (</w:t>
      </w:r>
      <w:r w:rsidRPr="006E08CA">
        <w:rPr>
          <w:rFonts w:ascii="Verdana" w:hAnsi="Verdana"/>
          <w:i/>
          <w:sz w:val="20"/>
          <w:szCs w:val="20"/>
        </w:rPr>
        <w:t>supra</w:t>
      </w:r>
      <w:r>
        <w:rPr>
          <w:rFonts w:ascii="Verdana" w:hAnsi="Verdana"/>
          <w:sz w:val="20"/>
          <w:szCs w:val="20"/>
        </w:rPr>
        <w:t xml:space="preserve"> Visto 3).</w:t>
      </w:r>
      <w:r w:rsidRPr="006E08CA">
        <w:rPr>
          <w:rFonts w:ascii="Verdana" w:hAnsi="Verdana"/>
          <w:b/>
          <w:sz w:val="16"/>
          <w:szCs w:val="16"/>
        </w:rPr>
        <w:t xml:space="preserve"> </w:t>
      </w:r>
      <w:r w:rsidR="00B2079F" w:rsidRPr="00B2079F">
        <w:rPr>
          <w:rFonts w:ascii="Verdana" w:hAnsi="Verdana"/>
          <w:sz w:val="20"/>
          <w:szCs w:val="20"/>
        </w:rPr>
        <w:t>De lo alegado por los representantes</w:t>
      </w:r>
      <w:r w:rsidR="001626CA">
        <w:rPr>
          <w:rFonts w:ascii="Verdana" w:hAnsi="Verdana"/>
          <w:sz w:val="20"/>
          <w:szCs w:val="20"/>
        </w:rPr>
        <w:t>,</w:t>
      </w:r>
      <w:r w:rsidR="00B2079F" w:rsidRPr="00B2079F">
        <w:rPr>
          <w:rFonts w:ascii="Verdana" w:hAnsi="Verdana"/>
          <w:sz w:val="20"/>
          <w:szCs w:val="20"/>
        </w:rPr>
        <w:t xml:space="preserve"> la Corte deduce que Venezuela no ha cumplido con ninguna de las medidas de reparación ordenadas en este caso</w:t>
      </w:r>
      <w:r w:rsidR="00B2079F" w:rsidRPr="00A547C9">
        <w:rPr>
          <w:rFonts w:ascii="Verdana" w:hAnsi="Verdana"/>
          <w:sz w:val="20"/>
          <w:szCs w:val="20"/>
        </w:rPr>
        <w:t xml:space="preserve">. </w:t>
      </w:r>
      <w:r w:rsidR="00A547C9" w:rsidRPr="00A547C9">
        <w:rPr>
          <w:rFonts w:ascii="Verdana" w:hAnsi="Verdana"/>
          <w:sz w:val="20"/>
          <w:szCs w:val="20"/>
        </w:rPr>
        <w:t>El Estado tampoco ha cumplido con realizar el reintegro al Fondo de Asistencia Legal de Víctimas</w:t>
      </w:r>
      <w:r w:rsidR="001626CA">
        <w:rPr>
          <w:rFonts w:ascii="Verdana" w:hAnsi="Verdana"/>
          <w:sz w:val="20"/>
          <w:szCs w:val="20"/>
        </w:rPr>
        <w:t xml:space="preserve"> (</w:t>
      </w:r>
      <w:r w:rsidR="001626CA" w:rsidRPr="009F49EF">
        <w:rPr>
          <w:rFonts w:ascii="Verdana" w:hAnsi="Verdana"/>
          <w:i/>
          <w:sz w:val="20"/>
          <w:szCs w:val="20"/>
        </w:rPr>
        <w:t>supra</w:t>
      </w:r>
      <w:r w:rsidR="001626CA">
        <w:rPr>
          <w:rFonts w:ascii="Verdana" w:hAnsi="Verdana"/>
          <w:sz w:val="20"/>
          <w:szCs w:val="20"/>
        </w:rPr>
        <w:t xml:space="preserve"> Considerando 1)</w:t>
      </w:r>
      <w:r w:rsidR="00A547C9" w:rsidRPr="00A547C9">
        <w:rPr>
          <w:rStyle w:val="Refdenotaalpie"/>
          <w:rFonts w:ascii="Verdana" w:hAnsi="Verdana"/>
          <w:sz w:val="20"/>
          <w:szCs w:val="20"/>
        </w:rPr>
        <w:footnoteReference w:id="8"/>
      </w:r>
      <w:r w:rsidR="00A547C9">
        <w:rPr>
          <w:rFonts w:ascii="Verdana" w:hAnsi="Verdana"/>
          <w:sz w:val="20"/>
          <w:szCs w:val="20"/>
        </w:rPr>
        <w:t>.</w:t>
      </w:r>
    </w:p>
    <w:p w:rsidR="00001D18" w:rsidRPr="00F07AD1" w:rsidRDefault="00D57485" w:rsidP="008B5826">
      <w:pPr>
        <w:pStyle w:val="Prrafodelista"/>
        <w:numPr>
          <w:ilvl w:val="0"/>
          <w:numId w:val="4"/>
        </w:numPr>
        <w:spacing w:before="120" w:after="120" w:line="240" w:lineRule="auto"/>
        <w:ind w:left="0" w:right="1444" w:firstLine="0"/>
        <w:contextualSpacing w:val="0"/>
        <w:jc w:val="both"/>
        <w:rPr>
          <w:rFonts w:ascii="Verdana" w:hAnsi="Verdana"/>
          <w:sz w:val="20"/>
          <w:szCs w:val="20"/>
        </w:rPr>
      </w:pPr>
      <w:r w:rsidRPr="00F07AD1">
        <w:rPr>
          <w:rFonts w:ascii="Verdana" w:hAnsi="Verdana"/>
          <w:sz w:val="20"/>
          <w:szCs w:val="20"/>
        </w:rPr>
        <w:lastRenderedPageBreak/>
        <w:t>Conforme a lo dispuesto</w:t>
      </w:r>
      <w:r w:rsidR="00255624" w:rsidRPr="00F07AD1">
        <w:rPr>
          <w:rFonts w:ascii="Verdana" w:hAnsi="Verdana"/>
          <w:sz w:val="20"/>
          <w:szCs w:val="20"/>
        </w:rPr>
        <w:t xml:space="preserve"> en el artículo 68.1 de la Convención Americana y tal como ha indicado </w:t>
      </w:r>
      <w:r w:rsidR="001626CA">
        <w:rPr>
          <w:rFonts w:ascii="Verdana" w:hAnsi="Verdana"/>
          <w:sz w:val="20"/>
          <w:szCs w:val="20"/>
        </w:rPr>
        <w:t>este Tribunal</w:t>
      </w:r>
      <w:r w:rsidR="00255624" w:rsidRPr="00F07AD1">
        <w:rPr>
          <w:rFonts w:ascii="Verdana" w:hAnsi="Verdana"/>
          <w:sz w:val="20"/>
          <w:szCs w:val="20"/>
        </w:rPr>
        <w:t xml:space="preserve">, “[l]os Estados Partes en la Convención se comprometen a cumplir la decisión de la Corte en todo caso en que sean partes”. </w:t>
      </w:r>
      <w:r w:rsidR="008B5826" w:rsidRPr="00F07AD1">
        <w:rPr>
          <w:rFonts w:ascii="Verdana" w:hAnsi="Verdana"/>
          <w:sz w:val="20"/>
          <w:szCs w:val="20"/>
        </w:rPr>
        <w:t xml:space="preserve">Esta obligación incluye el deber del Estado de informar sobre las medidas adoptadas para cumplir cada uno de los puntos ordenados por </w:t>
      </w:r>
      <w:r w:rsidR="001626CA">
        <w:rPr>
          <w:rFonts w:ascii="Verdana" w:hAnsi="Verdana"/>
          <w:sz w:val="20"/>
          <w:szCs w:val="20"/>
        </w:rPr>
        <w:t>é</w:t>
      </w:r>
      <w:r w:rsidR="008B5826" w:rsidRPr="00F07AD1">
        <w:rPr>
          <w:rFonts w:ascii="Verdana" w:hAnsi="Verdana"/>
          <w:sz w:val="20"/>
          <w:szCs w:val="20"/>
        </w:rPr>
        <w:t>ste, lo cual es fundamental para evaluar el estado de cumplimiento de la Sentencia en su conjunto</w:t>
      </w:r>
      <w:r w:rsidR="008B5826" w:rsidRPr="00FF18D7">
        <w:rPr>
          <w:rStyle w:val="Refdenotaalpie"/>
          <w:rFonts w:ascii="Verdana" w:hAnsi="Verdana"/>
          <w:sz w:val="20"/>
          <w:szCs w:val="20"/>
        </w:rPr>
        <w:footnoteReference w:id="9"/>
      </w:r>
      <w:r w:rsidR="008B5826" w:rsidRPr="00F07AD1">
        <w:rPr>
          <w:rFonts w:ascii="Verdana" w:hAnsi="Verdana"/>
          <w:sz w:val="20"/>
          <w:szCs w:val="20"/>
        </w:rPr>
        <w:t xml:space="preserve">. </w:t>
      </w:r>
      <w:r w:rsidR="007F3310" w:rsidRPr="00F07AD1">
        <w:rPr>
          <w:rFonts w:ascii="Verdana" w:eastAsia="Times New Roman" w:hAnsi="Verdana"/>
          <w:sz w:val="20"/>
          <w:szCs w:val="20"/>
          <w:shd w:val="clear" w:color="auto" w:fill="FFFFFF"/>
        </w:rPr>
        <w:t>Al efecto, cabe tener presente, además, que, según el artículo 67 de la Convención Americana, “[e]</w:t>
      </w:r>
      <w:r w:rsidR="007F3310" w:rsidRPr="00F07AD1">
        <w:rPr>
          <w:rFonts w:ascii="Verdana" w:eastAsia="Calibri" w:hAnsi="Verdana" w:cs="Tahoma"/>
          <w:sz w:val="20"/>
          <w:szCs w:val="20"/>
          <w:lang w:val="es-CL"/>
        </w:rPr>
        <w:t xml:space="preserve">l fallo de la Corte será definitivo e inapelable”, de manera que, </w:t>
      </w:r>
      <w:r w:rsidR="007F3310" w:rsidRPr="00F07AD1">
        <w:rPr>
          <w:rFonts w:ascii="Verdana" w:eastAsia="Times New Roman" w:hAnsi="Verdana"/>
          <w:sz w:val="20"/>
          <w:szCs w:val="20"/>
          <w:shd w:val="clear" w:color="auto" w:fill="FFFFFF"/>
        </w:rPr>
        <w:t>una</w:t>
      </w:r>
      <w:r w:rsidR="007F3310" w:rsidRPr="00F07AD1">
        <w:rPr>
          <w:rFonts w:ascii="Verdana" w:eastAsia="Times New Roman" w:hAnsi="Verdana"/>
          <w:sz w:val="20"/>
          <w:szCs w:val="20"/>
          <w:lang w:val="es-CO"/>
        </w:rPr>
        <w:t xml:space="preserve"> vez que este Tribunal dicta sentencia, ella produce los efectos de cosa juzgada</w:t>
      </w:r>
      <w:r w:rsidR="007F3310" w:rsidRPr="00F07AD1">
        <w:rPr>
          <w:rFonts w:ascii="Verdana" w:eastAsia="Times New Roman" w:hAnsi="Verdana"/>
          <w:sz w:val="20"/>
          <w:szCs w:val="20"/>
        </w:rPr>
        <w:t xml:space="preserve"> y</w:t>
      </w:r>
      <w:r w:rsidR="007F3310" w:rsidRPr="00F07AD1">
        <w:rPr>
          <w:rFonts w:ascii="Verdana" w:eastAsia="Times New Roman" w:hAnsi="Verdana"/>
          <w:sz w:val="20"/>
          <w:szCs w:val="20"/>
          <w:shd w:val="clear" w:color="auto" w:fill="FFFFFF"/>
        </w:rPr>
        <w:t xml:space="preserve"> debe ser prontamente cumplida por el Estado en forma íntegra.</w:t>
      </w:r>
    </w:p>
    <w:p w:rsidR="00001D18" w:rsidRPr="00FF18D7" w:rsidRDefault="00001D18" w:rsidP="00FF18D7">
      <w:pPr>
        <w:pStyle w:val="Prrafodelista"/>
        <w:numPr>
          <w:ilvl w:val="0"/>
          <w:numId w:val="4"/>
        </w:numPr>
        <w:spacing w:before="120" w:after="120" w:line="240" w:lineRule="auto"/>
        <w:ind w:left="0" w:right="1444" w:firstLine="0"/>
        <w:contextualSpacing w:val="0"/>
        <w:jc w:val="both"/>
        <w:rPr>
          <w:rFonts w:ascii="Verdana" w:hAnsi="Verdana"/>
          <w:sz w:val="20"/>
          <w:szCs w:val="20"/>
        </w:rPr>
      </w:pPr>
      <w:r w:rsidRPr="00FF18D7">
        <w:rPr>
          <w:rFonts w:ascii="Verdana" w:eastAsia="Times New Roman" w:hAnsi="Verdana"/>
          <w:color w:val="000000"/>
          <w:sz w:val="20"/>
          <w:szCs w:val="20"/>
          <w:lang w:val="es-CO"/>
        </w:rPr>
        <w:t xml:space="preserve">De modo, entonces, los Estados Partes de la Convención Americana tienen la obligación convencional de implementar tanto a nivel internacional como interno y </w:t>
      </w:r>
      <w:r w:rsidRPr="00FF18D7">
        <w:rPr>
          <w:rFonts w:ascii="Verdana" w:eastAsia="Times New Roman" w:hAnsi="Verdana"/>
          <w:color w:val="000000"/>
          <w:sz w:val="20"/>
          <w:szCs w:val="20"/>
        </w:rPr>
        <w:t xml:space="preserve">de forma pronta e íntegra, lo </w:t>
      </w:r>
      <w:r w:rsidRPr="00FF18D7">
        <w:rPr>
          <w:rFonts w:ascii="Verdana" w:eastAsia="Times New Roman" w:hAnsi="Verdana"/>
          <w:color w:val="000000"/>
          <w:sz w:val="20"/>
          <w:szCs w:val="20"/>
          <w:lang w:val="es-CO"/>
        </w:rPr>
        <w:t xml:space="preserve">dispuesto por el Tribunal en las Sentencias que a ellos conciernan, obligación que, como lo señala el derecho internacional consuetudinario y lo ha recordado la Corte, vincula a todos los poderes y órganos </w:t>
      </w:r>
      <w:r w:rsidRPr="00BF06AC">
        <w:rPr>
          <w:rFonts w:ascii="Verdana" w:eastAsia="Times New Roman" w:hAnsi="Verdana"/>
          <w:color w:val="000000"/>
          <w:sz w:val="20"/>
          <w:szCs w:val="20"/>
          <w:lang w:val="es-CO"/>
        </w:rPr>
        <w:t>estatales</w:t>
      </w:r>
      <w:r w:rsidRPr="00BF06AC">
        <w:rPr>
          <w:rStyle w:val="Refdenotaalpie"/>
          <w:rFonts w:ascii="Verdana" w:hAnsi="Verdana" w:cs="Verdana"/>
          <w:sz w:val="20"/>
          <w:szCs w:val="20"/>
        </w:rPr>
        <w:footnoteReference w:id="10"/>
      </w:r>
      <w:r w:rsidRPr="00BF06AC">
        <w:rPr>
          <w:rFonts w:ascii="Verdana" w:eastAsia="Times New Roman" w:hAnsi="Verdana"/>
          <w:color w:val="000000"/>
          <w:sz w:val="20"/>
          <w:szCs w:val="20"/>
        </w:rPr>
        <w:t xml:space="preserve"> y</w:t>
      </w:r>
      <w:r w:rsidRPr="00FF18D7">
        <w:rPr>
          <w:rFonts w:ascii="Verdana" w:eastAsia="Times New Roman" w:hAnsi="Verdana"/>
          <w:color w:val="000000"/>
          <w:sz w:val="20"/>
          <w:szCs w:val="20"/>
        </w:rPr>
        <w:t>, de no cumplirse, se incurre en un ilícito internacional</w:t>
      </w:r>
      <w:r w:rsidRPr="00FF18D7">
        <w:rPr>
          <w:rFonts w:ascii="Verdana" w:eastAsia="Times New Roman" w:hAnsi="Verdana"/>
          <w:color w:val="000000"/>
          <w:sz w:val="20"/>
          <w:szCs w:val="20"/>
          <w:lang w:val="pl-PL"/>
        </w:rPr>
        <w:t>. Al respecto, es menester añadir que siempre,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r w:rsidRPr="00FF18D7">
        <w:rPr>
          <w:rStyle w:val="Refdenotaalpie"/>
          <w:rFonts w:ascii="Verdana" w:hAnsi="Verdana"/>
          <w:sz w:val="20"/>
          <w:szCs w:val="20"/>
        </w:rPr>
        <w:footnoteReference w:id="11"/>
      </w:r>
      <w:r w:rsidRPr="00FF18D7">
        <w:rPr>
          <w:rFonts w:ascii="Verdana" w:eastAsia="Times New Roman" w:hAnsi="Verdana"/>
          <w:color w:val="000000"/>
          <w:sz w:val="20"/>
          <w:szCs w:val="20"/>
          <w:lang w:val="pl-PL"/>
        </w:rPr>
        <w:t xml:space="preserve">. </w:t>
      </w:r>
      <w:r w:rsidRPr="00FF18D7">
        <w:rPr>
          <w:rFonts w:ascii="Verdana" w:hAnsi="Verdana"/>
          <w:sz w:val="20"/>
          <w:szCs w:val="20"/>
          <w:lang w:val="pl-PL"/>
        </w:rPr>
        <w:t>Tal como ha indicado la Corte</w:t>
      </w:r>
      <w:r w:rsidRPr="00FF18D7">
        <w:rPr>
          <w:rStyle w:val="Refdenotaalpie"/>
          <w:rFonts w:ascii="Verdana" w:hAnsi="Verdana"/>
          <w:sz w:val="20"/>
          <w:szCs w:val="20"/>
        </w:rPr>
        <w:footnoteReference w:id="12"/>
      </w:r>
      <w:r w:rsidRPr="00FF18D7">
        <w:rPr>
          <w:rFonts w:ascii="Verdana" w:hAnsi="Verdana"/>
          <w:sz w:val="20"/>
          <w:szCs w:val="20"/>
          <w:lang w:val="pl-PL"/>
        </w:rPr>
        <w:t>, el artículo 63.1 de la Convención reproduce el texto de una norma consuetudinaria que constituye uno de los principios fundamentales del derecho de la responsabilidad internacional de los Estados</w:t>
      </w:r>
      <w:r w:rsidRPr="00FF18D7">
        <w:rPr>
          <w:rStyle w:val="Refdenotaalpie"/>
          <w:rFonts w:ascii="Verdana" w:hAnsi="Verdana"/>
          <w:sz w:val="20"/>
          <w:szCs w:val="20"/>
        </w:rPr>
        <w:footnoteReference w:id="13"/>
      </w:r>
      <w:r w:rsidRPr="00FF18D7">
        <w:rPr>
          <w:rFonts w:ascii="Verdana" w:hAnsi="Verdana"/>
          <w:sz w:val="20"/>
          <w:szCs w:val="20"/>
          <w:lang w:val="pl-PL"/>
        </w:rPr>
        <w:t>.</w:t>
      </w:r>
      <w:r w:rsidR="00D30244">
        <w:rPr>
          <w:rFonts w:ascii="Verdana" w:hAnsi="Verdana"/>
          <w:sz w:val="20"/>
          <w:szCs w:val="20"/>
          <w:lang w:val="pl-PL"/>
        </w:rPr>
        <w:t xml:space="preserve"> La falta de ejecución de las reparaciones en el ámbito interno implica la negación al </w:t>
      </w:r>
      <w:r w:rsidR="00D30244" w:rsidRPr="00FF18D7">
        <w:rPr>
          <w:rFonts w:ascii="Verdana" w:eastAsia="Calibri" w:hAnsi="Verdana" w:cs="Verdana"/>
          <w:sz w:val="20"/>
          <w:szCs w:val="20"/>
        </w:rPr>
        <w:t>derecho de acceso a la justicia internacional</w:t>
      </w:r>
      <w:r w:rsidR="00D30244" w:rsidRPr="00FF18D7">
        <w:rPr>
          <w:rStyle w:val="Refdenotaalpie"/>
          <w:rFonts w:ascii="Verdana" w:eastAsia="Calibri" w:hAnsi="Verdana" w:cs="Verdana"/>
          <w:sz w:val="20"/>
          <w:szCs w:val="20"/>
        </w:rPr>
        <w:footnoteReference w:id="14"/>
      </w:r>
      <w:r w:rsidR="00D30244" w:rsidRPr="00FF18D7">
        <w:rPr>
          <w:rFonts w:ascii="Verdana" w:eastAsia="Calibri" w:hAnsi="Verdana" w:cs="Verdana"/>
          <w:sz w:val="20"/>
          <w:szCs w:val="20"/>
        </w:rPr>
        <w:t>.</w:t>
      </w:r>
    </w:p>
    <w:p w:rsidR="00FB6E6C" w:rsidRPr="00786DA7" w:rsidRDefault="00D03A2C" w:rsidP="00786DA7">
      <w:pPr>
        <w:pStyle w:val="Prrafodelista"/>
        <w:numPr>
          <w:ilvl w:val="0"/>
          <w:numId w:val="4"/>
        </w:numPr>
        <w:spacing w:before="120" w:after="120" w:line="240" w:lineRule="auto"/>
        <w:ind w:left="0" w:right="1444" w:firstLine="0"/>
        <w:contextualSpacing w:val="0"/>
        <w:jc w:val="both"/>
        <w:rPr>
          <w:rFonts w:ascii="Verdana" w:hAnsi="Verdana"/>
          <w:sz w:val="20"/>
          <w:szCs w:val="20"/>
        </w:rPr>
      </w:pPr>
      <w:r>
        <w:rPr>
          <w:rFonts w:ascii="Verdana" w:hAnsi="Verdana"/>
          <w:sz w:val="20"/>
          <w:szCs w:val="20"/>
        </w:rPr>
        <w:t>L</w:t>
      </w:r>
      <w:r w:rsidR="00C359E9" w:rsidRPr="00FF18D7">
        <w:rPr>
          <w:rFonts w:ascii="Verdana" w:eastAsia="Calibri" w:hAnsi="Verdana" w:cs="Verdana"/>
          <w:sz w:val="20"/>
          <w:szCs w:val="20"/>
        </w:rPr>
        <w:t>a falta de presentación de</w:t>
      </w:r>
      <w:r w:rsidR="005D1D64">
        <w:rPr>
          <w:rFonts w:ascii="Verdana" w:eastAsia="Calibri" w:hAnsi="Verdana" w:cs="Verdana"/>
          <w:sz w:val="20"/>
          <w:szCs w:val="20"/>
        </w:rPr>
        <w:t>l</w:t>
      </w:r>
      <w:r w:rsidR="00C359E9" w:rsidRPr="00FF18D7">
        <w:rPr>
          <w:rFonts w:ascii="Verdana" w:eastAsia="Calibri" w:hAnsi="Verdana" w:cs="Verdana"/>
          <w:sz w:val="20"/>
          <w:szCs w:val="20"/>
        </w:rPr>
        <w:t xml:space="preserve"> informe</w:t>
      </w:r>
      <w:r w:rsidR="00F5200A">
        <w:rPr>
          <w:rFonts w:ascii="Verdana" w:eastAsia="Calibri" w:hAnsi="Verdana" w:cs="Verdana"/>
          <w:sz w:val="20"/>
          <w:szCs w:val="20"/>
        </w:rPr>
        <w:t xml:space="preserve"> de cumplimiento</w:t>
      </w:r>
      <w:r w:rsidR="006B1639">
        <w:rPr>
          <w:rFonts w:ascii="Verdana" w:eastAsia="Calibri" w:hAnsi="Verdana" w:cs="Verdana"/>
          <w:sz w:val="20"/>
          <w:szCs w:val="20"/>
        </w:rPr>
        <w:t xml:space="preserve"> citado,</w:t>
      </w:r>
      <w:r w:rsidR="00C359E9" w:rsidRPr="00FF18D7">
        <w:rPr>
          <w:rFonts w:ascii="Verdana" w:eastAsia="Calibri" w:hAnsi="Verdana" w:cs="Verdana"/>
          <w:sz w:val="20"/>
          <w:szCs w:val="20"/>
        </w:rPr>
        <w:t xml:space="preserve"> </w:t>
      </w:r>
      <w:r w:rsidR="008F6DF3">
        <w:rPr>
          <w:rFonts w:ascii="Verdana" w:eastAsia="Calibri" w:hAnsi="Verdana" w:cs="Verdana"/>
          <w:sz w:val="20"/>
          <w:szCs w:val="20"/>
        </w:rPr>
        <w:t>habiendo transcurrido un prolongado tiempo desde el vencimiento de</w:t>
      </w:r>
      <w:r w:rsidR="005D1D64">
        <w:rPr>
          <w:rFonts w:ascii="Verdana" w:eastAsia="Calibri" w:hAnsi="Verdana" w:cs="Verdana"/>
          <w:sz w:val="20"/>
          <w:szCs w:val="20"/>
        </w:rPr>
        <w:t>l</w:t>
      </w:r>
      <w:r w:rsidR="008F6DF3">
        <w:rPr>
          <w:rFonts w:ascii="Verdana" w:eastAsia="Calibri" w:hAnsi="Verdana" w:cs="Verdana"/>
          <w:sz w:val="20"/>
          <w:szCs w:val="20"/>
        </w:rPr>
        <w:t xml:space="preserve"> plazo dispuesto en la Sentencia</w:t>
      </w:r>
      <w:r w:rsidR="00C359E9" w:rsidRPr="00FF18D7">
        <w:rPr>
          <w:rFonts w:ascii="Verdana" w:hAnsi="Verdana"/>
          <w:sz w:val="20"/>
          <w:szCs w:val="20"/>
          <w:lang w:val="es-MX"/>
        </w:rPr>
        <w:t xml:space="preserve">, sumado a la falta de respuesta del Estado ante </w:t>
      </w:r>
      <w:r w:rsidR="005D1D64">
        <w:rPr>
          <w:rFonts w:ascii="Verdana" w:hAnsi="Verdana"/>
          <w:sz w:val="20"/>
          <w:szCs w:val="20"/>
          <w:lang w:val="es-MX"/>
        </w:rPr>
        <w:t>e</w:t>
      </w:r>
      <w:r w:rsidR="00C359E9" w:rsidRPr="00FF18D7">
        <w:rPr>
          <w:rFonts w:ascii="Verdana" w:hAnsi="Verdana"/>
          <w:sz w:val="20"/>
          <w:szCs w:val="20"/>
          <w:lang w:val="es-MX"/>
        </w:rPr>
        <w:t>l</w:t>
      </w:r>
      <w:r w:rsidR="005D1D64">
        <w:rPr>
          <w:rFonts w:ascii="Verdana" w:hAnsi="Verdana"/>
          <w:sz w:val="20"/>
          <w:szCs w:val="20"/>
          <w:lang w:val="es-MX"/>
        </w:rPr>
        <w:t xml:space="preserve"> requerimiento</w:t>
      </w:r>
      <w:r w:rsidR="00C359E9" w:rsidRPr="00FF18D7">
        <w:rPr>
          <w:rFonts w:ascii="Verdana" w:hAnsi="Verdana"/>
          <w:sz w:val="20"/>
          <w:szCs w:val="20"/>
          <w:lang w:val="es-MX"/>
        </w:rPr>
        <w:t xml:space="preserve"> de la Presidencia</w:t>
      </w:r>
      <w:r w:rsidR="008F6DF3">
        <w:rPr>
          <w:rFonts w:ascii="Verdana" w:hAnsi="Verdana"/>
          <w:sz w:val="20"/>
          <w:szCs w:val="20"/>
          <w:lang w:val="es-MX"/>
        </w:rPr>
        <w:t xml:space="preserve"> de la Corte</w:t>
      </w:r>
      <w:r w:rsidR="00F5200A">
        <w:rPr>
          <w:rFonts w:ascii="Verdana" w:hAnsi="Verdana"/>
          <w:sz w:val="20"/>
          <w:szCs w:val="20"/>
          <w:lang w:val="es-MX"/>
        </w:rPr>
        <w:t xml:space="preserve"> </w:t>
      </w:r>
      <w:r w:rsidR="00F5200A">
        <w:rPr>
          <w:rFonts w:ascii="Verdana" w:eastAsia="Calibri" w:hAnsi="Verdana" w:cs="Verdana"/>
          <w:sz w:val="20"/>
          <w:szCs w:val="20"/>
        </w:rPr>
        <w:t>(</w:t>
      </w:r>
      <w:r w:rsidR="00F5200A" w:rsidRPr="008F6DF3">
        <w:rPr>
          <w:rFonts w:ascii="Verdana" w:eastAsia="Calibri" w:hAnsi="Verdana" w:cs="Verdana"/>
          <w:i/>
          <w:sz w:val="20"/>
          <w:szCs w:val="20"/>
        </w:rPr>
        <w:t xml:space="preserve">supra </w:t>
      </w:r>
      <w:r w:rsidR="00F5200A" w:rsidRPr="008F6DF3">
        <w:rPr>
          <w:rFonts w:ascii="Verdana" w:eastAsia="Calibri" w:hAnsi="Verdana" w:cs="Verdana"/>
          <w:sz w:val="20"/>
          <w:szCs w:val="20"/>
        </w:rPr>
        <w:t>Considerando</w:t>
      </w:r>
      <w:r w:rsidR="00EB4974">
        <w:rPr>
          <w:rFonts w:ascii="Verdana" w:eastAsia="Calibri" w:hAnsi="Verdana" w:cs="Verdana"/>
          <w:sz w:val="20"/>
          <w:szCs w:val="20"/>
        </w:rPr>
        <w:t>s</w:t>
      </w:r>
      <w:r w:rsidR="00F5200A" w:rsidRPr="008F6DF3">
        <w:rPr>
          <w:rFonts w:ascii="Verdana" w:eastAsia="Calibri" w:hAnsi="Verdana" w:cs="Verdana"/>
          <w:sz w:val="20"/>
          <w:szCs w:val="20"/>
        </w:rPr>
        <w:t xml:space="preserve"> </w:t>
      </w:r>
      <w:r w:rsidR="00F5200A">
        <w:rPr>
          <w:rFonts w:ascii="Verdana" w:eastAsia="Calibri" w:hAnsi="Verdana" w:cs="Verdana"/>
          <w:sz w:val="20"/>
          <w:szCs w:val="20"/>
        </w:rPr>
        <w:t>2</w:t>
      </w:r>
      <w:r w:rsidR="00EB4974">
        <w:rPr>
          <w:rFonts w:ascii="Verdana" w:eastAsia="Calibri" w:hAnsi="Verdana" w:cs="Verdana"/>
          <w:sz w:val="20"/>
          <w:szCs w:val="20"/>
        </w:rPr>
        <w:t xml:space="preserve"> y 3</w:t>
      </w:r>
      <w:r w:rsidR="00F5200A">
        <w:rPr>
          <w:rFonts w:ascii="Verdana" w:eastAsia="Calibri" w:hAnsi="Verdana" w:cs="Verdana"/>
          <w:sz w:val="20"/>
          <w:szCs w:val="20"/>
        </w:rPr>
        <w:t>)</w:t>
      </w:r>
      <w:r w:rsidR="00C359E9" w:rsidRPr="00FF18D7">
        <w:rPr>
          <w:rFonts w:ascii="Verdana" w:hAnsi="Verdana"/>
          <w:sz w:val="20"/>
          <w:szCs w:val="20"/>
          <w:lang w:val="es-MX"/>
        </w:rPr>
        <w:t xml:space="preserve">, configuran un incumplimiento de Venezuela de la obligación de informar al Tribunal. </w:t>
      </w:r>
      <w:r w:rsidR="00D30244">
        <w:rPr>
          <w:rFonts w:ascii="Verdana" w:hAnsi="Verdana"/>
          <w:sz w:val="20"/>
          <w:szCs w:val="20"/>
          <w:lang w:val="es-MX"/>
        </w:rPr>
        <w:t>La Corte</w:t>
      </w:r>
      <w:r w:rsidR="00C359E9" w:rsidRPr="00FF18D7">
        <w:rPr>
          <w:rFonts w:ascii="Verdana" w:hAnsi="Verdana"/>
          <w:sz w:val="20"/>
          <w:szCs w:val="20"/>
          <w:lang w:val="es-MX"/>
        </w:rPr>
        <w:t xml:space="preserve"> reitera</w:t>
      </w:r>
      <w:r w:rsidR="00C359E9" w:rsidRPr="00FF18D7">
        <w:rPr>
          <w:rFonts w:ascii="Verdana" w:hAnsi="Verdana" w:cs="Arial"/>
          <w:sz w:val="20"/>
          <w:szCs w:val="20"/>
          <w:lang w:val="es-ES"/>
        </w:rPr>
        <w:t xml:space="preserve"> que la inactividad de un Estado ante una jurisdicción internacional de derechos humanos es contraria al objetivo, fin y espíritu de la Convención Americana</w:t>
      </w:r>
      <w:r w:rsidR="00C359E9" w:rsidRPr="00FF18D7">
        <w:rPr>
          <w:rStyle w:val="Refdenotaalpie"/>
          <w:rFonts w:ascii="Verdana" w:hAnsi="Verdana" w:cs="Arial"/>
          <w:sz w:val="20"/>
          <w:szCs w:val="20"/>
          <w:lang w:val="es-ES"/>
        </w:rPr>
        <w:footnoteReference w:id="15"/>
      </w:r>
      <w:r w:rsidR="00C359E9" w:rsidRPr="00FF18D7">
        <w:rPr>
          <w:rFonts w:ascii="Verdana" w:hAnsi="Verdana" w:cs="Arial"/>
          <w:sz w:val="20"/>
          <w:szCs w:val="20"/>
          <w:lang w:val="es-ES"/>
        </w:rPr>
        <w:t>.</w:t>
      </w:r>
      <w:r w:rsidR="00786DA7">
        <w:rPr>
          <w:rFonts w:ascii="Verdana" w:hAnsi="Verdana"/>
          <w:sz w:val="20"/>
          <w:szCs w:val="20"/>
        </w:rPr>
        <w:t xml:space="preserve"> </w:t>
      </w:r>
      <w:r w:rsidR="00C359E9" w:rsidRPr="00786DA7">
        <w:rPr>
          <w:rFonts w:ascii="Verdana" w:hAnsi="Verdana"/>
          <w:sz w:val="20"/>
          <w:szCs w:val="20"/>
          <w:lang w:val="es-MX"/>
        </w:rPr>
        <w:t xml:space="preserve">En este sentido, en la etapa de supervisión de cumplimiento de Sentencia de </w:t>
      </w:r>
      <w:r w:rsidR="00C359E9" w:rsidRPr="00786DA7">
        <w:rPr>
          <w:rFonts w:ascii="Verdana" w:hAnsi="Verdana"/>
          <w:sz w:val="20"/>
          <w:szCs w:val="20"/>
          <w:lang w:val="es-MX"/>
        </w:rPr>
        <w:lastRenderedPageBreak/>
        <w:t>otros casos</w:t>
      </w:r>
      <w:r w:rsidR="00C359E9" w:rsidRPr="00FF18D7">
        <w:rPr>
          <w:rStyle w:val="Refdenotaalpie"/>
          <w:rFonts w:ascii="Verdana" w:hAnsi="Verdana"/>
          <w:sz w:val="20"/>
          <w:szCs w:val="20"/>
          <w:lang w:val="es-MX"/>
        </w:rPr>
        <w:footnoteReference w:id="16"/>
      </w:r>
      <w:r w:rsidR="00C359E9" w:rsidRPr="00786DA7">
        <w:rPr>
          <w:rFonts w:ascii="Verdana" w:hAnsi="Verdana"/>
          <w:sz w:val="20"/>
          <w:szCs w:val="20"/>
          <w:lang w:val="es-MX"/>
        </w:rPr>
        <w:t>, la Corte ha establecido que la falta del Estado a su deber de informar constituye un incumplimiento de las obligaciones convencionales establecidas en los artículos 67 y 68.1</w:t>
      </w:r>
      <w:r w:rsidR="00321669" w:rsidRPr="00786DA7">
        <w:rPr>
          <w:rFonts w:ascii="Verdana" w:hAnsi="Verdana"/>
          <w:sz w:val="20"/>
          <w:szCs w:val="20"/>
          <w:lang w:val="es-MX"/>
        </w:rPr>
        <w:t xml:space="preserve"> de la Convención Americana</w:t>
      </w:r>
      <w:r w:rsidR="000E1C1B" w:rsidRPr="00786DA7">
        <w:rPr>
          <w:rFonts w:ascii="Verdana" w:hAnsi="Verdana"/>
          <w:sz w:val="20"/>
          <w:szCs w:val="20"/>
          <w:lang w:val="es-MX"/>
        </w:rPr>
        <w:t xml:space="preserve"> (</w:t>
      </w:r>
      <w:r w:rsidR="000E1C1B" w:rsidRPr="00786DA7">
        <w:rPr>
          <w:rFonts w:ascii="Verdana" w:hAnsi="Verdana"/>
          <w:i/>
          <w:sz w:val="20"/>
          <w:szCs w:val="20"/>
          <w:lang w:val="es-MX"/>
        </w:rPr>
        <w:t>supra</w:t>
      </w:r>
      <w:r w:rsidR="000E1C1B" w:rsidRPr="00786DA7">
        <w:rPr>
          <w:rFonts w:ascii="Verdana" w:hAnsi="Verdana"/>
          <w:sz w:val="20"/>
          <w:szCs w:val="20"/>
          <w:lang w:val="es-MX"/>
        </w:rPr>
        <w:t xml:space="preserve"> Considerando </w:t>
      </w:r>
      <w:r w:rsidR="008B1D70" w:rsidRPr="00786DA7">
        <w:rPr>
          <w:rFonts w:ascii="Verdana" w:hAnsi="Verdana"/>
          <w:sz w:val="20"/>
          <w:szCs w:val="20"/>
          <w:lang w:val="es-MX"/>
        </w:rPr>
        <w:t>4</w:t>
      </w:r>
      <w:r w:rsidR="000E1C1B" w:rsidRPr="00786DA7">
        <w:rPr>
          <w:rFonts w:ascii="Verdana" w:hAnsi="Verdana"/>
          <w:sz w:val="20"/>
          <w:szCs w:val="20"/>
          <w:lang w:val="es-MX"/>
        </w:rPr>
        <w:t>)</w:t>
      </w:r>
      <w:r w:rsidR="00F01B20" w:rsidRPr="00786DA7">
        <w:rPr>
          <w:rFonts w:ascii="Verdana" w:hAnsi="Verdana"/>
          <w:sz w:val="20"/>
          <w:szCs w:val="20"/>
          <w:lang w:val="es-MX"/>
        </w:rPr>
        <w:t>.</w:t>
      </w:r>
    </w:p>
    <w:p w:rsidR="006B1639" w:rsidRDefault="002D15D9" w:rsidP="006B1639">
      <w:pPr>
        <w:pStyle w:val="Prrafodelista"/>
        <w:numPr>
          <w:ilvl w:val="0"/>
          <w:numId w:val="4"/>
        </w:numPr>
        <w:spacing w:before="120" w:after="120" w:line="240" w:lineRule="auto"/>
        <w:ind w:left="0" w:right="1444" w:firstLine="0"/>
        <w:contextualSpacing w:val="0"/>
        <w:jc w:val="both"/>
        <w:rPr>
          <w:rFonts w:ascii="Verdana" w:hAnsi="Verdana"/>
          <w:b/>
          <w:sz w:val="20"/>
          <w:szCs w:val="20"/>
        </w:rPr>
      </w:pPr>
      <w:r>
        <w:rPr>
          <w:rFonts w:ascii="Verdana" w:hAnsi="Verdana"/>
          <w:sz w:val="20"/>
          <w:szCs w:val="20"/>
          <w:lang w:val="es-MX"/>
        </w:rPr>
        <w:t>Teniendo en cuenta dicho incumplimiento del Estado</w:t>
      </w:r>
      <w:r w:rsidR="006B1639">
        <w:rPr>
          <w:rFonts w:ascii="Verdana" w:hAnsi="Verdana"/>
          <w:sz w:val="20"/>
          <w:szCs w:val="20"/>
          <w:lang w:val="es-MX"/>
        </w:rPr>
        <w:t xml:space="preserve"> y</w:t>
      </w:r>
      <w:r w:rsidR="002E0F27">
        <w:rPr>
          <w:rFonts w:ascii="Verdana" w:hAnsi="Verdana"/>
          <w:sz w:val="20"/>
          <w:szCs w:val="20"/>
          <w:lang w:val="es-MX"/>
        </w:rPr>
        <w:t xml:space="preserve"> el incumplimiento de las reparaciones</w:t>
      </w:r>
      <w:r w:rsidR="006B1639">
        <w:rPr>
          <w:rFonts w:ascii="Verdana" w:hAnsi="Verdana"/>
          <w:sz w:val="20"/>
          <w:szCs w:val="20"/>
          <w:lang w:val="es-MX"/>
        </w:rPr>
        <w:t xml:space="preserve"> sostenido por los representantes de las víctimas</w:t>
      </w:r>
      <w:r w:rsidR="00786DA7">
        <w:rPr>
          <w:rFonts w:ascii="Verdana" w:hAnsi="Verdana"/>
          <w:sz w:val="20"/>
          <w:szCs w:val="20"/>
          <w:lang w:val="es-MX"/>
        </w:rPr>
        <w:t xml:space="preserve"> (</w:t>
      </w:r>
      <w:r w:rsidR="00786DA7" w:rsidRPr="00115F29">
        <w:rPr>
          <w:rFonts w:ascii="Verdana" w:hAnsi="Verdana"/>
          <w:i/>
          <w:sz w:val="20"/>
          <w:szCs w:val="20"/>
          <w:lang w:val="es-MX"/>
        </w:rPr>
        <w:t>supra</w:t>
      </w:r>
      <w:r w:rsidR="00786DA7">
        <w:rPr>
          <w:rFonts w:ascii="Verdana" w:hAnsi="Verdana"/>
          <w:sz w:val="20"/>
          <w:szCs w:val="20"/>
          <w:lang w:val="es-MX"/>
        </w:rPr>
        <w:t xml:space="preserve"> Visto </w:t>
      </w:r>
      <w:r w:rsidR="008C0DBB">
        <w:rPr>
          <w:rFonts w:ascii="Verdana" w:hAnsi="Verdana"/>
          <w:sz w:val="20"/>
          <w:szCs w:val="20"/>
          <w:lang w:val="es-MX"/>
        </w:rPr>
        <w:t xml:space="preserve">3 </w:t>
      </w:r>
      <w:r w:rsidR="00786DA7">
        <w:rPr>
          <w:rFonts w:ascii="Verdana" w:hAnsi="Verdana"/>
          <w:sz w:val="20"/>
          <w:szCs w:val="20"/>
          <w:lang w:val="es-MX"/>
        </w:rPr>
        <w:t>y Considerando 3)</w:t>
      </w:r>
      <w:r>
        <w:rPr>
          <w:rFonts w:ascii="Verdana" w:hAnsi="Verdana"/>
          <w:sz w:val="20"/>
          <w:szCs w:val="20"/>
          <w:lang w:val="es-MX"/>
        </w:rPr>
        <w:t xml:space="preserve">, la Corte </w:t>
      </w:r>
      <w:r w:rsidR="00F33C4C">
        <w:rPr>
          <w:rFonts w:ascii="Verdana" w:hAnsi="Verdana"/>
          <w:sz w:val="20"/>
          <w:szCs w:val="20"/>
          <w:lang w:val="es-MX"/>
        </w:rPr>
        <w:t xml:space="preserve">considera que </w:t>
      </w:r>
      <w:r>
        <w:rPr>
          <w:rFonts w:ascii="Verdana" w:hAnsi="Verdana"/>
          <w:sz w:val="20"/>
          <w:szCs w:val="20"/>
          <w:lang w:val="es-MX"/>
        </w:rPr>
        <w:t xml:space="preserve">Venezuela </w:t>
      </w:r>
      <w:r w:rsidR="00F33C4C">
        <w:rPr>
          <w:rFonts w:ascii="Verdana" w:hAnsi="Verdana"/>
          <w:sz w:val="20"/>
          <w:szCs w:val="20"/>
          <w:lang w:val="es-MX"/>
        </w:rPr>
        <w:t xml:space="preserve">no </w:t>
      </w:r>
      <w:r>
        <w:rPr>
          <w:rFonts w:ascii="Verdana" w:hAnsi="Verdana"/>
          <w:sz w:val="20"/>
          <w:szCs w:val="20"/>
          <w:lang w:val="es-MX"/>
        </w:rPr>
        <w:t xml:space="preserve">ha adoptado medidas orientadas a dar cumplimiento a </w:t>
      </w:r>
      <w:r w:rsidR="0076016D">
        <w:rPr>
          <w:rFonts w:ascii="Verdana" w:hAnsi="Verdana"/>
          <w:sz w:val="20"/>
          <w:szCs w:val="20"/>
          <w:lang w:val="es-MX"/>
        </w:rPr>
        <w:t>las mism</w:t>
      </w:r>
      <w:r w:rsidR="002E0F27">
        <w:rPr>
          <w:rFonts w:ascii="Verdana" w:hAnsi="Verdana"/>
          <w:sz w:val="20"/>
          <w:szCs w:val="20"/>
          <w:lang w:val="es-MX"/>
        </w:rPr>
        <w:t>a</w:t>
      </w:r>
      <w:r w:rsidR="0076016D">
        <w:rPr>
          <w:rFonts w:ascii="Verdana" w:hAnsi="Verdana"/>
          <w:sz w:val="20"/>
          <w:szCs w:val="20"/>
          <w:lang w:val="es-MX"/>
        </w:rPr>
        <w:t>s</w:t>
      </w:r>
      <w:r>
        <w:rPr>
          <w:rFonts w:ascii="Verdana" w:hAnsi="Verdana"/>
          <w:sz w:val="20"/>
          <w:szCs w:val="20"/>
          <w:lang w:val="es-MX"/>
        </w:rPr>
        <w:t xml:space="preserve">, a pesar del tiempo transcurrido desde la emisión de la </w:t>
      </w:r>
      <w:r w:rsidR="002E0F27">
        <w:rPr>
          <w:rFonts w:ascii="Verdana" w:hAnsi="Verdana"/>
          <w:sz w:val="20"/>
          <w:szCs w:val="20"/>
          <w:lang w:val="es-MX"/>
        </w:rPr>
        <w:t>Sentencia</w:t>
      </w:r>
      <w:r>
        <w:rPr>
          <w:rFonts w:ascii="Verdana" w:hAnsi="Verdana"/>
          <w:sz w:val="20"/>
          <w:szCs w:val="20"/>
          <w:lang w:val="es-MX"/>
        </w:rPr>
        <w:t xml:space="preserve">. En este sentido, el Tribunal </w:t>
      </w:r>
      <w:r w:rsidR="00F33C4C">
        <w:rPr>
          <w:rFonts w:ascii="Verdana" w:hAnsi="Verdana"/>
          <w:sz w:val="20"/>
          <w:szCs w:val="20"/>
          <w:lang w:val="es-MX"/>
        </w:rPr>
        <w:t>estima</w:t>
      </w:r>
      <w:r>
        <w:rPr>
          <w:rFonts w:ascii="Verdana" w:hAnsi="Verdana"/>
          <w:sz w:val="20"/>
          <w:szCs w:val="20"/>
          <w:lang w:val="es-MX"/>
        </w:rPr>
        <w:t xml:space="preserve"> que dicho incumplimiento impide que se reparen las violaciones a los derechos humanos declaradas en el Fallo. </w:t>
      </w:r>
    </w:p>
    <w:p w:rsidR="005A187C" w:rsidRPr="005F5D8C" w:rsidRDefault="006B1639" w:rsidP="005F5D8C">
      <w:pPr>
        <w:pStyle w:val="Prrafodelista"/>
        <w:numPr>
          <w:ilvl w:val="0"/>
          <w:numId w:val="4"/>
        </w:numPr>
        <w:spacing w:before="120" w:after="120" w:line="240" w:lineRule="auto"/>
        <w:ind w:left="0" w:right="1444" w:firstLine="0"/>
        <w:contextualSpacing w:val="0"/>
        <w:jc w:val="both"/>
        <w:rPr>
          <w:rFonts w:ascii="Verdana" w:hAnsi="Verdana"/>
          <w:sz w:val="20"/>
          <w:szCs w:val="20"/>
        </w:rPr>
      </w:pPr>
      <w:r w:rsidRPr="005F5D8C">
        <w:rPr>
          <w:rFonts w:ascii="Verdana" w:hAnsi="Verdana"/>
          <w:sz w:val="20"/>
          <w:szCs w:val="20"/>
        </w:rPr>
        <w:t xml:space="preserve">Finalmente, en lo que se refiere a la solicitud de los representantes de las víctimas de </w:t>
      </w:r>
      <w:r w:rsidR="008C0DBB">
        <w:rPr>
          <w:rFonts w:ascii="Verdana" w:hAnsi="Verdana"/>
          <w:sz w:val="20"/>
          <w:szCs w:val="20"/>
        </w:rPr>
        <w:t xml:space="preserve">que se </w:t>
      </w:r>
      <w:r w:rsidRPr="005F5D8C">
        <w:rPr>
          <w:rFonts w:ascii="Verdana" w:hAnsi="Verdana"/>
          <w:sz w:val="20"/>
          <w:szCs w:val="20"/>
        </w:rPr>
        <w:t>convo</w:t>
      </w:r>
      <w:r w:rsidR="008C0DBB">
        <w:rPr>
          <w:rFonts w:ascii="Verdana" w:hAnsi="Verdana"/>
          <w:sz w:val="20"/>
          <w:szCs w:val="20"/>
        </w:rPr>
        <w:t>que</w:t>
      </w:r>
      <w:r w:rsidRPr="005F5D8C">
        <w:rPr>
          <w:rFonts w:ascii="Verdana" w:hAnsi="Verdana"/>
          <w:sz w:val="20"/>
          <w:szCs w:val="20"/>
        </w:rPr>
        <w:t xml:space="preserve"> una audiencia de supervisión de cumplimiento (</w:t>
      </w:r>
      <w:r w:rsidRPr="005F5D8C">
        <w:rPr>
          <w:rFonts w:ascii="Verdana" w:hAnsi="Verdana"/>
          <w:i/>
          <w:sz w:val="20"/>
          <w:szCs w:val="20"/>
        </w:rPr>
        <w:t>supra</w:t>
      </w:r>
      <w:r w:rsidRPr="005F5D8C">
        <w:rPr>
          <w:rFonts w:ascii="Verdana" w:hAnsi="Verdana"/>
          <w:sz w:val="20"/>
          <w:szCs w:val="20"/>
        </w:rPr>
        <w:t xml:space="preserve"> Visto 3), la Corte </w:t>
      </w:r>
      <w:r w:rsidR="00F33C4C">
        <w:rPr>
          <w:rFonts w:ascii="Verdana" w:hAnsi="Verdana"/>
          <w:sz w:val="20"/>
          <w:szCs w:val="20"/>
        </w:rPr>
        <w:t>estima que, ante la actual posición de Venezuela de desacato a su deber de informar, no es pertinente en este momento atender dicha solicitud, sin perjuicio de que en el futuro la misma sea convocada</w:t>
      </w:r>
      <w:r w:rsidR="00B3114D">
        <w:rPr>
          <w:rFonts w:ascii="Verdana" w:hAnsi="Verdana"/>
          <w:sz w:val="20"/>
          <w:szCs w:val="20"/>
        </w:rPr>
        <w:t>.</w:t>
      </w:r>
    </w:p>
    <w:p w:rsidR="005F5D8C" w:rsidRDefault="005F5D8C" w:rsidP="009D33E6">
      <w:pPr>
        <w:jc w:val="both"/>
        <w:rPr>
          <w:rFonts w:ascii="Verdana" w:hAnsi="Verdana"/>
          <w:b/>
          <w:sz w:val="20"/>
          <w:lang w:val="es-MX"/>
        </w:rPr>
      </w:pPr>
    </w:p>
    <w:p w:rsidR="009D33E6" w:rsidRDefault="009D33E6" w:rsidP="009D33E6">
      <w:pPr>
        <w:jc w:val="both"/>
        <w:rPr>
          <w:rFonts w:ascii="Verdana" w:hAnsi="Verdana"/>
          <w:b/>
          <w:sz w:val="20"/>
          <w:lang w:val="es-MX"/>
        </w:rPr>
      </w:pPr>
      <w:r>
        <w:rPr>
          <w:rFonts w:ascii="Verdana" w:hAnsi="Verdana"/>
          <w:b/>
          <w:sz w:val="20"/>
          <w:lang w:val="es-MX"/>
        </w:rPr>
        <w:t>POR TANTO</w:t>
      </w:r>
      <w:r w:rsidR="003B1E02">
        <w:rPr>
          <w:rFonts w:ascii="Verdana" w:hAnsi="Verdana"/>
          <w:b/>
          <w:sz w:val="20"/>
          <w:lang w:val="es-MX"/>
        </w:rPr>
        <w:t>:</w:t>
      </w:r>
    </w:p>
    <w:p w:rsidR="009D33E6" w:rsidRDefault="009D33E6" w:rsidP="009D33E6">
      <w:pPr>
        <w:jc w:val="both"/>
        <w:rPr>
          <w:rFonts w:ascii="Verdana" w:hAnsi="Verdana"/>
          <w:b/>
          <w:sz w:val="20"/>
          <w:lang w:val="es-MX"/>
        </w:rPr>
      </w:pPr>
      <w:r>
        <w:rPr>
          <w:rFonts w:ascii="Verdana" w:hAnsi="Verdana"/>
          <w:b/>
          <w:sz w:val="20"/>
          <w:lang w:val="es-MX"/>
        </w:rPr>
        <w:t>LA CORTE INTERAMERICANA DE DERECHOS HUMANOS,</w:t>
      </w:r>
    </w:p>
    <w:p w:rsidR="00C07A27" w:rsidRDefault="00C07A27" w:rsidP="00C07A27">
      <w:pPr>
        <w:pStyle w:val="Prrafodelista"/>
        <w:spacing w:before="120" w:after="120" w:line="240" w:lineRule="auto"/>
        <w:ind w:left="0" w:right="1444"/>
        <w:contextualSpacing w:val="0"/>
        <w:jc w:val="both"/>
        <w:rPr>
          <w:rFonts w:ascii="Verdana" w:hAnsi="Verdana"/>
          <w:sz w:val="20"/>
          <w:lang w:val="es-MX"/>
        </w:rPr>
      </w:pPr>
      <w:r>
        <w:rPr>
          <w:rFonts w:ascii="Verdana" w:hAnsi="Verdana"/>
          <w:sz w:val="20"/>
          <w:lang w:val="es-MX"/>
        </w:rPr>
        <w:t xml:space="preserve">En el ejercicio de sus atribuciones de supervisión del cumplimiento de sus decisiones, de conformidad con los artículos 33, 62.1, 62.3, </w:t>
      </w:r>
      <w:r w:rsidR="006160DA">
        <w:rPr>
          <w:rFonts w:ascii="Verdana" w:hAnsi="Verdana"/>
          <w:sz w:val="20"/>
          <w:lang w:val="es-MX"/>
        </w:rPr>
        <w:t xml:space="preserve">65, </w:t>
      </w:r>
      <w:r>
        <w:rPr>
          <w:rFonts w:ascii="Verdana" w:hAnsi="Verdana"/>
          <w:sz w:val="20"/>
          <w:lang w:val="es-MX"/>
        </w:rPr>
        <w:t xml:space="preserve">67 y 68.1 de la Convención Americana sobre Derechos Humanos, </w:t>
      </w:r>
      <w:r w:rsidR="00D75F39">
        <w:rPr>
          <w:rFonts w:ascii="Verdana" w:hAnsi="Verdana"/>
          <w:sz w:val="20"/>
          <w:lang w:val="es-MX"/>
        </w:rPr>
        <w:t>24</w:t>
      </w:r>
      <w:r>
        <w:rPr>
          <w:rFonts w:ascii="Verdana" w:hAnsi="Verdana"/>
          <w:sz w:val="20"/>
          <w:lang w:val="es-MX"/>
        </w:rPr>
        <w:t xml:space="preserve"> y 30 del Estatuto y 31</w:t>
      </w:r>
      <w:r w:rsidR="00D75F39">
        <w:rPr>
          <w:rFonts w:ascii="Verdana" w:hAnsi="Verdana"/>
          <w:sz w:val="20"/>
          <w:lang w:val="es-MX"/>
        </w:rPr>
        <w:t>.2</w:t>
      </w:r>
      <w:r>
        <w:rPr>
          <w:rFonts w:ascii="Verdana" w:hAnsi="Verdana"/>
          <w:sz w:val="20"/>
          <w:lang w:val="es-MX"/>
        </w:rPr>
        <w:t xml:space="preserve"> y 69 de su Reglamento,</w:t>
      </w:r>
    </w:p>
    <w:p w:rsidR="009F49EF" w:rsidRDefault="009F49EF" w:rsidP="00FF18D7">
      <w:pPr>
        <w:ind w:right="1444"/>
        <w:jc w:val="both"/>
        <w:rPr>
          <w:rFonts w:ascii="Verdana" w:hAnsi="Verdana"/>
          <w:b/>
          <w:sz w:val="20"/>
          <w:szCs w:val="20"/>
          <w:lang w:val="es-MX"/>
        </w:rPr>
      </w:pPr>
    </w:p>
    <w:p w:rsidR="003B6DB5" w:rsidRDefault="003B6DB5" w:rsidP="00FF18D7">
      <w:pPr>
        <w:ind w:right="1444"/>
        <w:jc w:val="both"/>
        <w:rPr>
          <w:rFonts w:ascii="Verdana" w:hAnsi="Verdana"/>
          <w:b/>
          <w:sz w:val="20"/>
          <w:szCs w:val="20"/>
          <w:lang w:val="es-MX"/>
        </w:rPr>
      </w:pPr>
      <w:r w:rsidRPr="00FF18D7">
        <w:rPr>
          <w:rFonts w:ascii="Verdana" w:hAnsi="Verdana"/>
          <w:b/>
          <w:sz w:val="20"/>
          <w:szCs w:val="20"/>
          <w:lang w:val="es-MX"/>
        </w:rPr>
        <w:t>DECLARA QUE:</w:t>
      </w:r>
    </w:p>
    <w:p w:rsidR="003B6DB5" w:rsidRDefault="003B6DB5" w:rsidP="00FF18D7">
      <w:pPr>
        <w:numPr>
          <w:ilvl w:val="0"/>
          <w:numId w:val="7"/>
        </w:numPr>
        <w:spacing w:after="0" w:line="240" w:lineRule="auto"/>
        <w:ind w:left="0" w:right="1444" w:hanging="11"/>
        <w:jc w:val="both"/>
        <w:rPr>
          <w:rFonts w:ascii="Verdana" w:hAnsi="Verdana"/>
          <w:sz w:val="20"/>
          <w:szCs w:val="20"/>
          <w:lang w:val="es-MX"/>
        </w:rPr>
      </w:pPr>
      <w:r w:rsidRPr="00FF18D7">
        <w:rPr>
          <w:rFonts w:ascii="Verdana" w:hAnsi="Verdana"/>
          <w:sz w:val="20"/>
          <w:szCs w:val="20"/>
        </w:rPr>
        <w:t xml:space="preserve">El Estado ha incumplido </w:t>
      </w:r>
      <w:r w:rsidR="00C07A27">
        <w:rPr>
          <w:rFonts w:ascii="Verdana" w:hAnsi="Verdana"/>
          <w:sz w:val="20"/>
          <w:szCs w:val="20"/>
        </w:rPr>
        <w:t>con</w:t>
      </w:r>
      <w:r w:rsidRPr="00FF18D7">
        <w:rPr>
          <w:rFonts w:ascii="Verdana" w:hAnsi="Verdana"/>
          <w:sz w:val="20"/>
          <w:szCs w:val="20"/>
        </w:rPr>
        <w:t xml:space="preserve"> su obligación de informar a esta Corte </w:t>
      </w:r>
      <w:r w:rsidRPr="00FF18D7">
        <w:rPr>
          <w:rFonts w:ascii="Verdana" w:hAnsi="Verdana"/>
          <w:sz w:val="20"/>
          <w:szCs w:val="20"/>
          <w:lang w:val="es-MX"/>
        </w:rPr>
        <w:t xml:space="preserve">sobre las medidas adoptadas para dar cumplimiento a las reparaciones </w:t>
      </w:r>
      <w:r w:rsidR="006160DA">
        <w:rPr>
          <w:rFonts w:ascii="Verdana" w:hAnsi="Verdana"/>
          <w:sz w:val="20"/>
          <w:szCs w:val="20"/>
          <w:lang w:val="es-MX"/>
        </w:rPr>
        <w:t>ordenadas</w:t>
      </w:r>
      <w:r w:rsidR="006160DA" w:rsidRPr="00FF18D7">
        <w:rPr>
          <w:rFonts w:ascii="Verdana" w:hAnsi="Verdana"/>
          <w:sz w:val="20"/>
          <w:szCs w:val="20"/>
          <w:lang w:val="es-MX"/>
        </w:rPr>
        <w:t xml:space="preserve"> </w:t>
      </w:r>
      <w:r w:rsidR="00CA776E">
        <w:rPr>
          <w:rFonts w:ascii="Verdana" w:hAnsi="Verdana"/>
          <w:sz w:val="20"/>
          <w:szCs w:val="20"/>
          <w:lang w:val="es-MX"/>
        </w:rPr>
        <w:t>en la</w:t>
      </w:r>
      <w:r w:rsidRPr="00FF18D7">
        <w:rPr>
          <w:rFonts w:ascii="Verdana" w:hAnsi="Verdana"/>
          <w:sz w:val="20"/>
          <w:szCs w:val="20"/>
          <w:lang w:val="es-MX"/>
        </w:rPr>
        <w:t xml:space="preserve"> Sentencia </w:t>
      </w:r>
      <w:r w:rsidR="00D75F39">
        <w:rPr>
          <w:rFonts w:ascii="Verdana" w:hAnsi="Verdana"/>
          <w:sz w:val="20"/>
          <w:szCs w:val="20"/>
          <w:lang w:val="es-MX"/>
        </w:rPr>
        <w:t>emitida</w:t>
      </w:r>
      <w:r w:rsidR="00D75F39" w:rsidRPr="00FF18D7">
        <w:rPr>
          <w:rFonts w:ascii="Verdana" w:hAnsi="Verdana"/>
          <w:sz w:val="20"/>
          <w:szCs w:val="20"/>
          <w:lang w:val="es-MX"/>
        </w:rPr>
        <w:t xml:space="preserve"> </w:t>
      </w:r>
      <w:r w:rsidR="00786DA7">
        <w:rPr>
          <w:rFonts w:ascii="Verdana" w:hAnsi="Verdana"/>
          <w:sz w:val="20"/>
          <w:szCs w:val="20"/>
          <w:lang w:val="es-MX"/>
        </w:rPr>
        <w:t>el 27 de agosto de 2014</w:t>
      </w:r>
      <w:r w:rsidR="00A25807" w:rsidRPr="00FF18D7">
        <w:rPr>
          <w:rFonts w:ascii="Verdana" w:hAnsi="Verdana" w:cs="Arial"/>
          <w:i/>
          <w:sz w:val="20"/>
          <w:szCs w:val="20"/>
        </w:rPr>
        <w:t>,</w:t>
      </w:r>
      <w:r w:rsidR="002D15D9" w:rsidRPr="00FF18D7">
        <w:rPr>
          <w:rFonts w:ascii="Verdana" w:hAnsi="Verdana"/>
          <w:sz w:val="20"/>
          <w:szCs w:val="20"/>
          <w:lang w:val="es-MX"/>
        </w:rPr>
        <w:t xml:space="preserve"> </w:t>
      </w:r>
      <w:r w:rsidRPr="00FF18D7">
        <w:rPr>
          <w:rFonts w:ascii="Verdana" w:hAnsi="Verdana"/>
          <w:sz w:val="20"/>
          <w:szCs w:val="20"/>
          <w:lang w:val="es-MX"/>
        </w:rPr>
        <w:t>de conformidad con lo indicado en la parte considerativa de la presente Resolución.</w:t>
      </w:r>
    </w:p>
    <w:p w:rsidR="004B12FF" w:rsidRPr="000766A2" w:rsidRDefault="008C0DBB" w:rsidP="00901E96">
      <w:pPr>
        <w:widowControl w:val="0"/>
        <w:numPr>
          <w:ilvl w:val="0"/>
          <w:numId w:val="7"/>
        </w:numPr>
        <w:autoSpaceDE w:val="0"/>
        <w:autoSpaceDN w:val="0"/>
        <w:adjustRightInd w:val="0"/>
        <w:spacing w:before="120" w:after="120" w:line="240" w:lineRule="auto"/>
        <w:ind w:left="0" w:right="1446" w:hanging="11"/>
        <w:jc w:val="both"/>
        <w:rPr>
          <w:rFonts w:ascii="Verdana" w:hAnsi="Verdana"/>
          <w:sz w:val="20"/>
          <w:szCs w:val="20"/>
        </w:rPr>
      </w:pPr>
      <w:r>
        <w:rPr>
          <w:rFonts w:ascii="Verdana" w:hAnsi="Verdana"/>
          <w:sz w:val="20"/>
          <w:szCs w:val="20"/>
          <w:lang w:val="es-MX"/>
        </w:rPr>
        <w:t>E</w:t>
      </w:r>
      <w:r w:rsidR="00FD0CAB" w:rsidRPr="000766A2">
        <w:rPr>
          <w:rFonts w:ascii="Verdana" w:hAnsi="Verdana"/>
          <w:sz w:val="20"/>
          <w:szCs w:val="20"/>
          <w:lang w:val="es-MX"/>
        </w:rPr>
        <w:t xml:space="preserve">l Estado </w:t>
      </w:r>
      <w:r>
        <w:rPr>
          <w:rFonts w:ascii="Verdana" w:hAnsi="Verdana"/>
          <w:sz w:val="20"/>
          <w:szCs w:val="20"/>
          <w:lang w:val="es-MX"/>
        </w:rPr>
        <w:t xml:space="preserve">no </w:t>
      </w:r>
      <w:r w:rsidR="00FD0CAB" w:rsidRPr="000766A2">
        <w:rPr>
          <w:rFonts w:ascii="Verdana" w:hAnsi="Verdana"/>
          <w:sz w:val="20"/>
          <w:szCs w:val="20"/>
          <w:lang w:val="es-MX"/>
        </w:rPr>
        <w:t>ha dado cumplimiento a las reparaciones ordenadas en la Sentencia</w:t>
      </w:r>
      <w:r w:rsidR="00C87D02">
        <w:rPr>
          <w:rFonts w:ascii="Verdana" w:hAnsi="Verdana"/>
          <w:sz w:val="20"/>
          <w:szCs w:val="20"/>
          <w:lang w:val="es-MX"/>
        </w:rPr>
        <w:t>, a saber</w:t>
      </w:r>
      <w:r w:rsidR="000766A2">
        <w:rPr>
          <w:rFonts w:ascii="Verdana" w:hAnsi="Verdana"/>
          <w:sz w:val="20"/>
          <w:szCs w:val="20"/>
          <w:lang w:val="es-MX"/>
        </w:rPr>
        <w:t>:</w:t>
      </w:r>
    </w:p>
    <w:p w:rsidR="000766A2" w:rsidRDefault="00901E96" w:rsidP="00901E96">
      <w:pPr>
        <w:pStyle w:val="Prrafodelista"/>
        <w:numPr>
          <w:ilvl w:val="0"/>
          <w:numId w:val="25"/>
        </w:numPr>
        <w:spacing w:before="120" w:after="120" w:line="240" w:lineRule="auto"/>
        <w:ind w:right="1446"/>
        <w:jc w:val="both"/>
        <w:rPr>
          <w:rFonts w:ascii="Verdana" w:hAnsi="Verdana"/>
          <w:sz w:val="20"/>
          <w:szCs w:val="20"/>
        </w:rPr>
      </w:pPr>
      <w:r>
        <w:rPr>
          <w:rFonts w:ascii="Verdana" w:hAnsi="Verdana"/>
          <w:sz w:val="20"/>
          <w:szCs w:val="20"/>
        </w:rPr>
        <w:t xml:space="preserve">respecto de </w:t>
      </w:r>
      <w:proofErr w:type="spellStart"/>
      <w:r>
        <w:rPr>
          <w:rFonts w:ascii="Verdana" w:hAnsi="Verdana"/>
          <w:sz w:val="20"/>
          <w:szCs w:val="20"/>
        </w:rPr>
        <w:t>Igmar</w:t>
      </w:r>
      <w:proofErr w:type="spellEnd"/>
      <w:r>
        <w:rPr>
          <w:rFonts w:ascii="Verdana" w:hAnsi="Verdana"/>
          <w:sz w:val="20"/>
          <w:szCs w:val="20"/>
        </w:rPr>
        <w:t xml:space="preserve"> Landaeta, el Estado debe investigar y esclarecer los hechos y, en su caso, establecer la determinación de responsabilidades dentro de un plazo razonable </w:t>
      </w:r>
      <w:r w:rsidRPr="00901E96">
        <w:rPr>
          <w:rFonts w:ascii="Verdana" w:hAnsi="Verdana"/>
          <w:i/>
          <w:sz w:val="20"/>
          <w:szCs w:val="20"/>
        </w:rPr>
        <w:t>(punto resolutivo noveno de la Sentencia)</w:t>
      </w:r>
      <w:r>
        <w:rPr>
          <w:rFonts w:ascii="Verdana" w:hAnsi="Verdana"/>
          <w:sz w:val="20"/>
          <w:szCs w:val="20"/>
        </w:rPr>
        <w:t>;</w:t>
      </w:r>
    </w:p>
    <w:p w:rsidR="00901E96" w:rsidRDefault="00901E96" w:rsidP="00901E96">
      <w:pPr>
        <w:pStyle w:val="Prrafodelista"/>
        <w:numPr>
          <w:ilvl w:val="0"/>
          <w:numId w:val="25"/>
        </w:numPr>
        <w:spacing w:before="120" w:after="120" w:line="240" w:lineRule="auto"/>
        <w:ind w:right="1446"/>
        <w:jc w:val="both"/>
        <w:rPr>
          <w:rFonts w:ascii="Verdana" w:hAnsi="Verdana"/>
          <w:sz w:val="20"/>
          <w:szCs w:val="20"/>
        </w:rPr>
      </w:pPr>
      <w:r>
        <w:rPr>
          <w:rFonts w:ascii="Verdana" w:hAnsi="Verdana"/>
          <w:sz w:val="20"/>
          <w:szCs w:val="20"/>
        </w:rPr>
        <w:t xml:space="preserve">respecto de Eduardo Landaeta, el Estado debe continuar y concluir, en un plazo razonable, la investigación de los hechos en la jurisdicción ordinaria y, en su caso, sancionar a los responsables </w:t>
      </w:r>
      <w:r w:rsidRPr="00901E96">
        <w:rPr>
          <w:rFonts w:ascii="Verdana" w:hAnsi="Verdana"/>
          <w:i/>
          <w:sz w:val="20"/>
          <w:szCs w:val="20"/>
        </w:rPr>
        <w:t>(punto resolutivo décimo de la Sentencia)</w:t>
      </w:r>
      <w:r>
        <w:rPr>
          <w:rFonts w:ascii="Verdana" w:hAnsi="Verdana"/>
          <w:sz w:val="20"/>
          <w:szCs w:val="20"/>
        </w:rPr>
        <w:t xml:space="preserve">; </w:t>
      </w:r>
    </w:p>
    <w:p w:rsidR="00901E96" w:rsidRDefault="00901E96" w:rsidP="00901E96">
      <w:pPr>
        <w:pStyle w:val="Prrafodelista"/>
        <w:numPr>
          <w:ilvl w:val="0"/>
          <w:numId w:val="25"/>
        </w:numPr>
        <w:spacing w:before="120" w:after="120" w:line="240" w:lineRule="auto"/>
        <w:ind w:right="1446"/>
        <w:jc w:val="both"/>
        <w:rPr>
          <w:rFonts w:ascii="Verdana" w:hAnsi="Verdana"/>
          <w:sz w:val="20"/>
          <w:szCs w:val="20"/>
        </w:rPr>
      </w:pPr>
      <w:r>
        <w:rPr>
          <w:rFonts w:ascii="Verdana" w:hAnsi="Verdana"/>
          <w:sz w:val="20"/>
          <w:szCs w:val="20"/>
        </w:rPr>
        <w:t xml:space="preserve">brindar gratuitamente, a través de sus instituciones de salud especializadas y de forma inmediata el tratamiento psicológico que requieran las víctimas, previo consentimiento informado y por el tiempo que sea necesario, incluida la provisión gratuita de medicamentos </w:t>
      </w:r>
      <w:r w:rsidRPr="00901E96">
        <w:rPr>
          <w:rFonts w:ascii="Verdana" w:hAnsi="Verdana"/>
          <w:i/>
          <w:sz w:val="20"/>
          <w:szCs w:val="20"/>
        </w:rPr>
        <w:t>(punto resolutivo décimo primero de la Sentencia)</w:t>
      </w:r>
      <w:r>
        <w:rPr>
          <w:rFonts w:ascii="Verdana" w:hAnsi="Verdana"/>
          <w:sz w:val="20"/>
          <w:szCs w:val="20"/>
        </w:rPr>
        <w:t>;</w:t>
      </w:r>
    </w:p>
    <w:p w:rsidR="00901E96" w:rsidRDefault="00901E96" w:rsidP="00901E96">
      <w:pPr>
        <w:pStyle w:val="Prrafodelista"/>
        <w:numPr>
          <w:ilvl w:val="0"/>
          <w:numId w:val="25"/>
        </w:numPr>
        <w:spacing w:before="120" w:after="120" w:line="240" w:lineRule="auto"/>
        <w:ind w:right="1446"/>
        <w:jc w:val="both"/>
        <w:rPr>
          <w:rFonts w:ascii="Verdana" w:hAnsi="Verdana"/>
          <w:sz w:val="20"/>
          <w:szCs w:val="20"/>
        </w:rPr>
      </w:pPr>
      <w:r>
        <w:rPr>
          <w:rFonts w:ascii="Verdana" w:hAnsi="Verdana"/>
          <w:sz w:val="20"/>
          <w:szCs w:val="20"/>
        </w:rPr>
        <w:t xml:space="preserve">realizar un acto público de reconocimiento de responsabilidad internacional y disculpas públicas en relación con los hechos del presente caso </w:t>
      </w:r>
      <w:r w:rsidRPr="003B4D3F">
        <w:rPr>
          <w:rFonts w:ascii="Verdana" w:hAnsi="Verdana"/>
          <w:i/>
          <w:sz w:val="20"/>
          <w:szCs w:val="20"/>
        </w:rPr>
        <w:t>(punto resolutivo décimo segundo de la Sentencia)</w:t>
      </w:r>
      <w:r>
        <w:rPr>
          <w:rFonts w:ascii="Verdana" w:hAnsi="Verdana"/>
          <w:sz w:val="20"/>
          <w:szCs w:val="20"/>
        </w:rPr>
        <w:t>;</w:t>
      </w:r>
    </w:p>
    <w:p w:rsidR="003B4D3F" w:rsidRDefault="003B4D3F" w:rsidP="00901E96">
      <w:pPr>
        <w:pStyle w:val="Prrafodelista"/>
        <w:numPr>
          <w:ilvl w:val="0"/>
          <w:numId w:val="25"/>
        </w:numPr>
        <w:spacing w:before="120" w:after="120" w:line="240" w:lineRule="auto"/>
        <w:ind w:right="1446"/>
        <w:jc w:val="both"/>
        <w:rPr>
          <w:rFonts w:ascii="Verdana" w:hAnsi="Verdana"/>
          <w:sz w:val="20"/>
          <w:szCs w:val="20"/>
        </w:rPr>
      </w:pPr>
      <w:r>
        <w:rPr>
          <w:rFonts w:ascii="Verdana" w:hAnsi="Verdana"/>
          <w:sz w:val="20"/>
          <w:szCs w:val="20"/>
        </w:rPr>
        <w:lastRenderedPageBreak/>
        <w:t xml:space="preserve">realizar las publicaciones </w:t>
      </w:r>
      <w:r w:rsidR="00E34D51">
        <w:rPr>
          <w:rFonts w:ascii="Verdana" w:hAnsi="Verdana"/>
          <w:sz w:val="20"/>
          <w:szCs w:val="20"/>
          <w:lang w:val="es-MX"/>
        </w:rPr>
        <w:t xml:space="preserve">de la Sentencia y de su resumen oficial </w:t>
      </w:r>
      <w:r>
        <w:rPr>
          <w:rFonts w:ascii="Verdana" w:hAnsi="Verdana"/>
          <w:sz w:val="20"/>
          <w:szCs w:val="20"/>
        </w:rPr>
        <w:t>que se indican en el párrafo 305 de</w:t>
      </w:r>
      <w:r w:rsidR="00E34D51">
        <w:rPr>
          <w:rFonts w:ascii="Verdana" w:hAnsi="Verdana"/>
          <w:sz w:val="20"/>
          <w:szCs w:val="20"/>
        </w:rPr>
        <w:t xml:space="preserve"> </w:t>
      </w:r>
      <w:r>
        <w:rPr>
          <w:rFonts w:ascii="Verdana" w:hAnsi="Verdana"/>
          <w:sz w:val="20"/>
          <w:szCs w:val="20"/>
        </w:rPr>
        <w:t>l</w:t>
      </w:r>
      <w:r w:rsidR="00E34D51">
        <w:rPr>
          <w:rFonts w:ascii="Verdana" w:hAnsi="Verdana"/>
          <w:sz w:val="20"/>
          <w:szCs w:val="20"/>
        </w:rPr>
        <w:t>a</w:t>
      </w:r>
      <w:r>
        <w:rPr>
          <w:rFonts w:ascii="Verdana" w:hAnsi="Verdana"/>
          <w:sz w:val="20"/>
          <w:szCs w:val="20"/>
        </w:rPr>
        <w:t xml:space="preserve"> </w:t>
      </w:r>
      <w:r w:rsidR="00E34D51">
        <w:rPr>
          <w:rFonts w:ascii="Verdana" w:hAnsi="Verdana"/>
          <w:sz w:val="20"/>
          <w:szCs w:val="20"/>
        </w:rPr>
        <w:t xml:space="preserve">misma </w:t>
      </w:r>
      <w:r w:rsidRPr="003B4D3F">
        <w:rPr>
          <w:rFonts w:ascii="Verdana" w:hAnsi="Verdana"/>
          <w:i/>
          <w:sz w:val="20"/>
          <w:szCs w:val="20"/>
        </w:rPr>
        <w:t>(punto resolutivo décimo tercero de la Sentencia)</w:t>
      </w:r>
      <w:r>
        <w:rPr>
          <w:rFonts w:ascii="Verdana" w:hAnsi="Verdana"/>
          <w:sz w:val="20"/>
          <w:szCs w:val="20"/>
        </w:rPr>
        <w:t>, y</w:t>
      </w:r>
    </w:p>
    <w:p w:rsidR="00901E96" w:rsidRPr="005F5D8C" w:rsidRDefault="00901E96" w:rsidP="00901E96">
      <w:pPr>
        <w:pStyle w:val="Prrafodelista"/>
        <w:numPr>
          <w:ilvl w:val="0"/>
          <w:numId w:val="25"/>
        </w:numPr>
        <w:spacing w:before="120" w:after="120" w:line="240" w:lineRule="auto"/>
        <w:ind w:right="1446"/>
        <w:jc w:val="both"/>
        <w:rPr>
          <w:rFonts w:ascii="Verdana" w:hAnsi="Verdana"/>
          <w:sz w:val="20"/>
          <w:szCs w:val="20"/>
        </w:rPr>
      </w:pPr>
      <w:r>
        <w:rPr>
          <w:rFonts w:ascii="Verdana" w:hAnsi="Verdana"/>
          <w:sz w:val="20"/>
          <w:szCs w:val="20"/>
        </w:rPr>
        <w:t xml:space="preserve"> </w:t>
      </w:r>
      <w:r w:rsidR="003B4D3F">
        <w:rPr>
          <w:rFonts w:ascii="Verdana" w:hAnsi="Verdana"/>
          <w:sz w:val="20"/>
          <w:szCs w:val="20"/>
        </w:rPr>
        <w:t xml:space="preserve">pagar las cantidades fijadas en los párrafos 320, 322, 325 y 329 de la Sentencia por concepto de </w:t>
      </w:r>
      <w:r w:rsidR="00E34D51">
        <w:rPr>
          <w:rFonts w:ascii="Verdana" w:hAnsi="Verdana"/>
          <w:sz w:val="20"/>
          <w:szCs w:val="20"/>
        </w:rPr>
        <w:t xml:space="preserve">indemnizaciones del </w:t>
      </w:r>
      <w:r w:rsidR="003B4D3F">
        <w:rPr>
          <w:rFonts w:ascii="Verdana" w:hAnsi="Verdana"/>
          <w:sz w:val="20"/>
          <w:szCs w:val="20"/>
        </w:rPr>
        <w:t>daño material e inmaterial y por reintegro de costas y gasto</w:t>
      </w:r>
      <w:r w:rsidR="00E34D51">
        <w:rPr>
          <w:rFonts w:ascii="Verdana" w:hAnsi="Verdana"/>
          <w:sz w:val="20"/>
          <w:szCs w:val="20"/>
        </w:rPr>
        <w:t>s</w:t>
      </w:r>
      <w:r w:rsidR="003B4D3F">
        <w:rPr>
          <w:rFonts w:ascii="Verdana" w:hAnsi="Verdana"/>
          <w:sz w:val="20"/>
          <w:szCs w:val="20"/>
        </w:rPr>
        <w:t xml:space="preserve">, en </w:t>
      </w:r>
      <w:r w:rsidR="003B4D3F" w:rsidRPr="005F5D8C">
        <w:rPr>
          <w:rFonts w:ascii="Verdana" w:hAnsi="Verdana"/>
          <w:sz w:val="20"/>
          <w:szCs w:val="20"/>
        </w:rPr>
        <w:t xml:space="preserve">el plazo de un año, contado a partir de la notificación de la misma </w:t>
      </w:r>
      <w:r w:rsidR="003B4D3F" w:rsidRPr="005F5D8C">
        <w:rPr>
          <w:rFonts w:ascii="Verdana" w:hAnsi="Verdana"/>
          <w:i/>
          <w:sz w:val="20"/>
          <w:szCs w:val="20"/>
        </w:rPr>
        <w:t>(punto resolutivo décimo cuarto de la Sentencia)</w:t>
      </w:r>
      <w:r w:rsidR="003B4D3F" w:rsidRPr="005F5D8C">
        <w:rPr>
          <w:rFonts w:ascii="Verdana" w:hAnsi="Verdana"/>
          <w:sz w:val="20"/>
          <w:szCs w:val="20"/>
        </w:rPr>
        <w:t>.</w:t>
      </w:r>
    </w:p>
    <w:p w:rsidR="00334D1A" w:rsidRPr="005F5D8C" w:rsidRDefault="00334D1A" w:rsidP="00334D1A">
      <w:pPr>
        <w:numPr>
          <w:ilvl w:val="0"/>
          <w:numId w:val="7"/>
        </w:numPr>
        <w:spacing w:before="120" w:after="120" w:line="240" w:lineRule="auto"/>
        <w:ind w:left="0" w:right="1444" w:firstLine="0"/>
        <w:jc w:val="both"/>
        <w:rPr>
          <w:rFonts w:ascii="Verdana" w:hAnsi="Verdana"/>
          <w:b/>
          <w:sz w:val="20"/>
          <w:szCs w:val="20"/>
          <w:lang w:val="es-ES"/>
        </w:rPr>
      </w:pPr>
      <w:r w:rsidRPr="005F5D8C">
        <w:rPr>
          <w:rFonts w:ascii="Verdana" w:hAnsi="Verdana"/>
          <w:sz w:val="20"/>
          <w:szCs w:val="20"/>
          <w:lang w:val="es-MX"/>
        </w:rPr>
        <w:t xml:space="preserve">El Estado ha incumplido con su obligación de reintegrar al Fondo de Asistencia Legal de Víctimas de la Corte Interamericana la cantidad indicada en el párrafo 332 de la Sentencia </w:t>
      </w:r>
      <w:r w:rsidRPr="005F5D8C">
        <w:rPr>
          <w:rFonts w:ascii="Verdana" w:hAnsi="Verdana"/>
          <w:i/>
          <w:sz w:val="20"/>
          <w:szCs w:val="20"/>
          <w:lang w:val="es-MX"/>
        </w:rPr>
        <w:t>(punto resolutivo décimo quinto de la Sentencia)</w:t>
      </w:r>
      <w:r w:rsidRPr="005F5D8C">
        <w:rPr>
          <w:rFonts w:ascii="Verdana" w:hAnsi="Verdana"/>
          <w:sz w:val="20"/>
          <w:szCs w:val="20"/>
          <w:lang w:val="es-MX"/>
        </w:rPr>
        <w:t xml:space="preserve">. </w:t>
      </w:r>
    </w:p>
    <w:p w:rsidR="009F49EF" w:rsidRDefault="009F49EF" w:rsidP="00FF18D7">
      <w:pPr>
        <w:spacing w:before="120" w:after="120" w:line="240" w:lineRule="auto"/>
        <w:ind w:right="1444"/>
        <w:jc w:val="both"/>
        <w:rPr>
          <w:rFonts w:ascii="Verdana" w:hAnsi="Verdana"/>
          <w:b/>
          <w:sz w:val="20"/>
          <w:szCs w:val="20"/>
          <w:lang w:val="es-ES"/>
        </w:rPr>
      </w:pPr>
    </w:p>
    <w:p w:rsidR="00674C3F" w:rsidRPr="005F5D8C" w:rsidRDefault="00A25807" w:rsidP="00FF18D7">
      <w:pPr>
        <w:spacing w:before="120" w:after="120" w:line="240" w:lineRule="auto"/>
        <w:ind w:right="1444"/>
        <w:jc w:val="both"/>
        <w:rPr>
          <w:rFonts w:ascii="Verdana" w:hAnsi="Verdana"/>
          <w:b/>
          <w:sz w:val="20"/>
          <w:szCs w:val="20"/>
          <w:lang w:val="es-ES"/>
        </w:rPr>
      </w:pPr>
      <w:r w:rsidRPr="005F5D8C">
        <w:rPr>
          <w:rFonts w:ascii="Verdana" w:hAnsi="Verdana"/>
          <w:b/>
          <w:sz w:val="20"/>
          <w:szCs w:val="20"/>
          <w:lang w:val="es-ES"/>
        </w:rPr>
        <w:t xml:space="preserve">Y </w:t>
      </w:r>
      <w:r w:rsidR="00674C3F" w:rsidRPr="005F5D8C">
        <w:rPr>
          <w:rFonts w:ascii="Verdana" w:hAnsi="Verdana"/>
          <w:b/>
          <w:sz w:val="20"/>
          <w:szCs w:val="20"/>
          <w:lang w:val="es-ES"/>
        </w:rPr>
        <w:t>RESUELVE:</w:t>
      </w:r>
    </w:p>
    <w:p w:rsidR="001C6621" w:rsidRDefault="001C6621" w:rsidP="0078563E">
      <w:pPr>
        <w:numPr>
          <w:ilvl w:val="0"/>
          <w:numId w:val="7"/>
        </w:numPr>
        <w:spacing w:before="120" w:after="120" w:line="240" w:lineRule="auto"/>
        <w:ind w:left="0" w:right="1446" w:hanging="11"/>
        <w:jc w:val="both"/>
        <w:rPr>
          <w:rFonts w:ascii="Verdana" w:hAnsi="Verdana"/>
          <w:sz w:val="20"/>
          <w:szCs w:val="20"/>
          <w:lang w:val="es-ES"/>
        </w:rPr>
      </w:pPr>
      <w:r>
        <w:rPr>
          <w:rFonts w:ascii="Verdana" w:hAnsi="Verdana"/>
          <w:sz w:val="20"/>
          <w:szCs w:val="20"/>
          <w:lang w:val="es-ES"/>
        </w:rPr>
        <w:t>Expresar su preocupación por el incumplimiento estatal del deber de informar sobre el cumplimiento de la Sentencia</w:t>
      </w:r>
      <w:r w:rsidR="0078563E">
        <w:rPr>
          <w:rFonts w:ascii="Verdana" w:hAnsi="Verdana"/>
          <w:sz w:val="20"/>
          <w:szCs w:val="20"/>
          <w:lang w:val="es-ES"/>
        </w:rPr>
        <w:t xml:space="preserve"> y la falta de implementación de las reparaciones ordenadas en la misma. </w:t>
      </w:r>
    </w:p>
    <w:p w:rsidR="006160DA" w:rsidRPr="005F5D8C" w:rsidRDefault="006160DA" w:rsidP="006160DA">
      <w:pPr>
        <w:numPr>
          <w:ilvl w:val="0"/>
          <w:numId w:val="7"/>
        </w:numPr>
        <w:spacing w:after="0" w:line="240" w:lineRule="auto"/>
        <w:ind w:left="0" w:right="1444" w:hanging="11"/>
        <w:jc w:val="both"/>
        <w:rPr>
          <w:rFonts w:ascii="Verdana" w:hAnsi="Verdana"/>
          <w:sz w:val="20"/>
          <w:szCs w:val="20"/>
          <w:lang w:val="es-ES"/>
        </w:rPr>
      </w:pPr>
      <w:r w:rsidRPr="005F5D8C">
        <w:rPr>
          <w:rFonts w:ascii="Verdana" w:hAnsi="Verdana"/>
          <w:sz w:val="20"/>
          <w:szCs w:val="20"/>
          <w:lang w:val="es-ES"/>
        </w:rPr>
        <w:t>Mantener abierto el procedimiento de supervisión de cumplimiento respecto de todas las medidas de reparación ordenadas en la Sentencia</w:t>
      </w:r>
      <w:r w:rsidR="00334D1A" w:rsidRPr="005F5D8C">
        <w:rPr>
          <w:rFonts w:ascii="Verdana" w:hAnsi="Verdana"/>
          <w:sz w:val="20"/>
          <w:szCs w:val="20"/>
          <w:lang w:val="es-ES"/>
        </w:rPr>
        <w:t>.</w:t>
      </w:r>
    </w:p>
    <w:p w:rsidR="00F77433" w:rsidRPr="005F5D8C" w:rsidRDefault="00F77433" w:rsidP="00D75F39">
      <w:pPr>
        <w:numPr>
          <w:ilvl w:val="0"/>
          <w:numId w:val="7"/>
        </w:numPr>
        <w:spacing w:before="120" w:after="120" w:line="240" w:lineRule="auto"/>
        <w:ind w:left="0" w:right="1444" w:hanging="11"/>
        <w:jc w:val="both"/>
        <w:rPr>
          <w:rFonts w:ascii="Verdana" w:hAnsi="Verdana"/>
          <w:sz w:val="20"/>
          <w:szCs w:val="20"/>
          <w:lang w:val="es-ES"/>
        </w:rPr>
      </w:pPr>
      <w:r w:rsidRPr="005F5D8C">
        <w:rPr>
          <w:rFonts w:ascii="Verdana" w:hAnsi="Verdana"/>
          <w:sz w:val="20"/>
          <w:szCs w:val="20"/>
          <w:lang w:val="es-ES"/>
        </w:rPr>
        <w:t>Disponer</w:t>
      </w:r>
      <w:r w:rsidRPr="005F5D8C">
        <w:rPr>
          <w:rFonts w:ascii="Verdana" w:hAnsi="Verdana"/>
          <w:sz w:val="20"/>
          <w:szCs w:val="20"/>
        </w:rPr>
        <w:t xml:space="preserve"> que Venezuela adopte, en definitiva y a la mayor brevedad posible, las medidas que sean necesarias para d</w:t>
      </w:r>
      <w:r w:rsidR="00B15B7A" w:rsidRPr="005F5D8C">
        <w:rPr>
          <w:rFonts w:ascii="Verdana" w:hAnsi="Verdana"/>
          <w:sz w:val="20"/>
          <w:szCs w:val="20"/>
        </w:rPr>
        <w:t>ar efectivo y pronto cumplimiento</w:t>
      </w:r>
      <w:r w:rsidRPr="005F5D8C">
        <w:rPr>
          <w:rFonts w:ascii="Verdana" w:hAnsi="Verdana"/>
          <w:sz w:val="20"/>
          <w:szCs w:val="20"/>
        </w:rPr>
        <w:t xml:space="preserve"> a </w:t>
      </w:r>
      <w:r w:rsidR="00B15B7A" w:rsidRPr="005F5D8C">
        <w:rPr>
          <w:rFonts w:ascii="Verdana" w:hAnsi="Verdana"/>
          <w:sz w:val="20"/>
          <w:szCs w:val="20"/>
        </w:rPr>
        <w:t>l</w:t>
      </w:r>
      <w:r w:rsidR="00AF134F" w:rsidRPr="005F5D8C">
        <w:rPr>
          <w:rFonts w:ascii="Verdana" w:hAnsi="Verdana"/>
          <w:sz w:val="20"/>
          <w:szCs w:val="20"/>
        </w:rPr>
        <w:t>as reparaciones ordenadas en la</w:t>
      </w:r>
      <w:r w:rsidR="00B15B7A" w:rsidRPr="005F5D8C">
        <w:rPr>
          <w:rFonts w:ascii="Verdana" w:hAnsi="Verdana"/>
          <w:sz w:val="20"/>
          <w:szCs w:val="20"/>
        </w:rPr>
        <w:t xml:space="preserve"> </w:t>
      </w:r>
      <w:r w:rsidR="00AF134F" w:rsidRPr="005F5D8C">
        <w:rPr>
          <w:rFonts w:ascii="Verdana" w:hAnsi="Verdana"/>
          <w:sz w:val="20"/>
          <w:szCs w:val="20"/>
        </w:rPr>
        <w:t xml:space="preserve">referida </w:t>
      </w:r>
      <w:r w:rsidR="00B15B7A" w:rsidRPr="005F5D8C">
        <w:rPr>
          <w:rFonts w:ascii="Verdana" w:hAnsi="Verdana"/>
          <w:sz w:val="20"/>
          <w:szCs w:val="20"/>
        </w:rPr>
        <w:t>Sentencia</w:t>
      </w:r>
      <w:r w:rsidRPr="005F5D8C">
        <w:rPr>
          <w:rFonts w:ascii="Verdana" w:hAnsi="Verdana"/>
          <w:sz w:val="20"/>
          <w:szCs w:val="20"/>
        </w:rPr>
        <w:t xml:space="preserve">, de acuerdo con lo considerado en la presente Resolución, y con lo estipulado en el artículo 68.1 de la Convención Americana </w:t>
      </w:r>
      <w:r w:rsidR="00927CA5" w:rsidRPr="005F5D8C">
        <w:rPr>
          <w:rFonts w:ascii="Verdana" w:hAnsi="Verdana"/>
          <w:sz w:val="20"/>
          <w:szCs w:val="20"/>
        </w:rPr>
        <w:t>sobre</w:t>
      </w:r>
      <w:r w:rsidRPr="005F5D8C">
        <w:rPr>
          <w:rFonts w:ascii="Verdana" w:hAnsi="Verdana"/>
          <w:sz w:val="20"/>
          <w:szCs w:val="20"/>
        </w:rPr>
        <w:t xml:space="preserve"> Derechos Humanos.</w:t>
      </w:r>
    </w:p>
    <w:p w:rsidR="00334D1A" w:rsidRPr="005F5D8C" w:rsidRDefault="00334D1A" w:rsidP="00D75F39">
      <w:pPr>
        <w:numPr>
          <w:ilvl w:val="0"/>
          <w:numId w:val="7"/>
        </w:numPr>
        <w:spacing w:before="120" w:after="120" w:line="240" w:lineRule="auto"/>
        <w:ind w:left="0" w:right="1444" w:hanging="11"/>
        <w:jc w:val="both"/>
        <w:rPr>
          <w:rFonts w:ascii="Verdana" w:hAnsi="Verdana"/>
          <w:sz w:val="20"/>
          <w:szCs w:val="20"/>
        </w:rPr>
      </w:pPr>
      <w:r w:rsidRPr="005F5D8C">
        <w:rPr>
          <w:rFonts w:ascii="Verdana" w:hAnsi="Verdana"/>
          <w:sz w:val="20"/>
          <w:szCs w:val="20"/>
        </w:rPr>
        <w:t>Reiterar la obligación del Estado de reintegrar al Fondo de Asistencia Legal de Víctimas de la Corte Interamericana de Derechos Humanos la cantidad indicada en el párrafo 332 de la Sentencia.</w:t>
      </w:r>
    </w:p>
    <w:p w:rsidR="00F77433" w:rsidRPr="00396608" w:rsidRDefault="002D15D9" w:rsidP="00D75F39">
      <w:pPr>
        <w:numPr>
          <w:ilvl w:val="0"/>
          <w:numId w:val="7"/>
        </w:numPr>
        <w:spacing w:before="120" w:after="120" w:line="240" w:lineRule="auto"/>
        <w:ind w:left="0" w:right="1444" w:hanging="11"/>
        <w:jc w:val="both"/>
        <w:rPr>
          <w:rFonts w:ascii="Verdana" w:hAnsi="Verdana"/>
          <w:sz w:val="20"/>
          <w:szCs w:val="20"/>
          <w:lang w:val="es-MX"/>
        </w:rPr>
      </w:pPr>
      <w:r w:rsidRPr="00E34D51">
        <w:rPr>
          <w:rFonts w:ascii="Verdana" w:hAnsi="Verdana"/>
          <w:sz w:val="20"/>
          <w:szCs w:val="20"/>
          <w:lang w:val="es-CL"/>
        </w:rPr>
        <w:t>Disponer que el Estado presente a la Corte Interamericana de Derechos Humanos, a m</w:t>
      </w:r>
      <w:r w:rsidR="00D75F39" w:rsidRPr="006E05CB">
        <w:rPr>
          <w:rFonts w:ascii="Verdana" w:hAnsi="Verdana"/>
          <w:sz w:val="20"/>
          <w:szCs w:val="20"/>
          <w:lang w:val="es-CL"/>
        </w:rPr>
        <w:t xml:space="preserve">ás tardar el </w:t>
      </w:r>
      <w:r w:rsidR="006160DA" w:rsidRPr="00115F29">
        <w:rPr>
          <w:rFonts w:ascii="Verdana" w:hAnsi="Verdana"/>
          <w:sz w:val="20"/>
          <w:szCs w:val="20"/>
          <w:lang w:val="es-CL"/>
        </w:rPr>
        <w:t xml:space="preserve">31 </w:t>
      </w:r>
      <w:r w:rsidRPr="00115F29">
        <w:rPr>
          <w:rFonts w:ascii="Verdana" w:hAnsi="Verdana"/>
          <w:sz w:val="20"/>
          <w:szCs w:val="20"/>
          <w:lang w:val="es-CL"/>
        </w:rPr>
        <w:t xml:space="preserve">de </w:t>
      </w:r>
      <w:r w:rsidR="006160DA" w:rsidRPr="00115F29">
        <w:rPr>
          <w:rFonts w:ascii="Verdana" w:hAnsi="Verdana"/>
          <w:sz w:val="20"/>
          <w:szCs w:val="20"/>
          <w:lang w:val="es-CL"/>
        </w:rPr>
        <w:t xml:space="preserve">marzo </w:t>
      </w:r>
      <w:r w:rsidRPr="00115F29">
        <w:rPr>
          <w:rFonts w:ascii="Verdana" w:hAnsi="Verdana"/>
          <w:sz w:val="20"/>
          <w:szCs w:val="20"/>
          <w:lang w:val="es-CL"/>
        </w:rPr>
        <w:t>de 201</w:t>
      </w:r>
      <w:r w:rsidR="00880658" w:rsidRPr="00115F29">
        <w:rPr>
          <w:rFonts w:ascii="Verdana" w:hAnsi="Verdana"/>
          <w:sz w:val="20"/>
          <w:szCs w:val="20"/>
          <w:lang w:val="es-CL"/>
        </w:rPr>
        <w:t>7</w:t>
      </w:r>
      <w:r w:rsidRPr="00E34D51">
        <w:rPr>
          <w:rFonts w:ascii="Verdana" w:hAnsi="Verdana"/>
          <w:sz w:val="20"/>
          <w:szCs w:val="20"/>
          <w:lang w:val="es-CL"/>
        </w:rPr>
        <w:t>,</w:t>
      </w:r>
      <w:r>
        <w:rPr>
          <w:rFonts w:ascii="Verdana" w:hAnsi="Verdana"/>
          <w:sz w:val="20"/>
          <w:szCs w:val="20"/>
          <w:lang w:val="es-CL"/>
        </w:rPr>
        <w:t xml:space="preserve"> un informe</w:t>
      </w:r>
      <w:r w:rsidR="00D75F39">
        <w:rPr>
          <w:rFonts w:ascii="Verdana" w:hAnsi="Verdana"/>
          <w:sz w:val="20"/>
          <w:szCs w:val="20"/>
          <w:lang w:val="es-CL"/>
        </w:rPr>
        <w:t xml:space="preserve"> </w:t>
      </w:r>
      <w:r>
        <w:rPr>
          <w:rFonts w:ascii="Verdana" w:hAnsi="Verdana"/>
          <w:sz w:val="20"/>
          <w:szCs w:val="20"/>
          <w:lang w:val="es-CL"/>
        </w:rPr>
        <w:t xml:space="preserve">en </w:t>
      </w:r>
      <w:r w:rsidR="00AF134F">
        <w:rPr>
          <w:rFonts w:ascii="Verdana" w:hAnsi="Verdana"/>
          <w:sz w:val="20"/>
          <w:szCs w:val="20"/>
          <w:lang w:val="es-CL"/>
        </w:rPr>
        <w:t>e</w:t>
      </w:r>
      <w:r w:rsidR="00D75F39">
        <w:rPr>
          <w:rFonts w:ascii="Verdana" w:hAnsi="Verdana"/>
          <w:sz w:val="20"/>
          <w:szCs w:val="20"/>
          <w:lang w:val="es-CL"/>
        </w:rPr>
        <w:t xml:space="preserve">l </w:t>
      </w:r>
      <w:r>
        <w:rPr>
          <w:rFonts w:ascii="Verdana" w:hAnsi="Verdana"/>
          <w:sz w:val="20"/>
          <w:szCs w:val="20"/>
          <w:lang w:val="es-CL"/>
        </w:rPr>
        <w:t>cual indique las medidas adoptadas para cumplir con las reparaciones ordenadas por esta Corte</w:t>
      </w:r>
      <w:r w:rsidR="00880658">
        <w:rPr>
          <w:rFonts w:ascii="Verdana" w:hAnsi="Verdana"/>
          <w:sz w:val="20"/>
          <w:szCs w:val="20"/>
          <w:lang w:val="es-CL"/>
        </w:rPr>
        <w:t xml:space="preserve"> y con el reintegro al Fondo de Asistencia Legal de Víctimas</w:t>
      </w:r>
      <w:r>
        <w:rPr>
          <w:rFonts w:ascii="Verdana" w:hAnsi="Verdana"/>
          <w:sz w:val="20"/>
          <w:szCs w:val="20"/>
          <w:lang w:val="es-CL"/>
        </w:rPr>
        <w:t>, de conformidad con la parte considerativa de esta Resolución.</w:t>
      </w:r>
    </w:p>
    <w:p w:rsidR="002D15D9" w:rsidRDefault="002D15D9" w:rsidP="00D75F39">
      <w:pPr>
        <w:numPr>
          <w:ilvl w:val="0"/>
          <w:numId w:val="7"/>
        </w:numPr>
        <w:spacing w:before="120" w:after="120" w:line="240" w:lineRule="auto"/>
        <w:ind w:left="0" w:right="1444" w:hanging="11"/>
        <w:jc w:val="both"/>
        <w:rPr>
          <w:rFonts w:ascii="Verdana" w:hAnsi="Verdana"/>
          <w:sz w:val="20"/>
          <w:szCs w:val="20"/>
          <w:lang w:val="es-MX"/>
        </w:rPr>
      </w:pPr>
      <w:r>
        <w:rPr>
          <w:rFonts w:ascii="Verdana" w:hAnsi="Verdana"/>
          <w:sz w:val="20"/>
          <w:szCs w:val="20"/>
          <w:lang w:val="es-MX"/>
        </w:rPr>
        <w:t>Disponer que los representantes de las víctimas</w:t>
      </w:r>
      <w:r w:rsidR="00AF134F">
        <w:rPr>
          <w:rFonts w:ascii="Verdana" w:hAnsi="Verdana"/>
          <w:sz w:val="20"/>
          <w:szCs w:val="20"/>
          <w:lang w:val="es-MX"/>
        </w:rPr>
        <w:t xml:space="preserve"> </w:t>
      </w:r>
      <w:r>
        <w:rPr>
          <w:rFonts w:ascii="Verdana" w:hAnsi="Verdana"/>
          <w:sz w:val="20"/>
          <w:szCs w:val="20"/>
          <w:lang w:val="es-MX"/>
        </w:rPr>
        <w:t>y la Comisión Interamericana de Derechos Humanos presenten observaciones a</w:t>
      </w:r>
      <w:r w:rsidR="00D75F39">
        <w:rPr>
          <w:rFonts w:ascii="Verdana" w:hAnsi="Verdana"/>
          <w:sz w:val="20"/>
          <w:szCs w:val="20"/>
          <w:lang w:val="es-MX"/>
        </w:rPr>
        <w:t xml:space="preserve"> </w:t>
      </w:r>
      <w:r>
        <w:rPr>
          <w:rFonts w:ascii="Verdana" w:hAnsi="Verdana"/>
          <w:sz w:val="20"/>
          <w:szCs w:val="20"/>
          <w:lang w:val="es-MX"/>
        </w:rPr>
        <w:t>l</w:t>
      </w:r>
      <w:r w:rsidR="00D75F39">
        <w:rPr>
          <w:rFonts w:ascii="Verdana" w:hAnsi="Verdana"/>
          <w:sz w:val="20"/>
          <w:szCs w:val="20"/>
          <w:lang w:val="es-MX"/>
        </w:rPr>
        <w:t>os</w:t>
      </w:r>
      <w:r>
        <w:rPr>
          <w:rFonts w:ascii="Verdana" w:hAnsi="Verdana"/>
          <w:sz w:val="20"/>
          <w:szCs w:val="20"/>
          <w:lang w:val="es-MX"/>
        </w:rPr>
        <w:t xml:space="preserve"> informe</w:t>
      </w:r>
      <w:r w:rsidR="00D75F39">
        <w:rPr>
          <w:rFonts w:ascii="Verdana" w:hAnsi="Verdana"/>
          <w:sz w:val="20"/>
          <w:szCs w:val="20"/>
          <w:lang w:val="es-MX"/>
        </w:rPr>
        <w:t>s</w:t>
      </w:r>
      <w:r>
        <w:rPr>
          <w:rFonts w:ascii="Verdana" w:hAnsi="Verdana"/>
          <w:sz w:val="20"/>
          <w:szCs w:val="20"/>
          <w:lang w:val="es-MX"/>
        </w:rPr>
        <w:t xml:space="preserve"> del Estado mencionado en el punto resolutivo anterior, en los plazos de cuatro y seis semanas, respectivamente, contados a partir de la recepción de</w:t>
      </w:r>
      <w:r w:rsidR="00D75F39">
        <w:rPr>
          <w:rFonts w:ascii="Verdana" w:hAnsi="Verdana"/>
          <w:sz w:val="20"/>
          <w:szCs w:val="20"/>
          <w:lang w:val="es-MX"/>
        </w:rPr>
        <w:t xml:space="preserve"> </w:t>
      </w:r>
      <w:r>
        <w:rPr>
          <w:rFonts w:ascii="Verdana" w:hAnsi="Verdana"/>
          <w:sz w:val="20"/>
          <w:szCs w:val="20"/>
          <w:lang w:val="es-MX"/>
        </w:rPr>
        <w:t>l</w:t>
      </w:r>
      <w:r w:rsidR="00D75F39">
        <w:rPr>
          <w:rFonts w:ascii="Verdana" w:hAnsi="Verdana"/>
          <w:sz w:val="20"/>
          <w:szCs w:val="20"/>
          <w:lang w:val="es-MX"/>
        </w:rPr>
        <w:t>os respectivos</w:t>
      </w:r>
      <w:r>
        <w:rPr>
          <w:rFonts w:ascii="Verdana" w:hAnsi="Verdana"/>
          <w:sz w:val="20"/>
          <w:szCs w:val="20"/>
          <w:lang w:val="es-MX"/>
        </w:rPr>
        <w:t xml:space="preserve"> informe</w:t>
      </w:r>
      <w:r w:rsidR="00D75F39">
        <w:rPr>
          <w:rFonts w:ascii="Verdana" w:hAnsi="Verdana"/>
          <w:sz w:val="20"/>
          <w:szCs w:val="20"/>
          <w:lang w:val="es-MX"/>
        </w:rPr>
        <w:t>s</w:t>
      </w:r>
      <w:r w:rsidR="00396608">
        <w:rPr>
          <w:rFonts w:ascii="Verdana" w:hAnsi="Verdana"/>
          <w:sz w:val="20"/>
          <w:szCs w:val="20"/>
          <w:lang w:val="es-MX"/>
        </w:rPr>
        <w:t>.</w:t>
      </w:r>
    </w:p>
    <w:p w:rsidR="00AF134F" w:rsidRDefault="002D15D9" w:rsidP="00A52727">
      <w:pPr>
        <w:numPr>
          <w:ilvl w:val="0"/>
          <w:numId w:val="7"/>
        </w:numPr>
        <w:spacing w:before="120" w:after="120" w:line="240" w:lineRule="auto"/>
        <w:ind w:left="0" w:right="1444" w:hanging="11"/>
        <w:jc w:val="both"/>
        <w:rPr>
          <w:rFonts w:ascii="Verdana" w:hAnsi="Verdana"/>
          <w:sz w:val="20"/>
          <w:szCs w:val="20"/>
          <w:lang w:val="es-MX"/>
        </w:rPr>
      </w:pPr>
      <w:r>
        <w:rPr>
          <w:rFonts w:ascii="Verdana" w:hAnsi="Verdana"/>
          <w:sz w:val="20"/>
          <w:szCs w:val="20"/>
          <w:lang w:val="es-MX"/>
        </w:rPr>
        <w:t xml:space="preserve">Disponer que la Secretaría de la Corte notifique la presente Resolución al Estado, a los representantes de las víctimas y a la Comisión Interamericana de Derechos Humanos. </w:t>
      </w:r>
    </w:p>
    <w:p w:rsidR="0010748A" w:rsidRDefault="0010748A" w:rsidP="0010748A">
      <w:pPr>
        <w:spacing w:before="120" w:after="120" w:line="240" w:lineRule="auto"/>
        <w:ind w:right="1444"/>
        <w:jc w:val="both"/>
        <w:rPr>
          <w:rFonts w:ascii="Verdana" w:hAnsi="Verdana"/>
          <w:sz w:val="20"/>
          <w:szCs w:val="20"/>
          <w:lang w:val="es-MX"/>
        </w:rPr>
      </w:pPr>
    </w:p>
    <w:p w:rsidR="0010748A" w:rsidRDefault="0010748A" w:rsidP="0010748A">
      <w:pPr>
        <w:spacing w:before="120" w:after="120" w:line="240" w:lineRule="auto"/>
        <w:ind w:right="1444"/>
        <w:jc w:val="both"/>
        <w:rPr>
          <w:rFonts w:ascii="Verdana" w:hAnsi="Verdana"/>
          <w:sz w:val="20"/>
          <w:szCs w:val="20"/>
          <w:lang w:val="es-MX"/>
        </w:rPr>
      </w:pPr>
    </w:p>
    <w:p w:rsidR="0010748A" w:rsidRDefault="0010748A" w:rsidP="0010748A">
      <w:pPr>
        <w:spacing w:before="120" w:after="120" w:line="240" w:lineRule="auto"/>
        <w:ind w:right="1444"/>
        <w:jc w:val="both"/>
        <w:rPr>
          <w:rFonts w:ascii="Verdana" w:hAnsi="Verdana"/>
          <w:sz w:val="20"/>
          <w:szCs w:val="20"/>
          <w:lang w:val="es-MX"/>
        </w:rPr>
      </w:pPr>
    </w:p>
    <w:p w:rsidR="0010748A" w:rsidRDefault="0010748A" w:rsidP="0010748A">
      <w:pPr>
        <w:spacing w:before="120" w:after="120" w:line="240" w:lineRule="auto"/>
        <w:ind w:right="1444"/>
        <w:jc w:val="both"/>
        <w:rPr>
          <w:rFonts w:ascii="Verdana" w:hAnsi="Verdana"/>
          <w:sz w:val="20"/>
          <w:szCs w:val="20"/>
          <w:lang w:val="es-MX"/>
        </w:rPr>
      </w:pPr>
    </w:p>
    <w:p w:rsidR="009576E0" w:rsidRPr="00267999" w:rsidRDefault="009576E0" w:rsidP="00267999">
      <w:pPr>
        <w:spacing w:before="120" w:after="120" w:line="240" w:lineRule="auto"/>
        <w:ind w:left="-11" w:right="1444"/>
        <w:jc w:val="both"/>
        <w:rPr>
          <w:rFonts w:ascii="Verdana" w:hAnsi="Verdana"/>
          <w:sz w:val="20"/>
          <w:szCs w:val="20"/>
          <w:lang w:val="es-CL"/>
        </w:rPr>
      </w:pPr>
      <w:r w:rsidRPr="00267999">
        <w:rPr>
          <w:rFonts w:ascii="Verdana" w:hAnsi="Verdana"/>
          <w:sz w:val="20"/>
          <w:szCs w:val="20"/>
          <w:lang w:val="es-CL"/>
        </w:rPr>
        <w:t>Resolución de la Corte Interamericana de Derechos Humanos. Caso Hermanos Landaeta Mejías y otros Vs. Venezuela.  Supervisión de Cumplimiento de Sentencia.</w:t>
      </w:r>
    </w:p>
    <w:p w:rsidR="009576E0" w:rsidRPr="009576E0" w:rsidRDefault="009576E0" w:rsidP="009576E0">
      <w:pPr>
        <w:spacing w:after="0" w:line="240" w:lineRule="auto"/>
        <w:jc w:val="center"/>
        <w:rPr>
          <w:rFonts w:ascii="Verdana" w:eastAsia="Times" w:hAnsi="Verdana"/>
          <w:sz w:val="20"/>
          <w:szCs w:val="20"/>
          <w:lang w:val="es-ES" w:eastAsia="en-US"/>
        </w:rPr>
      </w:pPr>
    </w:p>
    <w:p w:rsidR="009576E0" w:rsidRPr="009576E0" w:rsidRDefault="009576E0" w:rsidP="009576E0">
      <w:pPr>
        <w:spacing w:after="0" w:line="240" w:lineRule="auto"/>
        <w:jc w:val="center"/>
        <w:rPr>
          <w:rFonts w:ascii="Verdana" w:eastAsia="Times" w:hAnsi="Verdana"/>
          <w:sz w:val="20"/>
          <w:szCs w:val="20"/>
          <w:lang w:val="es-ES" w:eastAsia="en-US"/>
        </w:rPr>
      </w:pPr>
    </w:p>
    <w:p w:rsidR="009576E0" w:rsidRPr="009576E0" w:rsidRDefault="009576E0" w:rsidP="009576E0">
      <w:pPr>
        <w:spacing w:after="0" w:line="240" w:lineRule="auto"/>
        <w:jc w:val="center"/>
        <w:rPr>
          <w:rFonts w:ascii="Verdana" w:eastAsia="Times" w:hAnsi="Verdana"/>
          <w:sz w:val="20"/>
          <w:szCs w:val="20"/>
          <w:lang w:val="es-ES" w:eastAsia="en-US"/>
        </w:rPr>
      </w:pPr>
    </w:p>
    <w:p w:rsidR="009576E0" w:rsidRPr="009576E0" w:rsidRDefault="009576E0" w:rsidP="009576E0">
      <w:pPr>
        <w:spacing w:after="0" w:line="240" w:lineRule="auto"/>
        <w:jc w:val="center"/>
        <w:rPr>
          <w:rFonts w:ascii="Verdana" w:eastAsia="Times" w:hAnsi="Verdana"/>
          <w:sz w:val="20"/>
          <w:szCs w:val="20"/>
          <w:lang w:val="es-ES" w:eastAsia="en-US"/>
        </w:rPr>
      </w:pPr>
    </w:p>
    <w:p w:rsidR="009576E0" w:rsidRPr="009576E0" w:rsidRDefault="009576E0" w:rsidP="009576E0">
      <w:pPr>
        <w:spacing w:after="0" w:line="240" w:lineRule="auto"/>
        <w:jc w:val="center"/>
        <w:rPr>
          <w:rFonts w:ascii="Verdana" w:eastAsia="Times" w:hAnsi="Verdana"/>
          <w:sz w:val="20"/>
          <w:szCs w:val="20"/>
          <w:lang w:val="es-ES" w:eastAsia="en-US"/>
        </w:rPr>
      </w:pPr>
    </w:p>
    <w:p w:rsidR="009576E0" w:rsidRPr="009576E0" w:rsidRDefault="009576E0" w:rsidP="009576E0">
      <w:pPr>
        <w:spacing w:after="0" w:line="240" w:lineRule="auto"/>
        <w:jc w:val="center"/>
        <w:rPr>
          <w:rFonts w:ascii="Verdana" w:eastAsia="Times" w:hAnsi="Verdana"/>
          <w:sz w:val="20"/>
          <w:szCs w:val="20"/>
          <w:lang w:val="es-ES" w:eastAsia="en-US"/>
        </w:rPr>
      </w:pPr>
      <w:r w:rsidRPr="009576E0">
        <w:rPr>
          <w:rFonts w:ascii="Verdana" w:eastAsia="Times" w:hAnsi="Verdana"/>
          <w:sz w:val="20"/>
          <w:szCs w:val="20"/>
          <w:lang w:val="es-ES" w:eastAsia="en-US"/>
        </w:rPr>
        <w:t>Roberto F. Caldas</w:t>
      </w:r>
    </w:p>
    <w:p w:rsidR="009576E0" w:rsidRPr="009576E0" w:rsidRDefault="009576E0" w:rsidP="009576E0">
      <w:pPr>
        <w:spacing w:after="0" w:line="240" w:lineRule="auto"/>
        <w:jc w:val="center"/>
        <w:rPr>
          <w:rFonts w:ascii="Verdana" w:eastAsia="Times" w:hAnsi="Verdana"/>
          <w:sz w:val="20"/>
          <w:szCs w:val="20"/>
          <w:lang w:val="es-ES" w:eastAsia="en-US"/>
        </w:rPr>
      </w:pPr>
      <w:r w:rsidRPr="009576E0">
        <w:rPr>
          <w:rFonts w:ascii="Verdana" w:eastAsia="Times" w:hAnsi="Verdana"/>
          <w:sz w:val="20"/>
          <w:szCs w:val="20"/>
          <w:lang w:val="es-ES" w:eastAsia="en-US"/>
        </w:rPr>
        <w:t xml:space="preserve">Presidente </w:t>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tabs>
          <w:tab w:val="left" w:pos="1485"/>
        </w:tabs>
        <w:spacing w:after="0" w:line="240" w:lineRule="auto"/>
        <w:jc w:val="both"/>
        <w:rPr>
          <w:rFonts w:ascii="Verdana" w:eastAsia="Times" w:hAnsi="Verdana"/>
          <w:sz w:val="20"/>
          <w:szCs w:val="20"/>
          <w:lang w:val="es-ES" w:eastAsia="en-US"/>
        </w:rPr>
      </w:pPr>
      <w:r w:rsidRPr="009576E0">
        <w:rPr>
          <w:rFonts w:ascii="Verdana" w:eastAsia="Times" w:hAnsi="Verdana"/>
          <w:sz w:val="20"/>
          <w:szCs w:val="20"/>
          <w:lang w:val="es-ES" w:eastAsia="en-US"/>
        </w:rPr>
        <w:tab/>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r w:rsidRPr="009576E0">
        <w:rPr>
          <w:rFonts w:ascii="Verdana" w:eastAsia="Times" w:hAnsi="Verdana"/>
          <w:sz w:val="20"/>
          <w:szCs w:val="20"/>
          <w:lang w:val="es-ES" w:eastAsia="en-US"/>
        </w:rPr>
        <w:t>Eduardo Ferrer Mac-Gregor Poisot</w:t>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t xml:space="preserve">       Eduardo Vio Grossi</w:t>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r w:rsidRPr="009576E0">
        <w:rPr>
          <w:rFonts w:ascii="Verdana" w:eastAsia="Times" w:hAnsi="Verdana"/>
          <w:sz w:val="20"/>
          <w:szCs w:val="20"/>
          <w:lang w:val="es-ES" w:eastAsia="en-US"/>
        </w:rPr>
        <w:t>Humberto Antonio Sierra Porto</w:t>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t xml:space="preserve">    Elizabeth Odio Benito </w:t>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rPr>
          <w:rFonts w:ascii="Verdana" w:eastAsia="Times" w:hAnsi="Verdana"/>
          <w:sz w:val="20"/>
          <w:szCs w:val="20"/>
          <w:lang w:val="es-ES" w:eastAsia="en-US"/>
        </w:rPr>
      </w:pPr>
      <w:r w:rsidRPr="009576E0">
        <w:rPr>
          <w:rFonts w:ascii="Verdana" w:eastAsia="Times" w:hAnsi="Verdana"/>
          <w:sz w:val="20"/>
          <w:szCs w:val="20"/>
          <w:lang w:val="es-ES" w:eastAsia="en-US"/>
        </w:rPr>
        <w:t xml:space="preserve">Eugenio Raúl </w:t>
      </w:r>
      <w:proofErr w:type="spellStart"/>
      <w:r w:rsidRPr="009576E0">
        <w:rPr>
          <w:rFonts w:ascii="Verdana" w:eastAsia="Times" w:hAnsi="Verdana"/>
          <w:sz w:val="20"/>
          <w:szCs w:val="20"/>
          <w:lang w:val="es-ES" w:eastAsia="en-US"/>
        </w:rPr>
        <w:t>Zaffaroni</w:t>
      </w:r>
      <w:proofErr w:type="spellEnd"/>
      <w:r w:rsidRPr="009576E0">
        <w:rPr>
          <w:rFonts w:ascii="Verdana" w:eastAsia="Times" w:hAnsi="Verdana"/>
          <w:sz w:val="20"/>
          <w:szCs w:val="20"/>
          <w:lang w:val="es-ES" w:eastAsia="en-US"/>
        </w:rPr>
        <w:t xml:space="preserve"> </w:t>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r>
      <w:r w:rsidRPr="009576E0">
        <w:rPr>
          <w:rFonts w:ascii="Verdana" w:eastAsia="Times" w:hAnsi="Verdana"/>
          <w:sz w:val="20"/>
          <w:szCs w:val="20"/>
          <w:lang w:val="es-ES" w:eastAsia="en-US"/>
        </w:rPr>
        <w:tab/>
        <w:t xml:space="preserve">        L. Patricio Pazmiño Freire</w:t>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center"/>
        <w:rPr>
          <w:rFonts w:ascii="Verdana" w:eastAsia="Times" w:hAnsi="Verdana"/>
          <w:sz w:val="20"/>
          <w:szCs w:val="20"/>
          <w:lang w:val="es-ES" w:eastAsia="en-US"/>
        </w:rPr>
      </w:pPr>
      <w:r w:rsidRPr="009576E0">
        <w:rPr>
          <w:rFonts w:ascii="Verdana" w:eastAsia="Times" w:hAnsi="Verdana"/>
          <w:sz w:val="20"/>
          <w:szCs w:val="20"/>
          <w:lang w:val="es-ES" w:eastAsia="en-US"/>
        </w:rPr>
        <w:t>Pablo Saavedra Alessandri</w:t>
      </w:r>
    </w:p>
    <w:p w:rsidR="009576E0" w:rsidRPr="009576E0" w:rsidRDefault="009576E0" w:rsidP="009576E0">
      <w:pPr>
        <w:spacing w:after="0" w:line="240" w:lineRule="auto"/>
        <w:jc w:val="center"/>
        <w:rPr>
          <w:rFonts w:ascii="Verdana" w:eastAsia="Times" w:hAnsi="Verdana"/>
          <w:sz w:val="20"/>
          <w:szCs w:val="20"/>
          <w:lang w:val="es-ES" w:eastAsia="en-US"/>
        </w:rPr>
      </w:pPr>
      <w:r w:rsidRPr="009576E0">
        <w:rPr>
          <w:rFonts w:ascii="Verdana" w:eastAsia="Times" w:hAnsi="Verdana"/>
          <w:sz w:val="20"/>
          <w:szCs w:val="20"/>
          <w:lang w:val="es-ES" w:eastAsia="en-US"/>
        </w:rPr>
        <w:t>Secretario</w:t>
      </w:r>
    </w:p>
    <w:p w:rsidR="009576E0" w:rsidRPr="009576E0" w:rsidRDefault="009576E0" w:rsidP="009576E0">
      <w:pPr>
        <w:spacing w:after="0" w:line="240" w:lineRule="auto"/>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r w:rsidRPr="009576E0">
        <w:rPr>
          <w:rFonts w:ascii="Verdana" w:eastAsia="Times" w:hAnsi="Verdana"/>
          <w:sz w:val="20"/>
          <w:szCs w:val="20"/>
          <w:lang w:val="es-ES" w:eastAsia="en-US"/>
        </w:rPr>
        <w:t>Comuníquese y ejecútese,</w:t>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ind w:left="4956" w:firstLine="708"/>
        <w:jc w:val="center"/>
        <w:rPr>
          <w:rFonts w:ascii="Verdana" w:eastAsia="Times" w:hAnsi="Verdana"/>
          <w:sz w:val="20"/>
          <w:szCs w:val="20"/>
          <w:lang w:val="es-ES" w:eastAsia="en-US"/>
        </w:rPr>
      </w:pPr>
      <w:r w:rsidRPr="009576E0">
        <w:rPr>
          <w:rFonts w:ascii="Verdana" w:eastAsia="Times" w:hAnsi="Verdana"/>
          <w:sz w:val="20"/>
          <w:szCs w:val="20"/>
          <w:lang w:val="es-ES" w:eastAsia="en-US"/>
        </w:rPr>
        <w:t>Roberto F. Caldas</w:t>
      </w:r>
    </w:p>
    <w:p w:rsidR="009576E0" w:rsidRPr="009576E0" w:rsidRDefault="009576E0" w:rsidP="009576E0">
      <w:pPr>
        <w:spacing w:after="0" w:line="240" w:lineRule="auto"/>
        <w:ind w:left="4956" w:firstLine="708"/>
        <w:jc w:val="center"/>
        <w:rPr>
          <w:rFonts w:ascii="Verdana" w:eastAsia="Times" w:hAnsi="Verdana"/>
          <w:sz w:val="20"/>
          <w:szCs w:val="20"/>
          <w:lang w:val="es-ES" w:eastAsia="en-US"/>
        </w:rPr>
      </w:pPr>
      <w:r w:rsidRPr="009576E0">
        <w:rPr>
          <w:rFonts w:ascii="Verdana" w:eastAsia="Times" w:hAnsi="Verdana"/>
          <w:sz w:val="20"/>
          <w:szCs w:val="20"/>
          <w:lang w:val="es-ES" w:eastAsia="en-US"/>
        </w:rPr>
        <w:t xml:space="preserve">Presidente </w:t>
      </w: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p>
    <w:p w:rsidR="009576E0" w:rsidRPr="009576E0" w:rsidRDefault="009576E0" w:rsidP="009576E0">
      <w:pPr>
        <w:spacing w:after="0" w:line="240" w:lineRule="auto"/>
        <w:jc w:val="both"/>
        <w:rPr>
          <w:rFonts w:ascii="Verdana" w:eastAsia="Times" w:hAnsi="Verdana"/>
          <w:sz w:val="20"/>
          <w:szCs w:val="20"/>
          <w:lang w:val="es-ES" w:eastAsia="en-US"/>
        </w:rPr>
      </w:pPr>
      <w:r w:rsidRPr="009576E0">
        <w:rPr>
          <w:rFonts w:ascii="Verdana" w:eastAsia="Times" w:hAnsi="Verdana"/>
          <w:sz w:val="20"/>
          <w:szCs w:val="20"/>
          <w:lang w:val="es-ES" w:eastAsia="en-US"/>
        </w:rPr>
        <w:t>Pablo Saavedra Alessandri</w:t>
      </w:r>
    </w:p>
    <w:p w:rsidR="009576E0" w:rsidRPr="009576E0" w:rsidRDefault="009576E0" w:rsidP="009576E0">
      <w:pPr>
        <w:spacing w:after="0" w:line="240" w:lineRule="auto"/>
        <w:rPr>
          <w:rFonts w:ascii="Verdana" w:eastAsia="Times" w:hAnsi="Verdana"/>
          <w:sz w:val="20"/>
          <w:szCs w:val="20"/>
          <w:lang w:eastAsia="en-US"/>
        </w:rPr>
      </w:pPr>
      <w:r w:rsidRPr="009576E0">
        <w:rPr>
          <w:rFonts w:ascii="Verdana" w:eastAsia="Times" w:hAnsi="Verdana"/>
          <w:sz w:val="20"/>
          <w:szCs w:val="20"/>
          <w:lang w:val="es-ES" w:eastAsia="en-US"/>
        </w:rPr>
        <w:tab/>
      </w:r>
      <w:r w:rsidRPr="009576E0">
        <w:rPr>
          <w:rFonts w:ascii="Verdana" w:eastAsia="Times" w:hAnsi="Verdana"/>
          <w:sz w:val="20"/>
          <w:szCs w:val="20"/>
          <w:lang w:eastAsia="en-US"/>
        </w:rPr>
        <w:t>Secretario</w:t>
      </w:r>
    </w:p>
    <w:p w:rsidR="0010748A" w:rsidRPr="00A52727" w:rsidRDefault="0010748A" w:rsidP="0010748A">
      <w:pPr>
        <w:spacing w:before="120" w:after="120" w:line="240" w:lineRule="auto"/>
        <w:ind w:right="1444"/>
        <w:jc w:val="both"/>
        <w:rPr>
          <w:rFonts w:ascii="Verdana" w:hAnsi="Verdana"/>
          <w:sz w:val="20"/>
          <w:szCs w:val="20"/>
          <w:lang w:val="es-MX"/>
        </w:rPr>
      </w:pPr>
    </w:p>
    <w:sectPr w:rsidR="0010748A" w:rsidRPr="00A52727" w:rsidSect="009F49EF">
      <w:headerReference w:type="default" r:id="rId8"/>
      <w:footerReference w:type="default" r:id="rId9"/>
      <w:pgSz w:w="12240" w:h="15840"/>
      <w:pgMar w:top="1440" w:right="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1DA" w:rsidRDefault="00E701DA" w:rsidP="0052428B">
      <w:pPr>
        <w:spacing w:after="0" w:line="240" w:lineRule="auto"/>
      </w:pPr>
      <w:r>
        <w:separator/>
      </w:r>
    </w:p>
  </w:endnote>
  <w:endnote w:type="continuationSeparator" w:id="0">
    <w:p w:rsidR="00E701DA" w:rsidRDefault="00E701DA" w:rsidP="0052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8C0" w:rsidRPr="005358C0" w:rsidRDefault="005358C0" w:rsidP="005358C0">
    <w:pPr>
      <w:pStyle w:val="Piedepgina"/>
      <w:ind w:right="1444"/>
      <w:jc w:val="center"/>
      <w:rPr>
        <w:rFonts w:ascii="Verdana" w:hAnsi="Verdana"/>
        <w:sz w:val="20"/>
        <w:szCs w:val="20"/>
      </w:rPr>
    </w:pPr>
  </w:p>
  <w:p w:rsidR="005358C0" w:rsidRDefault="005358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1DA" w:rsidRDefault="00E701DA" w:rsidP="0052428B">
      <w:pPr>
        <w:spacing w:after="0" w:line="240" w:lineRule="auto"/>
      </w:pPr>
      <w:r>
        <w:separator/>
      </w:r>
    </w:p>
  </w:footnote>
  <w:footnote w:type="continuationSeparator" w:id="0">
    <w:p w:rsidR="00E701DA" w:rsidRDefault="00E701DA" w:rsidP="0052428B">
      <w:pPr>
        <w:spacing w:after="0" w:line="240" w:lineRule="auto"/>
      </w:pPr>
      <w:r>
        <w:continuationSeparator/>
      </w:r>
    </w:p>
  </w:footnote>
  <w:footnote w:id="1">
    <w:p w:rsidR="00227FB3" w:rsidRPr="00227FB3" w:rsidRDefault="00227FB3" w:rsidP="00227FB3">
      <w:pPr>
        <w:pStyle w:val="Textonotapie"/>
        <w:ind w:right="1440"/>
        <w:jc w:val="both"/>
        <w:rPr>
          <w:i/>
          <w:lang w:val="es-CR"/>
        </w:rPr>
      </w:pPr>
      <w:r w:rsidRPr="00862FA0">
        <w:rPr>
          <w:rStyle w:val="Refdenotaalpie"/>
          <w:rFonts w:ascii="Verdana" w:hAnsi="Verdana"/>
          <w:sz w:val="16"/>
          <w:szCs w:val="16"/>
        </w:rPr>
        <w:footnoteRef/>
      </w:r>
      <w:r>
        <w:t xml:space="preserve"> </w:t>
      </w:r>
      <w:r>
        <w:rPr>
          <w:lang w:val="es-CR"/>
        </w:rPr>
        <w:tab/>
      </w:r>
      <w:r w:rsidR="00E36975">
        <w:rPr>
          <w:rFonts w:ascii="Verdana" w:hAnsi="Verdana"/>
          <w:sz w:val="16"/>
          <w:szCs w:val="16"/>
          <w:lang w:val="es-CR"/>
        </w:rPr>
        <w:t xml:space="preserve">La Sentencia fue notificada el 10 de octubre de 2014. </w:t>
      </w:r>
      <w:r w:rsidRPr="00227FB3">
        <w:rPr>
          <w:rFonts w:ascii="Verdana" w:hAnsi="Verdana"/>
          <w:i/>
          <w:sz w:val="16"/>
          <w:szCs w:val="16"/>
          <w:lang w:val="es-CR"/>
        </w:rPr>
        <w:t>Cfr.</w:t>
      </w:r>
      <w:r w:rsidR="00E36975">
        <w:rPr>
          <w:rFonts w:ascii="Verdana" w:hAnsi="Verdana"/>
          <w:i/>
          <w:sz w:val="16"/>
          <w:szCs w:val="16"/>
          <w:lang w:val="es-CR"/>
        </w:rPr>
        <w:t xml:space="preserve"> </w:t>
      </w:r>
      <w:r w:rsidRPr="00227FB3">
        <w:rPr>
          <w:rFonts w:ascii="Verdana" w:hAnsi="Verdana"/>
          <w:i/>
          <w:sz w:val="16"/>
          <w:szCs w:val="16"/>
          <w:lang w:val="es-CR"/>
        </w:rPr>
        <w:t>Caso Hermanos Landaeta Mejías y otros Vs. Venezuela. Excepciones Preliminares, Fondo, Reparaciones y Costas.</w:t>
      </w:r>
      <w:r>
        <w:rPr>
          <w:rFonts w:ascii="Verdana" w:hAnsi="Verdana"/>
          <w:i/>
          <w:sz w:val="16"/>
          <w:szCs w:val="16"/>
          <w:lang w:val="es-CR"/>
        </w:rPr>
        <w:t xml:space="preserve"> </w:t>
      </w:r>
      <w:r w:rsidRPr="00227FB3">
        <w:rPr>
          <w:rFonts w:ascii="Verdana" w:hAnsi="Verdana"/>
          <w:sz w:val="16"/>
          <w:szCs w:val="16"/>
          <w:lang w:val="es-CR"/>
        </w:rPr>
        <w:t>Sent</w:t>
      </w:r>
      <w:r>
        <w:rPr>
          <w:rFonts w:ascii="Verdana" w:hAnsi="Verdana"/>
          <w:sz w:val="16"/>
          <w:szCs w:val="16"/>
          <w:lang w:val="es-CR"/>
        </w:rPr>
        <w:t xml:space="preserve">encia de 27 de agosto de 2014. Serie C No. 281. El texto íntegro de la Sentencia se encuentra disponible en: </w:t>
      </w:r>
      <w:hyperlink r:id="rId1" w:history="1">
        <w:r w:rsidRPr="00F936F8">
          <w:rPr>
            <w:rStyle w:val="Hipervnculo"/>
            <w:rFonts w:ascii="Verdana" w:hAnsi="Verdana"/>
            <w:sz w:val="16"/>
            <w:szCs w:val="16"/>
            <w:lang w:val="es-CR"/>
          </w:rPr>
          <w:t>http://corteidh.or.cr/docs/casos/articulos/seriec_281_esp.pdf</w:t>
        </w:r>
      </w:hyperlink>
      <w:r w:rsidR="00E36975">
        <w:rPr>
          <w:rFonts w:ascii="Verdana" w:hAnsi="Verdana"/>
          <w:sz w:val="16"/>
          <w:szCs w:val="16"/>
          <w:lang w:val="es-CR"/>
        </w:rPr>
        <w:t>.</w:t>
      </w:r>
      <w:r>
        <w:rPr>
          <w:rFonts w:ascii="Verdana" w:hAnsi="Verdana"/>
          <w:sz w:val="16"/>
          <w:szCs w:val="16"/>
          <w:lang w:val="es-CR"/>
        </w:rPr>
        <w:t xml:space="preserve"> </w:t>
      </w:r>
    </w:p>
  </w:footnote>
  <w:footnote w:id="2">
    <w:p w:rsidR="00B75584" w:rsidRPr="00B75584" w:rsidRDefault="00B75584" w:rsidP="00B75584">
      <w:pPr>
        <w:pStyle w:val="Textonotapie"/>
        <w:ind w:right="1446"/>
        <w:jc w:val="both"/>
        <w:rPr>
          <w:rFonts w:ascii="Verdana" w:hAnsi="Verdana"/>
          <w:sz w:val="16"/>
          <w:szCs w:val="16"/>
        </w:rPr>
      </w:pPr>
      <w:r w:rsidRPr="00B75584">
        <w:rPr>
          <w:rStyle w:val="Refdenotaalpie"/>
          <w:rFonts w:ascii="Verdana" w:hAnsi="Verdana"/>
          <w:sz w:val="16"/>
          <w:szCs w:val="16"/>
        </w:rPr>
        <w:footnoteRef/>
      </w:r>
      <w:r w:rsidRPr="00B75584">
        <w:rPr>
          <w:rFonts w:ascii="Verdana" w:hAnsi="Verdana"/>
          <w:sz w:val="16"/>
          <w:szCs w:val="16"/>
        </w:rPr>
        <w:t xml:space="preserve"> </w:t>
      </w:r>
      <w:r w:rsidRPr="00B75584">
        <w:rPr>
          <w:rFonts w:ascii="Verdana" w:hAnsi="Verdana"/>
          <w:sz w:val="16"/>
          <w:szCs w:val="16"/>
        </w:rPr>
        <w:tab/>
        <w:t xml:space="preserve">La Corte también declaró la responsabilidad internacional del Estado por la violación de los derechos a las garantías judiciales, a la protección judicial y a la integridad personal de los familiares de los hermanos Landaeta Mejías. </w:t>
      </w:r>
    </w:p>
  </w:footnote>
  <w:footnote w:id="3">
    <w:p w:rsidR="00AD1936" w:rsidRPr="008A7DD9" w:rsidRDefault="00AD1936" w:rsidP="008A7DD9">
      <w:pPr>
        <w:pStyle w:val="Prrafodelista"/>
        <w:tabs>
          <w:tab w:val="left" w:pos="0"/>
        </w:tabs>
        <w:spacing w:after="0" w:line="240" w:lineRule="auto"/>
        <w:ind w:left="0" w:right="1446"/>
        <w:contextualSpacing w:val="0"/>
        <w:jc w:val="both"/>
        <w:rPr>
          <w:rFonts w:ascii="Verdana" w:hAnsi="Verdana"/>
          <w:sz w:val="16"/>
          <w:szCs w:val="16"/>
        </w:rPr>
      </w:pPr>
      <w:r w:rsidRPr="008A7DD9">
        <w:rPr>
          <w:rStyle w:val="Refdenotaalpie"/>
          <w:rFonts w:ascii="Verdana" w:hAnsi="Verdana"/>
          <w:sz w:val="16"/>
          <w:szCs w:val="16"/>
        </w:rPr>
        <w:footnoteRef/>
      </w:r>
      <w:r w:rsidRPr="008A7DD9">
        <w:rPr>
          <w:rFonts w:ascii="Verdana" w:hAnsi="Verdana"/>
          <w:sz w:val="16"/>
          <w:szCs w:val="16"/>
        </w:rPr>
        <w:t xml:space="preserve"> </w:t>
      </w:r>
      <w:r w:rsidRPr="008A7DD9">
        <w:rPr>
          <w:rFonts w:ascii="Verdana" w:hAnsi="Verdana"/>
          <w:sz w:val="16"/>
          <w:szCs w:val="16"/>
        </w:rPr>
        <w:tab/>
      </w:r>
      <w:r>
        <w:rPr>
          <w:rFonts w:ascii="Verdana" w:hAnsi="Verdana" w:cs="Arial"/>
          <w:sz w:val="16"/>
          <w:szCs w:val="16"/>
        </w:rPr>
        <w:t>Además</w:t>
      </w:r>
      <w:r w:rsidRPr="008A7DD9">
        <w:rPr>
          <w:rFonts w:ascii="Verdana" w:hAnsi="Verdana" w:cs="Arial"/>
          <w:sz w:val="16"/>
          <w:szCs w:val="16"/>
        </w:rPr>
        <w:t xml:space="preserve">, se recordó al Estado que venció el plazo </w:t>
      </w:r>
      <w:r w:rsidR="005B0194">
        <w:rPr>
          <w:rFonts w:ascii="Verdana" w:hAnsi="Verdana" w:cs="Arial"/>
          <w:sz w:val="16"/>
          <w:szCs w:val="16"/>
        </w:rPr>
        <w:t xml:space="preserve">de noventa días, contado a partir de la notificación de la Sentencia y </w:t>
      </w:r>
      <w:r w:rsidRPr="008A7DD9">
        <w:rPr>
          <w:rFonts w:ascii="Verdana" w:hAnsi="Verdana" w:cs="Arial"/>
          <w:sz w:val="16"/>
          <w:szCs w:val="16"/>
        </w:rPr>
        <w:t xml:space="preserve">dispuesto en la </w:t>
      </w:r>
      <w:r w:rsidR="005B0194">
        <w:rPr>
          <w:rFonts w:ascii="Verdana" w:hAnsi="Verdana" w:cs="Arial"/>
          <w:sz w:val="16"/>
          <w:szCs w:val="16"/>
        </w:rPr>
        <w:t>misma</w:t>
      </w:r>
      <w:r w:rsidRPr="008A7DD9">
        <w:rPr>
          <w:rFonts w:ascii="Verdana" w:hAnsi="Verdana" w:cs="Arial"/>
          <w:sz w:val="16"/>
          <w:szCs w:val="16"/>
        </w:rPr>
        <w:t xml:space="preserve"> para realizar el reintegro al Fondo de Asistencia Legal de Víctimas de la Corte Interamericana</w:t>
      </w:r>
      <w:r>
        <w:rPr>
          <w:rFonts w:ascii="Verdana" w:hAnsi="Verdana" w:cs="Arial"/>
          <w:sz w:val="16"/>
          <w:szCs w:val="16"/>
        </w:rPr>
        <w:t xml:space="preserve"> (</w:t>
      </w:r>
      <w:r w:rsidRPr="008A7DD9">
        <w:rPr>
          <w:rFonts w:ascii="Verdana" w:hAnsi="Verdana" w:cs="Arial"/>
          <w:i/>
          <w:sz w:val="16"/>
          <w:szCs w:val="16"/>
        </w:rPr>
        <w:t xml:space="preserve">infra </w:t>
      </w:r>
      <w:r>
        <w:rPr>
          <w:rFonts w:ascii="Verdana" w:hAnsi="Verdana" w:cs="Arial"/>
          <w:sz w:val="16"/>
          <w:szCs w:val="16"/>
        </w:rPr>
        <w:t>Considerando 1)</w:t>
      </w:r>
      <w:r w:rsidRPr="008A7DD9">
        <w:rPr>
          <w:rFonts w:ascii="Verdana" w:hAnsi="Verdana" w:cs="Arial"/>
          <w:sz w:val="16"/>
          <w:szCs w:val="16"/>
        </w:rPr>
        <w:t>.</w:t>
      </w:r>
    </w:p>
  </w:footnote>
  <w:footnote w:id="4">
    <w:p w:rsidR="00AD1936" w:rsidRPr="001820C6" w:rsidRDefault="00AD1936" w:rsidP="001820C6">
      <w:pPr>
        <w:pStyle w:val="Textonotapie"/>
        <w:ind w:right="1444"/>
        <w:jc w:val="both"/>
        <w:rPr>
          <w:rFonts w:ascii="Verdana" w:hAnsi="Verdana"/>
          <w:sz w:val="16"/>
          <w:szCs w:val="16"/>
        </w:rPr>
      </w:pPr>
      <w:r w:rsidRPr="008A7DD9">
        <w:rPr>
          <w:rStyle w:val="Refdenotaalpie"/>
          <w:rFonts w:ascii="Verdana" w:hAnsi="Verdana"/>
          <w:sz w:val="16"/>
          <w:szCs w:val="16"/>
        </w:rPr>
        <w:footnoteRef/>
      </w:r>
      <w:r w:rsidRPr="008A7DD9">
        <w:rPr>
          <w:rFonts w:ascii="Verdana" w:hAnsi="Verdana"/>
          <w:sz w:val="16"/>
          <w:szCs w:val="16"/>
        </w:rPr>
        <w:t xml:space="preserve"> </w:t>
      </w:r>
      <w:r w:rsidRPr="008A7DD9">
        <w:rPr>
          <w:rFonts w:ascii="Verdana" w:hAnsi="Verdana"/>
          <w:sz w:val="16"/>
          <w:szCs w:val="16"/>
        </w:rPr>
        <w:tab/>
        <w:t xml:space="preserve">El escrito fue presentado conjuntamente por </w:t>
      </w:r>
      <w:r w:rsidRPr="00AD1936">
        <w:rPr>
          <w:rFonts w:ascii="Verdana" w:hAnsi="Verdana"/>
          <w:sz w:val="16"/>
          <w:szCs w:val="16"/>
        </w:rPr>
        <w:t>el Centro por la Justicia y el Derecho Internacional (CEJIL), el Comité de Familiares de las Víctimas</w:t>
      </w:r>
      <w:r w:rsidR="00B9779E">
        <w:rPr>
          <w:rFonts w:ascii="Verdana" w:hAnsi="Verdana"/>
          <w:sz w:val="16"/>
          <w:szCs w:val="16"/>
        </w:rPr>
        <w:t xml:space="preserve"> de los sucesos ocurridos entre el 27 de febrero y los primeros días de marzo de 1989</w:t>
      </w:r>
      <w:r w:rsidRPr="00AD1936">
        <w:rPr>
          <w:rFonts w:ascii="Verdana" w:hAnsi="Verdana"/>
          <w:sz w:val="16"/>
          <w:szCs w:val="16"/>
        </w:rPr>
        <w:t xml:space="preserve"> (COFAVIC), Vicaría Episcopal de Derechos Humanos de Caracas, la Comisión de Derechos Humanos de Justicia y Paz del Estado Aragua y el Programa V</w:t>
      </w:r>
      <w:r w:rsidRPr="008A7DD9">
        <w:rPr>
          <w:rFonts w:ascii="Verdana" w:hAnsi="Verdana"/>
          <w:sz w:val="16"/>
          <w:szCs w:val="16"/>
        </w:rPr>
        <w:t xml:space="preserve">enezolano de Educación-Acción en </w:t>
      </w:r>
      <w:r w:rsidRPr="001820C6">
        <w:rPr>
          <w:rFonts w:ascii="Verdana" w:hAnsi="Verdana"/>
          <w:sz w:val="16"/>
          <w:szCs w:val="16"/>
        </w:rPr>
        <w:t xml:space="preserve">Derechos Humanos (PROVEA), en relación con el incumplimiento de los siguientes siete casos contra Venezuela: (i) El Amparo; (ii) del Caracazo; (iii) Blanco Romero y otros; (iv) Montero Aranguren y otros; (v) Familia Barrios; (vi) Hermanos Landaeta Mejías y otros, y (vii) </w:t>
      </w:r>
      <w:proofErr w:type="spellStart"/>
      <w:r w:rsidRPr="001820C6">
        <w:rPr>
          <w:rFonts w:ascii="Verdana" w:hAnsi="Verdana"/>
          <w:sz w:val="16"/>
          <w:szCs w:val="16"/>
        </w:rPr>
        <w:t>Uzcátegui</w:t>
      </w:r>
      <w:proofErr w:type="spellEnd"/>
      <w:r w:rsidRPr="001820C6">
        <w:rPr>
          <w:rFonts w:ascii="Verdana" w:hAnsi="Verdana"/>
          <w:sz w:val="16"/>
          <w:szCs w:val="16"/>
        </w:rPr>
        <w:t xml:space="preserve"> y otros.</w:t>
      </w:r>
    </w:p>
  </w:footnote>
  <w:footnote w:id="5">
    <w:p w:rsidR="006F56B0" w:rsidRPr="001820C6" w:rsidRDefault="006F56B0" w:rsidP="001820C6">
      <w:pPr>
        <w:pStyle w:val="Textonotapie"/>
        <w:ind w:right="1446"/>
        <w:jc w:val="both"/>
        <w:rPr>
          <w:rFonts w:ascii="Verdana" w:hAnsi="Verdana"/>
          <w:sz w:val="16"/>
          <w:szCs w:val="16"/>
          <w:lang w:val="es-CR"/>
        </w:rPr>
      </w:pPr>
      <w:r w:rsidRPr="001820C6">
        <w:rPr>
          <w:rStyle w:val="Refdenotaalpie"/>
          <w:rFonts w:ascii="Verdana" w:hAnsi="Verdana"/>
          <w:sz w:val="16"/>
          <w:szCs w:val="16"/>
        </w:rPr>
        <w:footnoteRef/>
      </w:r>
      <w:r w:rsidRPr="001820C6">
        <w:rPr>
          <w:rFonts w:ascii="Verdana" w:hAnsi="Verdana"/>
          <w:sz w:val="16"/>
          <w:szCs w:val="16"/>
          <w:lang w:val="es-CR"/>
        </w:rPr>
        <w:t xml:space="preserve"> </w:t>
      </w:r>
      <w:r w:rsidRPr="001820C6">
        <w:rPr>
          <w:rFonts w:ascii="Verdana" w:hAnsi="Verdana"/>
          <w:sz w:val="16"/>
          <w:szCs w:val="16"/>
          <w:lang w:val="es-CR"/>
        </w:rPr>
        <w:tab/>
        <w:t xml:space="preserve">Facultad que además </w:t>
      </w:r>
      <w:r w:rsidRPr="001820C6">
        <w:rPr>
          <w:rFonts w:ascii="Verdana" w:hAnsi="Verdana"/>
          <w:sz w:val="16"/>
          <w:szCs w:val="16"/>
          <w:lang w:val="es-ES"/>
        </w:rPr>
        <w:t xml:space="preserve">se desprende de lo dispuesto en los artículos 33, 62.1, 62.3 y 65 de la Convención Americana y </w:t>
      </w:r>
      <w:r w:rsidRPr="001820C6">
        <w:rPr>
          <w:rFonts w:ascii="Verdana" w:hAnsi="Verdana"/>
          <w:sz w:val="16"/>
          <w:szCs w:val="16"/>
          <w:lang w:val="es-CR"/>
        </w:rPr>
        <w:t>30 de su Estatuto y se encuentra regulada en el artículo 69 de su Reglamento.</w:t>
      </w:r>
    </w:p>
  </w:footnote>
  <w:footnote w:id="6">
    <w:p w:rsidR="001820C6" w:rsidRPr="001820C6" w:rsidRDefault="001820C6" w:rsidP="001820C6">
      <w:pPr>
        <w:pStyle w:val="Textonotapie"/>
        <w:jc w:val="both"/>
        <w:rPr>
          <w:rFonts w:ascii="Verdana" w:hAnsi="Verdana"/>
          <w:sz w:val="16"/>
          <w:szCs w:val="16"/>
        </w:rPr>
      </w:pPr>
      <w:r w:rsidRPr="001820C6">
        <w:rPr>
          <w:rStyle w:val="Refdenotaalpie"/>
          <w:rFonts w:ascii="Verdana" w:hAnsi="Verdana"/>
          <w:sz w:val="16"/>
          <w:szCs w:val="16"/>
        </w:rPr>
        <w:footnoteRef/>
      </w:r>
      <w:r w:rsidRPr="001820C6">
        <w:rPr>
          <w:rFonts w:ascii="Verdana" w:hAnsi="Verdana"/>
          <w:sz w:val="16"/>
          <w:szCs w:val="16"/>
        </w:rPr>
        <w:t xml:space="preserve"> </w:t>
      </w:r>
      <w:r w:rsidRPr="001820C6">
        <w:rPr>
          <w:rFonts w:ascii="Verdana" w:hAnsi="Verdana"/>
          <w:sz w:val="16"/>
          <w:szCs w:val="16"/>
        </w:rPr>
        <w:tab/>
        <w:t>Puntos resolutivos noveno a décimo cuarto de la Sentencia.</w:t>
      </w:r>
    </w:p>
  </w:footnote>
  <w:footnote w:id="7">
    <w:p w:rsidR="001820C6" w:rsidRPr="001820C6" w:rsidRDefault="001820C6" w:rsidP="00082D1F">
      <w:pPr>
        <w:pStyle w:val="Textonotapie"/>
        <w:ind w:right="1444"/>
        <w:jc w:val="both"/>
      </w:pPr>
      <w:r w:rsidRPr="001820C6">
        <w:rPr>
          <w:rStyle w:val="Refdenotaalpie"/>
          <w:rFonts w:ascii="Verdana" w:hAnsi="Verdana"/>
          <w:sz w:val="16"/>
          <w:szCs w:val="16"/>
        </w:rPr>
        <w:footnoteRef/>
      </w:r>
      <w:r w:rsidRPr="001820C6">
        <w:rPr>
          <w:rFonts w:ascii="Verdana" w:hAnsi="Verdana"/>
          <w:sz w:val="16"/>
          <w:szCs w:val="16"/>
        </w:rPr>
        <w:t xml:space="preserve"> </w:t>
      </w:r>
      <w:r w:rsidRPr="001820C6">
        <w:rPr>
          <w:rFonts w:ascii="Verdana" w:hAnsi="Verdana"/>
          <w:sz w:val="16"/>
          <w:szCs w:val="16"/>
        </w:rPr>
        <w:tab/>
      </w:r>
      <w:r w:rsidR="00082D1F">
        <w:rPr>
          <w:rFonts w:ascii="Verdana" w:hAnsi="Verdana"/>
          <w:sz w:val="16"/>
          <w:szCs w:val="16"/>
        </w:rPr>
        <w:t>En el p</w:t>
      </w:r>
      <w:r w:rsidRPr="001820C6">
        <w:rPr>
          <w:rFonts w:ascii="Verdana" w:hAnsi="Verdana"/>
          <w:sz w:val="16"/>
          <w:szCs w:val="16"/>
        </w:rPr>
        <w:t>unto resolutiv</w:t>
      </w:r>
      <w:r w:rsidR="00082D1F">
        <w:rPr>
          <w:rFonts w:ascii="Verdana" w:hAnsi="Verdana"/>
          <w:sz w:val="16"/>
          <w:szCs w:val="16"/>
        </w:rPr>
        <w:t>o décimo quinto y el párrafo 332 de la Sentencia, “la Corte orden[</w:t>
      </w:r>
      <w:proofErr w:type="spellStart"/>
      <w:r w:rsidR="00082D1F">
        <w:rPr>
          <w:rFonts w:ascii="Verdana" w:hAnsi="Verdana"/>
          <w:sz w:val="16"/>
          <w:szCs w:val="16"/>
        </w:rPr>
        <w:t>ó</w:t>
      </w:r>
      <w:proofErr w:type="spellEnd"/>
      <w:r w:rsidR="00082D1F">
        <w:rPr>
          <w:rFonts w:ascii="Verdana" w:hAnsi="Verdana"/>
          <w:sz w:val="16"/>
          <w:szCs w:val="16"/>
        </w:rPr>
        <w:t xml:space="preserve">] al Estado el reintegro a[l] Fondo [de Asistencia Legal de Víctimas] por la cantidad de US$2.725,17 (dos mil setecientos veinticinco </w:t>
      </w:r>
      <w:proofErr w:type="spellStart"/>
      <w:r w:rsidR="00082D1F">
        <w:rPr>
          <w:rFonts w:ascii="Verdana" w:hAnsi="Verdana"/>
          <w:sz w:val="16"/>
          <w:szCs w:val="16"/>
        </w:rPr>
        <w:t>dólates</w:t>
      </w:r>
      <w:proofErr w:type="spellEnd"/>
      <w:r w:rsidR="00082D1F">
        <w:rPr>
          <w:rFonts w:ascii="Verdana" w:hAnsi="Verdana"/>
          <w:sz w:val="16"/>
          <w:szCs w:val="16"/>
        </w:rPr>
        <w:t xml:space="preserve"> de los Estados Unidos de América con diecisiete centavos) por los gastos incurridos” durante la tramitación del presente caso”, y que dicho reintegro debía ser realizado “en el plazo de noventa días, contados a partir de la notificación del […] Fallo”. </w:t>
      </w:r>
    </w:p>
  </w:footnote>
  <w:footnote w:id="8">
    <w:p w:rsidR="005F5D8C" w:rsidRPr="005F5D8C" w:rsidRDefault="00A547C9" w:rsidP="00A547C9">
      <w:pPr>
        <w:pStyle w:val="Textonotapie"/>
        <w:ind w:right="1444"/>
        <w:jc w:val="both"/>
        <w:rPr>
          <w:rFonts w:ascii="Verdana" w:hAnsi="Verdana"/>
          <w:sz w:val="16"/>
          <w:szCs w:val="16"/>
        </w:rPr>
      </w:pPr>
      <w:r w:rsidRPr="001D0A5D">
        <w:rPr>
          <w:rStyle w:val="Refdenotaalpie"/>
          <w:rFonts w:ascii="Verdana" w:hAnsi="Verdana"/>
          <w:sz w:val="16"/>
          <w:szCs w:val="16"/>
        </w:rPr>
        <w:footnoteRef/>
      </w:r>
      <w:r w:rsidRPr="001D0A5D">
        <w:rPr>
          <w:rFonts w:ascii="Verdana" w:hAnsi="Verdana"/>
          <w:sz w:val="16"/>
          <w:szCs w:val="16"/>
        </w:rPr>
        <w:t xml:space="preserve"> </w:t>
      </w:r>
      <w:r w:rsidRPr="001D0A5D">
        <w:rPr>
          <w:rFonts w:ascii="Verdana" w:hAnsi="Verdana"/>
          <w:sz w:val="16"/>
          <w:szCs w:val="16"/>
        </w:rPr>
        <w:tab/>
      </w:r>
      <w:r w:rsidR="001D0A5D" w:rsidRPr="001D0A5D">
        <w:rPr>
          <w:rFonts w:ascii="Verdana" w:hAnsi="Verdana"/>
          <w:sz w:val="16"/>
          <w:szCs w:val="16"/>
        </w:rPr>
        <w:t>La Corte reitera</w:t>
      </w:r>
      <w:r w:rsidRPr="001D0A5D">
        <w:rPr>
          <w:rFonts w:ascii="Verdana" w:hAnsi="Verdana"/>
          <w:sz w:val="16"/>
          <w:szCs w:val="16"/>
        </w:rPr>
        <w:t xml:space="preserve"> la importancia de que los Estados cumplan con realizar los reintegros correspondientes a</w:t>
      </w:r>
      <w:r w:rsidR="001D0A5D" w:rsidRPr="001D0A5D">
        <w:rPr>
          <w:rFonts w:ascii="Verdana" w:hAnsi="Verdana"/>
          <w:sz w:val="16"/>
          <w:szCs w:val="16"/>
        </w:rPr>
        <w:t xml:space="preserve"> dicho</w:t>
      </w:r>
      <w:r w:rsidRPr="001D0A5D">
        <w:rPr>
          <w:rFonts w:ascii="Verdana" w:hAnsi="Verdana"/>
          <w:sz w:val="16"/>
          <w:szCs w:val="16"/>
        </w:rPr>
        <w:t xml:space="preserve"> Fondo, ya que los recursos disponibles actualmente en el mismo </w:t>
      </w:r>
      <w:r w:rsidR="001D0A5D" w:rsidRPr="001D0A5D">
        <w:rPr>
          <w:rFonts w:ascii="Verdana" w:hAnsi="Verdana"/>
          <w:sz w:val="16"/>
          <w:szCs w:val="16"/>
        </w:rPr>
        <w:t>dependen</w:t>
      </w:r>
      <w:r w:rsidR="005F5D8C" w:rsidRPr="001D0A5D">
        <w:rPr>
          <w:rFonts w:ascii="Verdana" w:hAnsi="Verdana"/>
          <w:sz w:val="16"/>
          <w:szCs w:val="16"/>
        </w:rPr>
        <w:t xml:space="preserve"> de los aportes de capital voluntarios de fuentes cooperantes y del aporte de un Estado miembro de la OEA, así como de los reintegros que realicen los Estados responsables. </w:t>
      </w:r>
      <w:r w:rsidRPr="001D0A5D">
        <w:rPr>
          <w:rFonts w:ascii="Verdana" w:hAnsi="Verdana"/>
          <w:sz w:val="16"/>
          <w:szCs w:val="16"/>
        </w:rPr>
        <w:t xml:space="preserve">Su adecuado funcionamiento y la disponibilidad de sus recursos tienen como propósito garantizar el acceso a la justicia interamericana de aquellas presuntas víctimas que carezcan de recursos económicos para ello. En consecuencia, la falta de cumplimiento oportuno de los Estados del reintegro al Fondo afecta de forma directa su sostenibilidad y, sobre todo, el acceso a la justicia de las presuntas víctimas </w:t>
      </w:r>
      <w:r w:rsidR="005F5D8C" w:rsidRPr="001D0A5D">
        <w:rPr>
          <w:rFonts w:ascii="Verdana" w:hAnsi="Verdana"/>
          <w:sz w:val="16"/>
          <w:szCs w:val="16"/>
        </w:rPr>
        <w:t xml:space="preserve">y, de ser el caso, víctimas </w:t>
      </w:r>
      <w:r w:rsidRPr="001D0A5D">
        <w:rPr>
          <w:rFonts w:ascii="Verdana" w:hAnsi="Verdana"/>
          <w:sz w:val="16"/>
          <w:szCs w:val="16"/>
        </w:rPr>
        <w:t xml:space="preserve">ante este Tribunal. </w:t>
      </w:r>
      <w:r w:rsidRPr="001D0A5D">
        <w:rPr>
          <w:rFonts w:ascii="Verdana" w:hAnsi="Verdana"/>
          <w:i/>
          <w:sz w:val="16"/>
          <w:szCs w:val="16"/>
        </w:rPr>
        <w:t>Cfr.</w:t>
      </w:r>
      <w:r w:rsidRPr="009F49EF">
        <w:rPr>
          <w:rFonts w:ascii="Verdana" w:hAnsi="Verdana"/>
          <w:sz w:val="16"/>
          <w:szCs w:val="16"/>
        </w:rPr>
        <w:t xml:space="preserve"> </w:t>
      </w:r>
      <w:r w:rsidR="005F5D8C" w:rsidRPr="001D0A5D">
        <w:rPr>
          <w:rStyle w:val="Textoennegrita"/>
          <w:rFonts w:ascii="Verdana" w:hAnsi="Verdana"/>
          <w:b w:val="0"/>
          <w:i/>
          <w:color w:val="000000"/>
          <w:sz w:val="16"/>
          <w:szCs w:val="16"/>
          <w:shd w:val="clear" w:color="auto" w:fill="FFFFFF"/>
        </w:rPr>
        <w:t xml:space="preserve">Caso Familia Barrios Vs. Venezuela. Supervisión de Cumplimiento de Sentencia. </w:t>
      </w:r>
      <w:r w:rsidR="005F5D8C" w:rsidRPr="001D0A5D">
        <w:rPr>
          <w:rStyle w:val="Textoennegrita"/>
          <w:rFonts w:ascii="Verdana" w:hAnsi="Verdana"/>
          <w:b w:val="0"/>
          <w:color w:val="000000"/>
          <w:sz w:val="16"/>
          <w:szCs w:val="16"/>
          <w:shd w:val="clear" w:color="auto" w:fill="FFFFFF"/>
        </w:rPr>
        <w:t>Resolución de la Corte Interamericana de Derechos Humanos de 23 de febrero de 2016, Considerando sexto.</w:t>
      </w:r>
      <w:r w:rsidR="005F5D8C" w:rsidRPr="005F5D8C">
        <w:rPr>
          <w:rStyle w:val="Textoennegrita"/>
          <w:rFonts w:ascii="Verdana" w:hAnsi="Verdana"/>
          <w:b w:val="0"/>
          <w:color w:val="000000"/>
          <w:sz w:val="16"/>
          <w:szCs w:val="16"/>
          <w:shd w:val="clear" w:color="auto" w:fill="FFFFFF"/>
        </w:rPr>
        <w:t xml:space="preserve"> </w:t>
      </w:r>
    </w:p>
  </w:footnote>
  <w:footnote w:id="9">
    <w:p w:rsidR="008B5826" w:rsidRPr="003E4C44" w:rsidRDefault="008B5826" w:rsidP="008B5826">
      <w:pPr>
        <w:pStyle w:val="Textonotapie"/>
        <w:ind w:right="1446"/>
        <w:jc w:val="both"/>
        <w:rPr>
          <w:rFonts w:ascii="Verdana" w:hAnsi="Verdana"/>
          <w:sz w:val="16"/>
          <w:szCs w:val="16"/>
          <w:lang w:val="es-CR"/>
        </w:rPr>
      </w:pPr>
      <w:r w:rsidRPr="003447E3">
        <w:rPr>
          <w:rStyle w:val="Refdenotaalpie"/>
          <w:rFonts w:ascii="Verdana" w:hAnsi="Verdana"/>
          <w:sz w:val="16"/>
          <w:szCs w:val="16"/>
        </w:rPr>
        <w:footnoteRef/>
      </w:r>
      <w:r w:rsidRPr="003447E3">
        <w:rPr>
          <w:rFonts w:ascii="Verdana" w:hAnsi="Verdana"/>
          <w:sz w:val="16"/>
          <w:szCs w:val="16"/>
        </w:rPr>
        <w:t xml:space="preserve"> </w:t>
      </w:r>
      <w:r w:rsidR="001626CA">
        <w:rPr>
          <w:rFonts w:ascii="Verdana" w:hAnsi="Verdana"/>
          <w:sz w:val="16"/>
          <w:szCs w:val="16"/>
        </w:rPr>
        <w:tab/>
      </w:r>
      <w:r w:rsidRPr="009F49EF">
        <w:rPr>
          <w:rFonts w:ascii="Verdana" w:hAnsi="Verdana"/>
          <w:i/>
          <w:sz w:val="16"/>
          <w:szCs w:val="16"/>
        </w:rPr>
        <w:t>Cfr. Caso Cinco Pensionistas Vs. Perú.</w:t>
      </w:r>
      <w:r w:rsidRPr="003447E3">
        <w:rPr>
          <w:rFonts w:ascii="Verdana" w:hAnsi="Verdana"/>
          <w:sz w:val="16"/>
          <w:szCs w:val="16"/>
        </w:rPr>
        <w:t xml:space="preserve"> Supervisión de Cumplimiento de Sentencia. Resolución de la Corte de 17 de noviembre de 2004, Considerando quinto, y </w:t>
      </w:r>
      <w:r w:rsidR="001626CA" w:rsidRPr="009F49EF">
        <w:rPr>
          <w:rStyle w:val="Textoennegrita"/>
          <w:rFonts w:ascii="Verdana" w:hAnsi="Verdana"/>
          <w:b w:val="0"/>
          <w:i/>
          <w:color w:val="000000"/>
          <w:sz w:val="16"/>
          <w:szCs w:val="16"/>
          <w:shd w:val="clear" w:color="auto" w:fill="FFFFFF"/>
        </w:rPr>
        <w:t xml:space="preserve">Casos Chocrón </w:t>
      </w:r>
      <w:proofErr w:type="spellStart"/>
      <w:r w:rsidR="001626CA" w:rsidRPr="009F49EF">
        <w:rPr>
          <w:rStyle w:val="Textoennegrita"/>
          <w:rFonts w:ascii="Verdana" w:hAnsi="Verdana"/>
          <w:b w:val="0"/>
          <w:i/>
          <w:color w:val="000000"/>
          <w:sz w:val="16"/>
          <w:szCs w:val="16"/>
          <w:shd w:val="clear" w:color="auto" w:fill="FFFFFF"/>
        </w:rPr>
        <w:t>Chocrón</w:t>
      </w:r>
      <w:proofErr w:type="spellEnd"/>
      <w:r w:rsidR="001626CA" w:rsidRPr="009F49EF">
        <w:rPr>
          <w:rStyle w:val="Textoennegrita"/>
          <w:rFonts w:ascii="Verdana" w:hAnsi="Verdana"/>
          <w:b w:val="0"/>
          <w:i/>
          <w:color w:val="000000"/>
          <w:sz w:val="16"/>
          <w:szCs w:val="16"/>
          <w:shd w:val="clear" w:color="auto" w:fill="FFFFFF"/>
        </w:rPr>
        <w:t xml:space="preserve">, Díaz Peña, y </w:t>
      </w:r>
      <w:proofErr w:type="spellStart"/>
      <w:r w:rsidR="001626CA" w:rsidRPr="009F49EF">
        <w:rPr>
          <w:rStyle w:val="Textoennegrita"/>
          <w:rFonts w:ascii="Verdana" w:hAnsi="Verdana"/>
          <w:b w:val="0"/>
          <w:i/>
          <w:color w:val="000000"/>
          <w:sz w:val="16"/>
          <w:szCs w:val="16"/>
          <w:shd w:val="clear" w:color="auto" w:fill="FFFFFF"/>
        </w:rPr>
        <w:t>Uzcátegui</w:t>
      </w:r>
      <w:proofErr w:type="spellEnd"/>
      <w:r w:rsidR="001626CA" w:rsidRPr="009F49EF">
        <w:rPr>
          <w:rStyle w:val="Textoennegrita"/>
          <w:rFonts w:ascii="Verdana" w:hAnsi="Verdana"/>
          <w:b w:val="0"/>
          <w:i/>
          <w:color w:val="000000"/>
          <w:sz w:val="16"/>
          <w:szCs w:val="16"/>
          <w:shd w:val="clear" w:color="auto" w:fill="FFFFFF"/>
        </w:rPr>
        <w:t xml:space="preserve"> y otros Vs. Venezuela. Supervisión de Cumplimiento de Sentencias.</w:t>
      </w:r>
      <w:r w:rsidR="001626CA" w:rsidRPr="009F49EF">
        <w:rPr>
          <w:rStyle w:val="Textoennegrita"/>
          <w:rFonts w:ascii="Verdana" w:hAnsi="Verdana"/>
          <w:b w:val="0"/>
          <w:color w:val="000000"/>
          <w:sz w:val="16"/>
          <w:szCs w:val="16"/>
          <w:shd w:val="clear" w:color="auto" w:fill="FFFFFF"/>
        </w:rPr>
        <w:t xml:space="preserve"> Resolución de la Corte Interamericana de Derechos Humanos de 20 de noviembre de 2015, Considerando cuarto.</w:t>
      </w:r>
      <w:r w:rsidRPr="003447E3">
        <w:rPr>
          <w:rFonts w:ascii="Verdana" w:hAnsi="Verdana"/>
          <w:sz w:val="16"/>
          <w:szCs w:val="16"/>
          <w:lang w:val="es-CR"/>
        </w:rPr>
        <w:t xml:space="preserve"> </w:t>
      </w:r>
    </w:p>
  </w:footnote>
  <w:footnote w:id="10">
    <w:p w:rsidR="006F56B0" w:rsidRPr="003447E3" w:rsidRDefault="006F56B0" w:rsidP="0056079A">
      <w:pPr>
        <w:pStyle w:val="Textonotapie"/>
        <w:tabs>
          <w:tab w:val="left" w:pos="709"/>
        </w:tabs>
        <w:ind w:right="1446"/>
        <w:jc w:val="both"/>
        <w:rPr>
          <w:rFonts w:ascii="Verdana" w:hAnsi="Verdana"/>
          <w:color w:val="000000"/>
          <w:sz w:val="16"/>
          <w:szCs w:val="16"/>
          <w:lang w:val="es-CR"/>
        </w:rPr>
      </w:pPr>
      <w:r w:rsidRPr="003447E3">
        <w:rPr>
          <w:rStyle w:val="Refdenotaalpie"/>
          <w:rFonts w:ascii="Verdana" w:hAnsi="Verdana"/>
          <w:sz w:val="16"/>
          <w:szCs w:val="16"/>
        </w:rPr>
        <w:footnoteRef/>
      </w:r>
      <w:r w:rsidRPr="003447E3">
        <w:rPr>
          <w:rFonts w:ascii="Verdana" w:hAnsi="Verdana"/>
          <w:sz w:val="16"/>
          <w:szCs w:val="16"/>
          <w:lang w:val="es-CR"/>
        </w:rPr>
        <w:t xml:space="preserve"> </w:t>
      </w:r>
      <w:r w:rsidRPr="003447E3">
        <w:rPr>
          <w:rFonts w:ascii="Verdana" w:hAnsi="Verdana"/>
          <w:sz w:val="16"/>
          <w:szCs w:val="16"/>
          <w:lang w:val="es-CR"/>
        </w:rPr>
        <w:tab/>
      </w:r>
      <w:r w:rsidR="005F2BE2" w:rsidRPr="003447E3">
        <w:rPr>
          <w:rFonts w:ascii="Verdana" w:hAnsi="Verdana"/>
          <w:i/>
          <w:sz w:val="16"/>
          <w:szCs w:val="16"/>
          <w:lang w:val="es-MX"/>
        </w:rPr>
        <w:t>Cfr. Caso Castillo Petruzzi y otros Vs. Perú. Supervisión de Cumplimiento de Sentencia.</w:t>
      </w:r>
      <w:r w:rsidR="005F2BE2" w:rsidRPr="003447E3">
        <w:rPr>
          <w:rFonts w:ascii="Verdana" w:hAnsi="Verdana"/>
          <w:sz w:val="16"/>
          <w:szCs w:val="16"/>
          <w:lang w:val="es-MX"/>
        </w:rPr>
        <w:t xml:space="preserve"> Resolución de la Corte Interamericana de Derechos Humanos de 17 de noviembre de 1999, Considerando tercero, y</w:t>
      </w:r>
      <w:r w:rsidR="005F2BE2" w:rsidRPr="003447E3">
        <w:rPr>
          <w:rFonts w:ascii="Verdana" w:hAnsi="Verdana"/>
          <w:sz w:val="16"/>
          <w:szCs w:val="16"/>
          <w:lang w:val="es-AR"/>
        </w:rPr>
        <w:t xml:space="preserve">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9F49EF">
        <w:rPr>
          <w:rStyle w:val="Textoennegrita"/>
          <w:rFonts w:ascii="Verdana" w:hAnsi="Verdana"/>
          <w:b w:val="0"/>
          <w:color w:val="000000"/>
          <w:sz w:val="16"/>
          <w:szCs w:val="16"/>
          <w:shd w:val="clear" w:color="auto" w:fill="FFFFFF"/>
        </w:rPr>
        <w:t>nota 9</w:t>
      </w:r>
      <w:r w:rsidR="005F2BE2" w:rsidRPr="003447E3">
        <w:rPr>
          <w:rFonts w:ascii="Verdana" w:hAnsi="Verdana"/>
          <w:sz w:val="16"/>
          <w:szCs w:val="16"/>
          <w:lang w:val="es-AR"/>
        </w:rPr>
        <w:t>, Considerando quinto.</w:t>
      </w:r>
    </w:p>
  </w:footnote>
  <w:footnote w:id="11">
    <w:p w:rsidR="006F56B0" w:rsidRPr="003447E3" w:rsidRDefault="006F56B0" w:rsidP="0056079A">
      <w:pPr>
        <w:pStyle w:val="Textonotapie"/>
        <w:tabs>
          <w:tab w:val="left" w:pos="709"/>
        </w:tabs>
        <w:ind w:right="1446"/>
        <w:jc w:val="both"/>
        <w:rPr>
          <w:rFonts w:ascii="Verdana" w:hAnsi="Verdana"/>
          <w:sz w:val="16"/>
          <w:szCs w:val="16"/>
          <w:lang w:val="es-CR"/>
        </w:rPr>
      </w:pPr>
      <w:r w:rsidRPr="003447E3">
        <w:rPr>
          <w:rStyle w:val="Refdenotaalpie"/>
          <w:rFonts w:ascii="Verdana" w:hAnsi="Verdana"/>
          <w:sz w:val="16"/>
          <w:szCs w:val="16"/>
        </w:rPr>
        <w:footnoteRef/>
      </w:r>
      <w:r w:rsidRPr="003447E3">
        <w:rPr>
          <w:rFonts w:ascii="Verdana" w:hAnsi="Verdana"/>
          <w:sz w:val="16"/>
          <w:szCs w:val="16"/>
          <w:lang w:val="es-CR"/>
        </w:rPr>
        <w:t xml:space="preserve"> </w:t>
      </w:r>
      <w:r w:rsidRPr="003447E3">
        <w:rPr>
          <w:rFonts w:ascii="Verdana" w:hAnsi="Verdana"/>
          <w:sz w:val="16"/>
          <w:szCs w:val="16"/>
          <w:lang w:val="es-CR"/>
        </w:rPr>
        <w:tab/>
      </w:r>
      <w:r w:rsidR="00BD142B" w:rsidRPr="003447E3">
        <w:rPr>
          <w:rFonts w:ascii="Verdana" w:hAnsi="Verdana"/>
          <w:i/>
          <w:sz w:val="16"/>
          <w:szCs w:val="16"/>
          <w:lang w:val="es-CR"/>
        </w:rPr>
        <w:t>Cfr.</w:t>
      </w:r>
      <w:r w:rsidR="00BD142B" w:rsidRPr="003447E3">
        <w:rPr>
          <w:rFonts w:ascii="Verdana" w:hAnsi="Verdana"/>
          <w:sz w:val="16"/>
          <w:szCs w:val="16"/>
          <w:lang w:val="es-CR"/>
        </w:rPr>
        <w:t xml:space="preserve"> </w:t>
      </w:r>
      <w:r w:rsidR="00BD142B" w:rsidRPr="003447E3">
        <w:rPr>
          <w:rFonts w:ascii="Verdana" w:hAnsi="Verdana"/>
          <w:i/>
          <w:sz w:val="16"/>
          <w:szCs w:val="16"/>
          <w:lang w:val="es-CR"/>
        </w:rPr>
        <w:t xml:space="preserve">Caso Garrido y </w:t>
      </w:r>
      <w:proofErr w:type="spellStart"/>
      <w:r w:rsidR="00BD142B" w:rsidRPr="003447E3">
        <w:rPr>
          <w:rFonts w:ascii="Verdana" w:hAnsi="Verdana"/>
          <w:i/>
          <w:sz w:val="16"/>
          <w:szCs w:val="16"/>
          <w:lang w:val="es-CR"/>
        </w:rPr>
        <w:t>Baigorria</w:t>
      </w:r>
      <w:proofErr w:type="spellEnd"/>
      <w:r w:rsidR="00BD142B" w:rsidRPr="003447E3">
        <w:rPr>
          <w:rFonts w:ascii="Verdana" w:hAnsi="Verdana"/>
          <w:i/>
          <w:sz w:val="16"/>
          <w:szCs w:val="16"/>
          <w:lang w:val="es-CR"/>
        </w:rPr>
        <w:t xml:space="preserve"> Vs. Argentina. Reparaciones y costas.</w:t>
      </w:r>
      <w:r w:rsidR="00BD142B" w:rsidRPr="003447E3">
        <w:rPr>
          <w:rFonts w:ascii="Verdana" w:hAnsi="Verdana"/>
          <w:sz w:val="16"/>
          <w:szCs w:val="16"/>
          <w:lang w:val="es-CR"/>
        </w:rPr>
        <w:t xml:space="preserve"> Sentencia de 27 de agosto de 1998. Serie C No. 39, párr. 40, y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A444E4">
        <w:rPr>
          <w:rStyle w:val="Textoennegrita"/>
          <w:rFonts w:ascii="Verdana" w:hAnsi="Verdana"/>
          <w:b w:val="0"/>
          <w:color w:val="000000"/>
          <w:sz w:val="16"/>
          <w:szCs w:val="16"/>
          <w:shd w:val="clear" w:color="auto" w:fill="FFFFFF"/>
        </w:rPr>
        <w:t>nota 9</w:t>
      </w:r>
      <w:r w:rsidR="00EB4974" w:rsidRPr="003447E3">
        <w:rPr>
          <w:rFonts w:ascii="Verdana" w:hAnsi="Verdana"/>
          <w:sz w:val="16"/>
          <w:szCs w:val="16"/>
          <w:lang w:val="es-AR"/>
        </w:rPr>
        <w:t>, Considerando quinto.</w:t>
      </w:r>
    </w:p>
  </w:footnote>
  <w:footnote w:id="12">
    <w:p w:rsidR="006F56B0" w:rsidRPr="003447E3" w:rsidRDefault="006F56B0" w:rsidP="0056079A">
      <w:pPr>
        <w:pStyle w:val="Textonotapie"/>
        <w:tabs>
          <w:tab w:val="left" w:pos="709"/>
        </w:tabs>
        <w:ind w:right="1446"/>
        <w:jc w:val="both"/>
        <w:rPr>
          <w:rFonts w:ascii="Verdana" w:hAnsi="Verdana"/>
          <w:color w:val="000000"/>
          <w:sz w:val="16"/>
          <w:szCs w:val="16"/>
          <w:lang w:val="es-CR"/>
        </w:rPr>
      </w:pPr>
      <w:r w:rsidRPr="003447E3">
        <w:rPr>
          <w:rStyle w:val="Refdenotaalpie"/>
          <w:rFonts w:ascii="Verdana" w:hAnsi="Verdana"/>
          <w:sz w:val="16"/>
          <w:szCs w:val="16"/>
        </w:rPr>
        <w:footnoteRef/>
      </w:r>
      <w:r w:rsidRPr="003447E3">
        <w:rPr>
          <w:rFonts w:ascii="Verdana" w:hAnsi="Verdana"/>
          <w:sz w:val="16"/>
          <w:szCs w:val="16"/>
          <w:lang w:val="es-CR"/>
        </w:rPr>
        <w:t xml:space="preserve"> </w:t>
      </w:r>
      <w:r w:rsidRPr="003447E3">
        <w:rPr>
          <w:rFonts w:ascii="Verdana" w:hAnsi="Verdana"/>
          <w:sz w:val="16"/>
          <w:szCs w:val="16"/>
          <w:lang w:val="es-CR"/>
        </w:rPr>
        <w:tab/>
      </w:r>
      <w:r w:rsidR="00BD142B" w:rsidRPr="003447E3">
        <w:rPr>
          <w:rFonts w:ascii="Verdana" w:hAnsi="Verdana"/>
          <w:i/>
          <w:sz w:val="16"/>
          <w:szCs w:val="16"/>
          <w:lang w:val="es-ES"/>
        </w:rPr>
        <w:t>Cfr.</w:t>
      </w:r>
      <w:r w:rsidR="00BD142B" w:rsidRPr="003447E3">
        <w:rPr>
          <w:rFonts w:ascii="Verdana" w:hAnsi="Verdana"/>
          <w:sz w:val="16"/>
          <w:szCs w:val="16"/>
          <w:lang w:val="es-ES"/>
        </w:rPr>
        <w:t xml:space="preserve"> </w:t>
      </w:r>
      <w:r w:rsidR="00BD142B" w:rsidRPr="003447E3">
        <w:rPr>
          <w:rFonts w:ascii="Verdana" w:hAnsi="Verdana"/>
          <w:bCs/>
          <w:i/>
          <w:color w:val="000000"/>
          <w:sz w:val="16"/>
          <w:szCs w:val="16"/>
          <w:lang w:val="es-CR"/>
        </w:rPr>
        <w:t>Caso Castillo Páez Vs. Perú</w:t>
      </w:r>
      <w:r w:rsidR="00BD142B" w:rsidRPr="003447E3">
        <w:rPr>
          <w:rFonts w:ascii="Verdana" w:hAnsi="Verdana"/>
          <w:bCs/>
          <w:color w:val="000000"/>
          <w:sz w:val="16"/>
          <w:szCs w:val="16"/>
          <w:lang w:val="es-CR"/>
        </w:rPr>
        <w:t xml:space="preserve">. </w:t>
      </w:r>
      <w:r w:rsidR="00BD142B" w:rsidRPr="003447E3">
        <w:rPr>
          <w:rFonts w:ascii="Verdana" w:hAnsi="Verdana"/>
          <w:i/>
          <w:color w:val="000000"/>
          <w:sz w:val="16"/>
          <w:szCs w:val="16"/>
          <w:lang w:val="es-CR"/>
        </w:rPr>
        <w:t>Reparaciones y Costas.</w:t>
      </w:r>
      <w:r w:rsidR="00BD142B" w:rsidRPr="003447E3">
        <w:rPr>
          <w:rFonts w:ascii="Verdana" w:hAnsi="Verdana"/>
          <w:color w:val="000000"/>
          <w:sz w:val="16"/>
          <w:szCs w:val="16"/>
          <w:lang w:val="es-CR"/>
        </w:rPr>
        <w:t xml:space="preserve"> Sentencia de 27 de noviembre de 1998. Serie C No. 43, párr. 50,</w:t>
      </w:r>
      <w:r w:rsidR="00BD142B" w:rsidRPr="003447E3">
        <w:rPr>
          <w:rFonts w:ascii="Verdana" w:hAnsi="Verdana"/>
          <w:sz w:val="16"/>
          <w:szCs w:val="16"/>
          <w:lang w:val="es-CR"/>
        </w:rPr>
        <w:t xml:space="preserve"> y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A444E4">
        <w:rPr>
          <w:rStyle w:val="Textoennegrita"/>
          <w:rFonts w:ascii="Verdana" w:hAnsi="Verdana"/>
          <w:b w:val="0"/>
          <w:color w:val="000000"/>
          <w:sz w:val="16"/>
          <w:szCs w:val="16"/>
          <w:shd w:val="clear" w:color="auto" w:fill="FFFFFF"/>
        </w:rPr>
        <w:t>nota 9</w:t>
      </w:r>
      <w:r w:rsidR="00EB4974" w:rsidRPr="003447E3">
        <w:rPr>
          <w:rFonts w:ascii="Verdana" w:hAnsi="Verdana"/>
          <w:sz w:val="16"/>
          <w:szCs w:val="16"/>
          <w:lang w:val="es-AR"/>
        </w:rPr>
        <w:t>, Considerando quinto.</w:t>
      </w:r>
    </w:p>
  </w:footnote>
  <w:footnote w:id="13">
    <w:p w:rsidR="006F56B0" w:rsidRPr="008F6DF3" w:rsidRDefault="006F56B0" w:rsidP="0056079A">
      <w:pPr>
        <w:pStyle w:val="Textonotapie"/>
        <w:tabs>
          <w:tab w:val="left" w:pos="709"/>
        </w:tabs>
        <w:ind w:right="1446"/>
        <w:jc w:val="both"/>
        <w:rPr>
          <w:rFonts w:ascii="Verdana" w:hAnsi="Verdana"/>
          <w:sz w:val="16"/>
          <w:szCs w:val="16"/>
          <w:lang w:val="es-CR"/>
        </w:rPr>
      </w:pPr>
      <w:r w:rsidRPr="003447E3">
        <w:rPr>
          <w:rStyle w:val="Refdenotaalpie"/>
          <w:rFonts w:ascii="Verdana" w:hAnsi="Verdana"/>
          <w:sz w:val="16"/>
          <w:szCs w:val="16"/>
        </w:rPr>
        <w:footnoteRef/>
      </w:r>
      <w:r w:rsidRPr="003447E3">
        <w:rPr>
          <w:rFonts w:ascii="Verdana" w:hAnsi="Verdana"/>
          <w:sz w:val="16"/>
          <w:szCs w:val="16"/>
          <w:lang w:val="es-CR"/>
        </w:rPr>
        <w:t xml:space="preserve"> </w:t>
      </w:r>
      <w:r w:rsidRPr="003447E3">
        <w:rPr>
          <w:rFonts w:ascii="Verdana" w:hAnsi="Verdana"/>
          <w:sz w:val="16"/>
          <w:szCs w:val="16"/>
          <w:lang w:val="es-CR"/>
        </w:rPr>
        <w:tab/>
      </w:r>
      <w:r w:rsidRPr="003447E3">
        <w:rPr>
          <w:rFonts w:ascii="Verdana" w:hAnsi="Verdana"/>
          <w:i/>
          <w:sz w:val="16"/>
          <w:szCs w:val="16"/>
          <w:lang w:val="pl-PL"/>
        </w:rPr>
        <w:t>Cfr</w:t>
      </w:r>
      <w:r w:rsidRPr="008F6DF3">
        <w:rPr>
          <w:rFonts w:ascii="Verdana" w:hAnsi="Verdana"/>
          <w:sz w:val="16"/>
          <w:szCs w:val="16"/>
          <w:lang w:val="pl-PL"/>
        </w:rPr>
        <w:t xml:space="preserve">. </w:t>
      </w:r>
      <w:r w:rsidR="00727E2C" w:rsidRPr="008F6DF3">
        <w:rPr>
          <w:rFonts w:ascii="Verdana" w:hAnsi="Verdana"/>
          <w:i/>
          <w:sz w:val="16"/>
          <w:szCs w:val="16"/>
          <w:lang w:val="es-CR"/>
        </w:rPr>
        <w:t>Caso Barrios Altos</w:t>
      </w:r>
      <w:r w:rsidRPr="008F6DF3">
        <w:rPr>
          <w:rFonts w:ascii="Verdana" w:hAnsi="Verdana"/>
          <w:i/>
          <w:sz w:val="16"/>
          <w:szCs w:val="16"/>
          <w:lang w:val="es-CR"/>
        </w:rPr>
        <w:t xml:space="preserve"> Vs. </w:t>
      </w:r>
      <w:r w:rsidR="00727E2C" w:rsidRPr="008F6DF3">
        <w:rPr>
          <w:rFonts w:ascii="Verdana" w:hAnsi="Verdana"/>
          <w:i/>
          <w:sz w:val="16"/>
          <w:szCs w:val="16"/>
          <w:lang w:val="es-CR"/>
        </w:rPr>
        <w:t>Perú</w:t>
      </w:r>
      <w:r w:rsidRPr="008F6DF3">
        <w:rPr>
          <w:rFonts w:ascii="Verdana" w:hAnsi="Verdana"/>
          <w:i/>
          <w:sz w:val="16"/>
          <w:szCs w:val="16"/>
          <w:lang w:val="es-CR"/>
        </w:rPr>
        <w:t>. Supervisión de Cumplimiento de Sentencia.</w:t>
      </w:r>
      <w:r w:rsidRPr="003E4C44">
        <w:rPr>
          <w:rFonts w:ascii="Verdana" w:hAnsi="Verdana"/>
          <w:sz w:val="16"/>
          <w:szCs w:val="16"/>
          <w:lang w:val="es-CR"/>
        </w:rPr>
        <w:t xml:space="preserve"> Resolución de la Corte Interamericana de Derechos Humanos de </w:t>
      </w:r>
      <w:r w:rsidR="00727E2C" w:rsidRPr="00532828">
        <w:rPr>
          <w:rFonts w:ascii="Verdana" w:hAnsi="Verdana"/>
          <w:sz w:val="16"/>
          <w:szCs w:val="16"/>
          <w:lang w:val="es-CR"/>
        </w:rPr>
        <w:t>2</w:t>
      </w:r>
      <w:r w:rsidR="00727E2C" w:rsidRPr="00D75F39">
        <w:rPr>
          <w:rFonts w:ascii="Verdana" w:hAnsi="Verdana"/>
          <w:sz w:val="16"/>
          <w:szCs w:val="16"/>
          <w:lang w:val="es-CR"/>
        </w:rPr>
        <w:t xml:space="preserve">2 </w:t>
      </w:r>
      <w:r w:rsidRPr="00D75F39">
        <w:rPr>
          <w:rFonts w:ascii="Verdana" w:hAnsi="Verdana"/>
          <w:sz w:val="16"/>
          <w:szCs w:val="16"/>
          <w:lang w:val="es-CR"/>
        </w:rPr>
        <w:t xml:space="preserve">de </w:t>
      </w:r>
      <w:r w:rsidR="00727E2C" w:rsidRPr="00D75F39">
        <w:rPr>
          <w:rFonts w:ascii="Verdana" w:hAnsi="Verdana"/>
          <w:sz w:val="16"/>
          <w:szCs w:val="16"/>
          <w:lang w:val="es-CR"/>
        </w:rPr>
        <w:t xml:space="preserve">septiembre </w:t>
      </w:r>
      <w:r w:rsidRPr="00D75F39">
        <w:rPr>
          <w:rFonts w:ascii="Verdana" w:hAnsi="Verdana"/>
          <w:sz w:val="16"/>
          <w:szCs w:val="16"/>
          <w:lang w:val="es-CR"/>
        </w:rPr>
        <w:t xml:space="preserve">de </w:t>
      </w:r>
      <w:r w:rsidR="00727E2C" w:rsidRPr="00617588">
        <w:rPr>
          <w:rFonts w:ascii="Verdana" w:hAnsi="Verdana"/>
          <w:sz w:val="16"/>
          <w:szCs w:val="16"/>
          <w:lang w:val="es-CR"/>
        </w:rPr>
        <w:t>2005</w:t>
      </w:r>
      <w:r w:rsidRPr="00617588">
        <w:rPr>
          <w:rFonts w:ascii="Verdana" w:hAnsi="Verdana"/>
          <w:sz w:val="16"/>
          <w:szCs w:val="16"/>
          <w:lang w:val="es-CR"/>
        </w:rPr>
        <w:t xml:space="preserve">, Considerando </w:t>
      </w:r>
      <w:r w:rsidR="00727E2C" w:rsidRPr="00617588">
        <w:rPr>
          <w:rFonts w:ascii="Verdana" w:hAnsi="Verdana"/>
          <w:sz w:val="16"/>
          <w:szCs w:val="16"/>
          <w:lang w:val="es-CR"/>
        </w:rPr>
        <w:t xml:space="preserve">sétimo, y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A444E4">
        <w:rPr>
          <w:rStyle w:val="Textoennegrita"/>
          <w:rFonts w:ascii="Verdana" w:hAnsi="Verdana"/>
          <w:b w:val="0"/>
          <w:color w:val="000000"/>
          <w:sz w:val="16"/>
          <w:szCs w:val="16"/>
          <w:shd w:val="clear" w:color="auto" w:fill="FFFFFF"/>
        </w:rPr>
        <w:t>nota 9</w:t>
      </w:r>
      <w:r w:rsidR="00EB4974" w:rsidRPr="003447E3">
        <w:rPr>
          <w:rFonts w:ascii="Verdana" w:hAnsi="Verdana"/>
          <w:sz w:val="16"/>
          <w:szCs w:val="16"/>
          <w:lang w:val="es-AR"/>
        </w:rPr>
        <w:t>, Considerando quinto.</w:t>
      </w:r>
      <w:r w:rsidRPr="008F6DF3">
        <w:rPr>
          <w:rFonts w:ascii="Verdana" w:hAnsi="Verdana"/>
          <w:sz w:val="16"/>
          <w:szCs w:val="16"/>
          <w:lang w:val="es-CR"/>
        </w:rPr>
        <w:t xml:space="preserve"> </w:t>
      </w:r>
    </w:p>
  </w:footnote>
  <w:footnote w:id="14">
    <w:p w:rsidR="00D30244" w:rsidRPr="008B1D70" w:rsidRDefault="00D30244" w:rsidP="00D30244">
      <w:pPr>
        <w:pStyle w:val="Textoindependiente"/>
        <w:spacing w:after="0" w:line="240" w:lineRule="auto"/>
        <w:ind w:right="1446"/>
        <w:jc w:val="both"/>
        <w:rPr>
          <w:rFonts w:ascii="Verdana" w:hAnsi="Verdana"/>
          <w:bCs/>
          <w:sz w:val="16"/>
          <w:szCs w:val="16"/>
        </w:rPr>
      </w:pPr>
      <w:r w:rsidRPr="008B1D70">
        <w:rPr>
          <w:rStyle w:val="Refdenotaalpie"/>
          <w:rFonts w:ascii="Verdana" w:hAnsi="Verdana"/>
          <w:sz w:val="16"/>
          <w:szCs w:val="16"/>
        </w:rPr>
        <w:footnoteRef/>
      </w:r>
      <w:r w:rsidRPr="008B1D70">
        <w:rPr>
          <w:rFonts w:ascii="Verdana" w:hAnsi="Verdana"/>
          <w:sz w:val="16"/>
          <w:szCs w:val="16"/>
        </w:rPr>
        <w:t xml:space="preserve"> </w:t>
      </w:r>
      <w:r w:rsidRPr="008B1D70">
        <w:rPr>
          <w:rFonts w:ascii="Verdana" w:hAnsi="Verdana"/>
          <w:sz w:val="16"/>
          <w:szCs w:val="16"/>
        </w:rPr>
        <w:tab/>
      </w:r>
      <w:r w:rsidRPr="008B1D70">
        <w:rPr>
          <w:rFonts w:ascii="Verdana" w:hAnsi="Verdana"/>
          <w:i/>
          <w:sz w:val="16"/>
          <w:szCs w:val="16"/>
        </w:rPr>
        <w:t>Cfr.</w:t>
      </w:r>
      <w:r w:rsidRPr="008B1D70">
        <w:rPr>
          <w:rFonts w:ascii="Verdana" w:hAnsi="Verdana"/>
          <w:sz w:val="16"/>
          <w:szCs w:val="16"/>
        </w:rPr>
        <w:t xml:space="preserve"> </w:t>
      </w:r>
      <w:r w:rsidRPr="008B1D70">
        <w:rPr>
          <w:rFonts w:ascii="Verdana" w:hAnsi="Verdana"/>
          <w:i/>
          <w:sz w:val="16"/>
          <w:szCs w:val="16"/>
        </w:rPr>
        <w:t xml:space="preserve">Caso </w:t>
      </w:r>
      <w:r w:rsidRPr="008B1D70">
        <w:rPr>
          <w:rStyle w:val="Textoennegrita"/>
          <w:rFonts w:ascii="Verdana" w:hAnsi="Verdana"/>
          <w:b w:val="0"/>
          <w:i/>
          <w:sz w:val="16"/>
          <w:szCs w:val="16"/>
        </w:rPr>
        <w:t>Baena Ricardo y otros Vs. Panamá. Competencia.</w:t>
      </w:r>
      <w:r w:rsidRPr="008B1D70">
        <w:rPr>
          <w:rStyle w:val="Textoennegrita"/>
          <w:rFonts w:ascii="Verdana" w:hAnsi="Verdana"/>
          <w:b w:val="0"/>
          <w:sz w:val="16"/>
          <w:szCs w:val="16"/>
        </w:rPr>
        <w:t xml:space="preserve"> Sentencia de 28 de noviembre de 2003. Serie C No. 104, párr. 83</w:t>
      </w:r>
      <w:r w:rsidR="00EB4974">
        <w:rPr>
          <w:rStyle w:val="Textoennegrita"/>
          <w:rFonts w:ascii="Verdana" w:hAnsi="Verdana"/>
          <w:b w:val="0"/>
          <w:sz w:val="16"/>
          <w:szCs w:val="16"/>
        </w:rPr>
        <w:t>,</w:t>
      </w:r>
      <w:r w:rsidRPr="008B1D70">
        <w:rPr>
          <w:rStyle w:val="Textoennegrita"/>
          <w:rFonts w:ascii="Verdana" w:hAnsi="Verdana"/>
          <w:b w:val="0"/>
          <w:sz w:val="16"/>
          <w:szCs w:val="16"/>
        </w:rPr>
        <w:t xml:space="preserve"> y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A444E4">
        <w:rPr>
          <w:rStyle w:val="Textoennegrita"/>
          <w:rFonts w:ascii="Verdana" w:hAnsi="Verdana"/>
          <w:b w:val="0"/>
          <w:color w:val="000000"/>
          <w:sz w:val="16"/>
          <w:szCs w:val="16"/>
          <w:shd w:val="clear" w:color="auto" w:fill="FFFFFF"/>
        </w:rPr>
        <w:t>nota 9</w:t>
      </w:r>
      <w:r w:rsidR="00EB4974">
        <w:rPr>
          <w:rStyle w:val="Textoennegrita"/>
          <w:rFonts w:ascii="Verdana" w:hAnsi="Verdana"/>
          <w:b w:val="0"/>
          <w:i/>
          <w:color w:val="000000"/>
          <w:sz w:val="16"/>
          <w:szCs w:val="16"/>
          <w:shd w:val="clear" w:color="auto" w:fill="FFFFFF"/>
        </w:rPr>
        <w:t>,</w:t>
      </w:r>
      <w:r w:rsidR="00EB4974" w:rsidRPr="003447E3">
        <w:rPr>
          <w:rFonts w:ascii="Verdana" w:hAnsi="Verdana"/>
          <w:sz w:val="16"/>
          <w:szCs w:val="16"/>
          <w:lang w:val="es-AR"/>
        </w:rPr>
        <w:t xml:space="preserve"> Considerando quinto.</w:t>
      </w:r>
    </w:p>
  </w:footnote>
  <w:footnote w:id="15">
    <w:p w:rsidR="006F56B0" w:rsidRPr="00802B35" w:rsidRDefault="006F56B0" w:rsidP="0056079A">
      <w:pPr>
        <w:pStyle w:val="Textonotapie"/>
        <w:tabs>
          <w:tab w:val="left" w:pos="567"/>
        </w:tabs>
        <w:ind w:right="1446"/>
        <w:jc w:val="both"/>
        <w:rPr>
          <w:rFonts w:ascii="Verdana" w:hAnsi="Verdana"/>
          <w:color w:val="000000"/>
          <w:sz w:val="16"/>
          <w:szCs w:val="16"/>
          <w:lang w:val="es-CR"/>
        </w:rPr>
      </w:pPr>
      <w:r w:rsidRPr="008B1D70">
        <w:rPr>
          <w:rStyle w:val="Refdenotaalpie"/>
          <w:rFonts w:ascii="Verdana" w:hAnsi="Verdana"/>
          <w:sz w:val="16"/>
          <w:szCs w:val="16"/>
        </w:rPr>
        <w:footnoteRef/>
      </w:r>
      <w:r w:rsidRPr="008B1D70">
        <w:rPr>
          <w:rFonts w:ascii="Verdana" w:hAnsi="Verdana"/>
          <w:sz w:val="16"/>
          <w:szCs w:val="16"/>
        </w:rPr>
        <w:t xml:space="preserve"> </w:t>
      </w:r>
      <w:r w:rsidRPr="008B1D70">
        <w:rPr>
          <w:rFonts w:ascii="Verdana" w:hAnsi="Verdana"/>
          <w:sz w:val="16"/>
          <w:szCs w:val="16"/>
        </w:rPr>
        <w:tab/>
      </w:r>
      <w:r w:rsidRPr="008B1D70">
        <w:rPr>
          <w:rFonts w:ascii="Verdana" w:hAnsi="Verdana"/>
          <w:i/>
          <w:sz w:val="16"/>
          <w:szCs w:val="16"/>
        </w:rPr>
        <w:t xml:space="preserve">Cfr. Caso </w:t>
      </w:r>
      <w:proofErr w:type="spellStart"/>
      <w:r w:rsidRPr="008B1D70">
        <w:rPr>
          <w:rFonts w:ascii="Verdana" w:hAnsi="Verdana"/>
          <w:i/>
          <w:sz w:val="16"/>
          <w:szCs w:val="16"/>
        </w:rPr>
        <w:t>Caesar</w:t>
      </w:r>
      <w:proofErr w:type="spellEnd"/>
      <w:r w:rsidRPr="008B1D70">
        <w:rPr>
          <w:rFonts w:ascii="Verdana" w:hAnsi="Verdana"/>
          <w:i/>
          <w:sz w:val="16"/>
          <w:szCs w:val="16"/>
        </w:rPr>
        <w:t xml:space="preserve"> Vs. Trinidad y Tobago. Fondo, Reparaciones y Costas.</w:t>
      </w:r>
      <w:r w:rsidRPr="008B1D70">
        <w:rPr>
          <w:rFonts w:ascii="Verdana" w:hAnsi="Verdana"/>
          <w:sz w:val="16"/>
          <w:szCs w:val="16"/>
        </w:rPr>
        <w:t xml:space="preserve"> Sentencia de 11 de marzo de 2005. Serie C No. 123, párr. 38, y</w:t>
      </w:r>
      <w:r w:rsidRPr="008B1D70">
        <w:rPr>
          <w:rFonts w:ascii="Verdana" w:hAnsi="Verdana"/>
          <w:i/>
          <w:sz w:val="16"/>
          <w:szCs w:val="16"/>
        </w:rPr>
        <w:t xml:space="preserve">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A444E4">
        <w:rPr>
          <w:rStyle w:val="Textoennegrita"/>
          <w:rFonts w:ascii="Verdana" w:hAnsi="Verdana"/>
          <w:b w:val="0"/>
          <w:color w:val="000000"/>
          <w:sz w:val="16"/>
          <w:szCs w:val="16"/>
          <w:shd w:val="clear" w:color="auto" w:fill="FFFFFF"/>
        </w:rPr>
        <w:t>nota 9</w:t>
      </w:r>
      <w:r w:rsidR="00EB4974" w:rsidRPr="003447E3">
        <w:rPr>
          <w:rFonts w:ascii="Verdana" w:hAnsi="Verdana"/>
          <w:sz w:val="16"/>
          <w:szCs w:val="16"/>
          <w:lang w:val="es-AR"/>
        </w:rPr>
        <w:t xml:space="preserve">, Considerando </w:t>
      </w:r>
      <w:r w:rsidR="00EB4974">
        <w:rPr>
          <w:rFonts w:ascii="Verdana" w:hAnsi="Verdana"/>
          <w:sz w:val="16"/>
          <w:szCs w:val="16"/>
          <w:lang w:val="es-AR"/>
        </w:rPr>
        <w:t>sexto</w:t>
      </w:r>
      <w:r w:rsidR="00EB4974" w:rsidRPr="003447E3">
        <w:rPr>
          <w:rFonts w:ascii="Verdana" w:hAnsi="Verdana"/>
          <w:sz w:val="16"/>
          <w:szCs w:val="16"/>
          <w:lang w:val="es-AR"/>
        </w:rPr>
        <w:t>.</w:t>
      </w:r>
    </w:p>
  </w:footnote>
  <w:footnote w:id="16">
    <w:p w:rsidR="006F56B0" w:rsidRPr="00802B35" w:rsidRDefault="006F56B0" w:rsidP="0056079A">
      <w:pPr>
        <w:tabs>
          <w:tab w:val="left" w:pos="567"/>
          <w:tab w:val="left" w:pos="720"/>
          <w:tab w:val="left" w:pos="1440"/>
          <w:tab w:val="left" w:pos="2160"/>
        </w:tabs>
        <w:spacing w:line="240" w:lineRule="auto"/>
        <w:ind w:right="1446"/>
        <w:jc w:val="both"/>
        <w:rPr>
          <w:rFonts w:ascii="Verdana" w:hAnsi="Verdana"/>
          <w:sz w:val="16"/>
          <w:szCs w:val="16"/>
        </w:rPr>
      </w:pPr>
      <w:r w:rsidRPr="00802B35">
        <w:rPr>
          <w:rStyle w:val="Refdenotaalpie"/>
          <w:rFonts w:ascii="Verdana" w:hAnsi="Verdana"/>
          <w:sz w:val="16"/>
          <w:szCs w:val="16"/>
        </w:rPr>
        <w:footnoteRef/>
      </w:r>
      <w:r w:rsidRPr="00802B35">
        <w:rPr>
          <w:rFonts w:ascii="Verdana" w:hAnsi="Verdana"/>
          <w:sz w:val="16"/>
          <w:szCs w:val="16"/>
        </w:rPr>
        <w:t xml:space="preserve"> </w:t>
      </w:r>
      <w:r w:rsidRPr="00802B35">
        <w:rPr>
          <w:rFonts w:ascii="Verdana" w:hAnsi="Verdana"/>
          <w:sz w:val="16"/>
          <w:szCs w:val="16"/>
        </w:rPr>
        <w:tab/>
      </w:r>
      <w:r w:rsidR="00EB4974" w:rsidRPr="009F49EF">
        <w:rPr>
          <w:rFonts w:ascii="Verdana" w:hAnsi="Verdana"/>
          <w:i/>
          <w:sz w:val="16"/>
          <w:szCs w:val="16"/>
        </w:rPr>
        <w:t>Cfr.</w:t>
      </w:r>
      <w:r w:rsidR="003E4C44">
        <w:rPr>
          <w:rFonts w:ascii="Verdana" w:hAnsi="Verdana"/>
          <w:sz w:val="16"/>
          <w:szCs w:val="16"/>
        </w:rPr>
        <w:t xml:space="preserve"> </w:t>
      </w:r>
      <w:r w:rsidR="003E4C44">
        <w:rPr>
          <w:rFonts w:ascii="Verdana" w:hAnsi="Verdana"/>
          <w:i/>
          <w:sz w:val="16"/>
          <w:szCs w:val="16"/>
        </w:rPr>
        <w:t xml:space="preserve">Caso </w:t>
      </w:r>
      <w:proofErr w:type="spellStart"/>
      <w:r w:rsidR="003E4C44">
        <w:rPr>
          <w:rFonts w:ascii="Verdana" w:hAnsi="Verdana"/>
          <w:i/>
          <w:sz w:val="16"/>
          <w:szCs w:val="16"/>
        </w:rPr>
        <w:t>Caesar</w:t>
      </w:r>
      <w:proofErr w:type="spellEnd"/>
      <w:r w:rsidR="003E4C44">
        <w:rPr>
          <w:rFonts w:ascii="Verdana" w:hAnsi="Verdana"/>
          <w:i/>
          <w:sz w:val="16"/>
          <w:szCs w:val="16"/>
        </w:rPr>
        <w:t xml:space="preserve"> Vs. Trinidad y Tobago. Supervisión de Cumplimiento de Sentencia.</w:t>
      </w:r>
      <w:r w:rsidR="003E4C44">
        <w:rPr>
          <w:rFonts w:ascii="Verdana" w:hAnsi="Verdana"/>
          <w:sz w:val="16"/>
          <w:szCs w:val="16"/>
        </w:rPr>
        <w:t xml:space="preserve"> Resolución de la Corte Interamericana de Derechos Humanos de 21 de noviembre de 2007, Considerando décimo primero</w:t>
      </w:r>
      <w:r w:rsidR="00E34D51">
        <w:rPr>
          <w:rFonts w:ascii="Verdana" w:hAnsi="Verdana"/>
          <w:sz w:val="16"/>
          <w:szCs w:val="16"/>
        </w:rPr>
        <w:t>, y</w:t>
      </w:r>
      <w:r w:rsidR="003E4C44">
        <w:rPr>
          <w:rFonts w:ascii="Verdana" w:hAnsi="Verdana"/>
          <w:sz w:val="16"/>
          <w:szCs w:val="16"/>
        </w:rPr>
        <w:t xml:space="preserve"> </w:t>
      </w:r>
      <w:r w:rsidR="00EB4974" w:rsidRPr="00A444E4">
        <w:rPr>
          <w:rStyle w:val="Textoennegrita"/>
          <w:rFonts w:ascii="Verdana" w:hAnsi="Verdana"/>
          <w:b w:val="0"/>
          <w:i/>
          <w:color w:val="000000"/>
          <w:sz w:val="16"/>
          <w:szCs w:val="16"/>
          <w:shd w:val="clear" w:color="auto" w:fill="FFFFFF"/>
        </w:rPr>
        <w:t xml:space="preserve">Casos Chocrón </w:t>
      </w:r>
      <w:proofErr w:type="spellStart"/>
      <w:r w:rsidR="00EB4974" w:rsidRPr="00A444E4">
        <w:rPr>
          <w:rStyle w:val="Textoennegrita"/>
          <w:rFonts w:ascii="Verdana" w:hAnsi="Verdana"/>
          <w:b w:val="0"/>
          <w:i/>
          <w:color w:val="000000"/>
          <w:sz w:val="16"/>
          <w:szCs w:val="16"/>
          <w:shd w:val="clear" w:color="auto" w:fill="FFFFFF"/>
        </w:rPr>
        <w:t>Chocrón</w:t>
      </w:r>
      <w:proofErr w:type="spellEnd"/>
      <w:r w:rsidR="00EB4974" w:rsidRPr="00A444E4">
        <w:rPr>
          <w:rStyle w:val="Textoennegrita"/>
          <w:rFonts w:ascii="Verdana" w:hAnsi="Verdana"/>
          <w:b w:val="0"/>
          <w:i/>
          <w:color w:val="000000"/>
          <w:sz w:val="16"/>
          <w:szCs w:val="16"/>
          <w:shd w:val="clear" w:color="auto" w:fill="FFFFFF"/>
        </w:rPr>
        <w:t xml:space="preserve">, Díaz Peña, y </w:t>
      </w:r>
      <w:proofErr w:type="spellStart"/>
      <w:r w:rsidR="00EB4974" w:rsidRPr="00A444E4">
        <w:rPr>
          <w:rStyle w:val="Textoennegrita"/>
          <w:rFonts w:ascii="Verdana" w:hAnsi="Verdana"/>
          <w:b w:val="0"/>
          <w:i/>
          <w:color w:val="000000"/>
          <w:sz w:val="16"/>
          <w:szCs w:val="16"/>
          <w:shd w:val="clear" w:color="auto" w:fill="FFFFFF"/>
        </w:rPr>
        <w:t>Uzcátegui</w:t>
      </w:r>
      <w:proofErr w:type="spellEnd"/>
      <w:r w:rsidR="00EB4974" w:rsidRPr="00A444E4">
        <w:rPr>
          <w:rStyle w:val="Textoennegrita"/>
          <w:rFonts w:ascii="Verdana" w:hAnsi="Verdana"/>
          <w:b w:val="0"/>
          <w:i/>
          <w:color w:val="000000"/>
          <w:sz w:val="16"/>
          <w:szCs w:val="16"/>
          <w:shd w:val="clear" w:color="auto" w:fill="FFFFFF"/>
        </w:rPr>
        <w:t xml:space="preserve"> y otros</w:t>
      </w:r>
      <w:r w:rsidR="00EB4974">
        <w:rPr>
          <w:rStyle w:val="Textoennegrita"/>
          <w:rFonts w:ascii="Verdana" w:hAnsi="Verdana"/>
          <w:b w:val="0"/>
          <w:i/>
          <w:color w:val="000000"/>
          <w:sz w:val="16"/>
          <w:szCs w:val="16"/>
          <w:shd w:val="clear" w:color="auto" w:fill="FFFFFF"/>
        </w:rPr>
        <w:t xml:space="preserve">, supra </w:t>
      </w:r>
      <w:r w:rsidR="00EB4974" w:rsidRPr="00A444E4">
        <w:rPr>
          <w:rStyle w:val="Textoennegrita"/>
          <w:rFonts w:ascii="Verdana" w:hAnsi="Verdana"/>
          <w:b w:val="0"/>
          <w:color w:val="000000"/>
          <w:sz w:val="16"/>
          <w:szCs w:val="16"/>
          <w:shd w:val="clear" w:color="auto" w:fill="FFFFFF"/>
        </w:rPr>
        <w:t>nota 9</w:t>
      </w:r>
      <w:r w:rsidR="00EB4974" w:rsidRPr="003447E3">
        <w:rPr>
          <w:rFonts w:ascii="Verdana" w:hAnsi="Verdana"/>
          <w:sz w:val="16"/>
          <w:szCs w:val="16"/>
          <w:lang w:val="es-AR"/>
        </w:rPr>
        <w:t>, Considerando</w:t>
      </w:r>
      <w:r w:rsidR="00EB4974">
        <w:rPr>
          <w:rFonts w:ascii="Verdana" w:hAnsi="Verdana"/>
          <w:sz w:val="16"/>
          <w:szCs w:val="16"/>
          <w:lang w:val="es-AR"/>
        </w:rPr>
        <w:t>s</w:t>
      </w:r>
      <w:r w:rsidR="00EB4974" w:rsidRPr="003447E3">
        <w:rPr>
          <w:rFonts w:ascii="Verdana" w:hAnsi="Verdana"/>
          <w:sz w:val="16"/>
          <w:szCs w:val="16"/>
          <w:lang w:val="es-AR"/>
        </w:rPr>
        <w:t xml:space="preserve"> </w:t>
      </w:r>
      <w:r w:rsidR="00EB4974">
        <w:rPr>
          <w:rFonts w:ascii="Verdana" w:hAnsi="Verdana"/>
          <w:sz w:val="16"/>
          <w:szCs w:val="16"/>
          <w:lang w:val="es-AR"/>
        </w:rPr>
        <w:t>primero a octavo</w:t>
      </w:r>
      <w:r w:rsidR="00EB4974" w:rsidRPr="003447E3">
        <w:rPr>
          <w:rFonts w:ascii="Verdana" w:hAnsi="Verdana"/>
          <w:sz w:val="16"/>
          <w:szCs w:val="16"/>
          <w:lang w:val="es-AR"/>
        </w:rPr>
        <w:t>.</w:t>
      </w:r>
      <w:r w:rsidR="003E4C44">
        <w:rPr>
          <w:rFonts w:ascii="Verdana" w:hAnsi="Verdan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F29" w:rsidRPr="00115F29" w:rsidRDefault="00115F29" w:rsidP="00115F29">
    <w:pPr>
      <w:pStyle w:val="Encabezado"/>
      <w:ind w:right="1444"/>
      <w:jc w:val="center"/>
      <w:rPr>
        <w:rFonts w:ascii="Verdana" w:hAnsi="Verdana"/>
        <w:sz w:val="20"/>
        <w:szCs w:val="20"/>
      </w:rPr>
    </w:pPr>
    <w:r w:rsidRPr="00115F29">
      <w:rPr>
        <w:rFonts w:ascii="Verdana" w:hAnsi="Verdana"/>
        <w:sz w:val="20"/>
        <w:szCs w:val="20"/>
      </w:rPr>
      <w:t>-</w:t>
    </w:r>
    <w:r w:rsidRPr="00115F29">
      <w:rPr>
        <w:rFonts w:ascii="Verdana" w:hAnsi="Verdana"/>
        <w:sz w:val="20"/>
        <w:szCs w:val="20"/>
      </w:rPr>
      <w:fldChar w:fldCharType="begin"/>
    </w:r>
    <w:r w:rsidRPr="00115F29">
      <w:rPr>
        <w:rFonts w:ascii="Verdana" w:hAnsi="Verdana"/>
        <w:sz w:val="20"/>
        <w:szCs w:val="20"/>
      </w:rPr>
      <w:instrText>PAGE   \* MERGEFORMAT</w:instrText>
    </w:r>
    <w:r w:rsidRPr="00115F29">
      <w:rPr>
        <w:rFonts w:ascii="Verdana" w:hAnsi="Verdana"/>
        <w:sz w:val="20"/>
        <w:szCs w:val="20"/>
      </w:rPr>
      <w:fldChar w:fldCharType="separate"/>
    </w:r>
    <w:r w:rsidR="004614BD" w:rsidRPr="004614BD">
      <w:rPr>
        <w:rFonts w:ascii="Verdana" w:hAnsi="Verdana"/>
        <w:noProof/>
        <w:sz w:val="20"/>
        <w:szCs w:val="20"/>
        <w:lang w:val="es-ES"/>
      </w:rPr>
      <w:t>2</w:t>
    </w:r>
    <w:r w:rsidRPr="00115F29">
      <w:rPr>
        <w:rFonts w:ascii="Verdana" w:hAnsi="Verdana"/>
        <w:sz w:val="20"/>
        <w:szCs w:val="20"/>
      </w:rPr>
      <w:fldChar w:fldCharType="end"/>
    </w:r>
    <w:r w:rsidRPr="00115F29">
      <w:rPr>
        <w:rFonts w:ascii="Verdana" w:hAnsi="Verdana"/>
        <w:sz w:val="20"/>
        <w:szCs w:val="20"/>
      </w:rPr>
      <w:t>-</w:t>
    </w:r>
  </w:p>
  <w:p w:rsidR="00C35435" w:rsidRPr="005358C0" w:rsidRDefault="00C35435" w:rsidP="005358C0">
    <w:pPr>
      <w:pStyle w:val="Encabezado"/>
      <w:ind w:right="1444"/>
      <w:jc w:val="right"/>
      <w:rPr>
        <w:rFonts w:ascii="Verdana" w:hAnsi="Verdana"/>
        <w:b/>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6D9"/>
    <w:multiLevelType w:val="hybridMultilevel"/>
    <w:tmpl w:val="E06C2D2A"/>
    <w:lvl w:ilvl="0" w:tplc="163ECF7C">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75A2AE6"/>
    <w:multiLevelType w:val="multilevel"/>
    <w:tmpl w:val="A628BCCE"/>
    <w:lvl w:ilvl="0">
      <w:start w:val="1"/>
      <w:numFmt w:val="decimal"/>
      <w:lvlText w:val="%1."/>
      <w:lvlJc w:val="left"/>
      <w:pPr>
        <w:ind w:left="720" w:hanging="360"/>
      </w:pPr>
      <w:rPr>
        <w:rFonts w:hint="default"/>
        <w:b w:val="0"/>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2">
    <w:nsid w:val="08D056DA"/>
    <w:multiLevelType w:val="hybridMultilevel"/>
    <w:tmpl w:val="8B34C6B4"/>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nsid w:val="16933EC1"/>
    <w:multiLevelType w:val="hybridMultilevel"/>
    <w:tmpl w:val="8424FDEA"/>
    <w:lvl w:ilvl="0" w:tplc="463E0552">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1E7EB4"/>
    <w:multiLevelType w:val="hybridMultilevel"/>
    <w:tmpl w:val="23561C6C"/>
    <w:lvl w:ilvl="0" w:tplc="87F2D4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B0392D"/>
    <w:multiLevelType w:val="hybridMultilevel"/>
    <w:tmpl w:val="47C4B1BE"/>
    <w:lvl w:ilvl="0" w:tplc="44166D3C">
      <w:start w:val="1"/>
      <w:numFmt w:val="decimal"/>
      <w:lvlText w:val="%1."/>
      <w:lvlJc w:val="left"/>
      <w:pPr>
        <w:ind w:left="540" w:hanging="360"/>
      </w:pPr>
      <w:rPr>
        <w:rFonts w:ascii="Verdana" w:hAnsi="Verdana" w:hint="default"/>
        <w:b w:val="0"/>
        <w:i w:val="0"/>
        <w:color w:val="auto"/>
        <w:sz w:val="20"/>
        <w:szCs w:val="20"/>
        <w:lang w:val="es-ES"/>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abstractNum w:abstractNumId="6">
    <w:nsid w:val="256B24E0"/>
    <w:multiLevelType w:val="hybridMultilevel"/>
    <w:tmpl w:val="C1964B86"/>
    <w:lvl w:ilvl="0" w:tplc="D20EFACA">
      <w:start w:val="5"/>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1B67C5"/>
    <w:multiLevelType w:val="hybridMultilevel"/>
    <w:tmpl w:val="991EAD8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4A524C"/>
    <w:multiLevelType w:val="hybridMultilevel"/>
    <w:tmpl w:val="5F56C960"/>
    <w:lvl w:ilvl="0" w:tplc="DB028CCA">
      <w:start w:val="1"/>
      <w:numFmt w:val="decimal"/>
      <w:lvlText w:val="%1."/>
      <w:lvlJc w:val="left"/>
      <w:pPr>
        <w:ind w:left="360" w:hanging="360"/>
      </w:pPr>
      <w:rPr>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9">
    <w:nsid w:val="31FE1B26"/>
    <w:multiLevelType w:val="hybridMultilevel"/>
    <w:tmpl w:val="4E462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4F25FF"/>
    <w:multiLevelType w:val="hybridMultilevel"/>
    <w:tmpl w:val="EC204A16"/>
    <w:lvl w:ilvl="0" w:tplc="D6F2BA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B6D8D"/>
    <w:multiLevelType w:val="hybridMultilevel"/>
    <w:tmpl w:val="5B843B2A"/>
    <w:lvl w:ilvl="0" w:tplc="9926C9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start w:val="1"/>
      <w:numFmt w:val="lowerRoman"/>
      <w:lvlText w:val="%3."/>
      <w:lvlJc w:val="right"/>
      <w:pPr>
        <w:tabs>
          <w:tab w:val="num" w:pos="0"/>
        </w:tabs>
        <w:ind w:left="0" w:hanging="180"/>
      </w:pPr>
    </w:lvl>
    <w:lvl w:ilvl="3" w:tplc="000F0409">
      <w:start w:val="1"/>
      <w:numFmt w:val="decimal"/>
      <w:lvlText w:val="%4."/>
      <w:lvlJc w:val="left"/>
      <w:pPr>
        <w:tabs>
          <w:tab w:val="num" w:pos="720"/>
        </w:tabs>
        <w:ind w:left="720" w:hanging="360"/>
      </w:pPr>
    </w:lvl>
    <w:lvl w:ilvl="4" w:tplc="00190409">
      <w:start w:val="1"/>
      <w:numFmt w:val="lowerLetter"/>
      <w:lvlText w:val="%5."/>
      <w:lvlJc w:val="left"/>
      <w:pPr>
        <w:tabs>
          <w:tab w:val="num" w:pos="1440"/>
        </w:tabs>
        <w:ind w:left="1440" w:hanging="360"/>
      </w:pPr>
    </w:lvl>
    <w:lvl w:ilvl="5" w:tplc="001B0409">
      <w:start w:val="1"/>
      <w:numFmt w:val="lowerRoman"/>
      <w:lvlText w:val="%6."/>
      <w:lvlJc w:val="right"/>
      <w:pPr>
        <w:tabs>
          <w:tab w:val="num" w:pos="2160"/>
        </w:tabs>
        <w:ind w:left="2160" w:hanging="180"/>
      </w:pPr>
    </w:lvl>
    <w:lvl w:ilvl="6" w:tplc="000F0409">
      <w:start w:val="1"/>
      <w:numFmt w:val="decimal"/>
      <w:lvlText w:val="%7."/>
      <w:lvlJc w:val="left"/>
      <w:pPr>
        <w:tabs>
          <w:tab w:val="num" w:pos="2880"/>
        </w:tabs>
        <w:ind w:left="2880" w:hanging="360"/>
      </w:pPr>
    </w:lvl>
    <w:lvl w:ilvl="7" w:tplc="00190409">
      <w:start w:val="1"/>
      <w:numFmt w:val="lowerLetter"/>
      <w:lvlText w:val="%8."/>
      <w:lvlJc w:val="left"/>
      <w:pPr>
        <w:tabs>
          <w:tab w:val="num" w:pos="3600"/>
        </w:tabs>
        <w:ind w:left="3600" w:hanging="360"/>
      </w:pPr>
    </w:lvl>
    <w:lvl w:ilvl="8" w:tplc="001B0409">
      <w:start w:val="1"/>
      <w:numFmt w:val="lowerRoman"/>
      <w:lvlText w:val="%9."/>
      <w:lvlJc w:val="right"/>
      <w:pPr>
        <w:tabs>
          <w:tab w:val="num" w:pos="4320"/>
        </w:tabs>
        <w:ind w:left="4320" w:hanging="180"/>
      </w:pPr>
    </w:lvl>
  </w:abstractNum>
  <w:abstractNum w:abstractNumId="13">
    <w:nsid w:val="3B311878"/>
    <w:multiLevelType w:val="hybridMultilevel"/>
    <w:tmpl w:val="12A80894"/>
    <w:lvl w:ilvl="0" w:tplc="15FE39DC">
      <w:start w:val="1"/>
      <w:numFmt w:val="upp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323FBC"/>
    <w:multiLevelType w:val="hybridMultilevel"/>
    <w:tmpl w:val="0F688AE4"/>
    <w:lvl w:ilvl="0" w:tplc="22B031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5A17CAE"/>
    <w:multiLevelType w:val="hybridMultilevel"/>
    <w:tmpl w:val="D7AA289E"/>
    <w:lvl w:ilvl="0" w:tplc="B67EA96E">
      <w:start w:val="1"/>
      <w:numFmt w:val="upperRoman"/>
      <w:pStyle w:val="Ttulo1"/>
      <w:lvlText w:val="%1."/>
      <w:lvlJc w:val="righ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8980657"/>
    <w:multiLevelType w:val="hybridMultilevel"/>
    <w:tmpl w:val="B07AEDA2"/>
    <w:lvl w:ilvl="0" w:tplc="07D6DFD2">
      <w:start w:val="1"/>
      <w:numFmt w:val="upperLetter"/>
      <w:lvlText w:val="%1."/>
      <w:lvlJc w:val="left"/>
      <w:pPr>
        <w:ind w:left="720" w:hanging="360"/>
      </w:pPr>
      <w:rPr>
        <w:rFonts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5E6A4F2C"/>
    <w:multiLevelType w:val="hybridMultilevel"/>
    <w:tmpl w:val="10B0A5D4"/>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DC284E"/>
    <w:multiLevelType w:val="hybridMultilevel"/>
    <w:tmpl w:val="D978934E"/>
    <w:lvl w:ilvl="0" w:tplc="7EB6AED2">
      <w:start w:val="1"/>
      <w:numFmt w:val="decimal"/>
      <w:lvlText w:val="%1."/>
      <w:lvlJc w:val="left"/>
      <w:pPr>
        <w:ind w:left="1065" w:hanging="705"/>
      </w:pPr>
      <w:rPr>
        <w:rFonts w:ascii="Verdana" w:eastAsia="MS Mincho" w:hAnsi="Verdana" w:cs="Arial"/>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9856D1"/>
    <w:multiLevelType w:val="hybridMultilevel"/>
    <w:tmpl w:val="46385E82"/>
    <w:lvl w:ilvl="0" w:tplc="2DE4FE4C">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0E5633"/>
    <w:multiLevelType w:val="hybridMultilevel"/>
    <w:tmpl w:val="5B64775E"/>
    <w:lvl w:ilvl="0" w:tplc="A958223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A642E0"/>
    <w:multiLevelType w:val="hybridMultilevel"/>
    <w:tmpl w:val="CEC4C490"/>
    <w:lvl w:ilvl="0" w:tplc="BCD6E60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nsid w:val="7CC67F60"/>
    <w:multiLevelType w:val="hybridMultilevel"/>
    <w:tmpl w:val="F0D81B7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
  </w:num>
  <w:num w:numId="3">
    <w:abstractNumId w:val="15"/>
  </w:num>
  <w:num w:numId="4">
    <w:abstractNumId w:val="18"/>
  </w:num>
  <w:num w:numId="5">
    <w:abstractNumId w:val="10"/>
  </w:num>
  <w:num w:numId="6">
    <w:abstractNumId w:val="4"/>
  </w:num>
  <w:num w:numId="7">
    <w:abstractNumId w:val="1"/>
  </w:num>
  <w:num w:numId="8">
    <w:abstractNumId w:val="0"/>
  </w:num>
  <w:num w:numId="9">
    <w:abstractNumId w:val="16"/>
  </w:num>
  <w:num w:numId="10">
    <w:abstractNumId w:val="2"/>
  </w:num>
  <w:num w:numId="11">
    <w:abstractNumId w:val="17"/>
  </w:num>
  <w:num w:numId="12">
    <w:abstractNumId w:val="7"/>
  </w:num>
  <w:num w:numId="13">
    <w:abstractNumId w:val="23"/>
  </w:num>
  <w:num w:numId="14">
    <w:abstractNumId w:val="14"/>
  </w:num>
  <w:num w:numId="15">
    <w:abstractNumId w:val="13"/>
  </w:num>
  <w:num w:numId="16">
    <w:abstractNumId w:val="11"/>
  </w:num>
  <w:num w:numId="17">
    <w:abstractNumId w:val="3"/>
  </w:num>
  <w:num w:numId="18">
    <w:abstractNumId w:val="20"/>
  </w:num>
  <w:num w:numId="19">
    <w:abstractNumId w:val="6"/>
  </w:num>
  <w:num w:numId="20">
    <w:abstractNumId w:val="9"/>
  </w:num>
  <w:num w:numId="21">
    <w:abstractNumId w:val="21"/>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428B"/>
    <w:rsid w:val="000014C7"/>
    <w:rsid w:val="000016C3"/>
    <w:rsid w:val="00001D18"/>
    <w:rsid w:val="00004B91"/>
    <w:rsid w:val="00005DE0"/>
    <w:rsid w:val="00005E72"/>
    <w:rsid w:val="00007D4B"/>
    <w:rsid w:val="00010162"/>
    <w:rsid w:val="0001151C"/>
    <w:rsid w:val="00013A85"/>
    <w:rsid w:val="0001503F"/>
    <w:rsid w:val="000151DF"/>
    <w:rsid w:val="00015345"/>
    <w:rsid w:val="00016A2D"/>
    <w:rsid w:val="00016EA5"/>
    <w:rsid w:val="0001729A"/>
    <w:rsid w:val="00020ABC"/>
    <w:rsid w:val="00021BFF"/>
    <w:rsid w:val="000222BF"/>
    <w:rsid w:val="0002240C"/>
    <w:rsid w:val="00022856"/>
    <w:rsid w:val="00022A85"/>
    <w:rsid w:val="00022CD1"/>
    <w:rsid w:val="00022D86"/>
    <w:rsid w:val="00023B81"/>
    <w:rsid w:val="00024326"/>
    <w:rsid w:val="000246D5"/>
    <w:rsid w:val="00024A6C"/>
    <w:rsid w:val="00025041"/>
    <w:rsid w:val="00025FCA"/>
    <w:rsid w:val="0002612D"/>
    <w:rsid w:val="000273BA"/>
    <w:rsid w:val="000273E2"/>
    <w:rsid w:val="0002795F"/>
    <w:rsid w:val="00030975"/>
    <w:rsid w:val="00030E31"/>
    <w:rsid w:val="00030FB8"/>
    <w:rsid w:val="00030FD6"/>
    <w:rsid w:val="0003178F"/>
    <w:rsid w:val="000323FD"/>
    <w:rsid w:val="00032438"/>
    <w:rsid w:val="00033571"/>
    <w:rsid w:val="000337BE"/>
    <w:rsid w:val="00034B99"/>
    <w:rsid w:val="0003600E"/>
    <w:rsid w:val="0003671D"/>
    <w:rsid w:val="000374A8"/>
    <w:rsid w:val="000403C2"/>
    <w:rsid w:val="00041A2A"/>
    <w:rsid w:val="000420CA"/>
    <w:rsid w:val="00042B5D"/>
    <w:rsid w:val="000439E5"/>
    <w:rsid w:val="00044832"/>
    <w:rsid w:val="000448FC"/>
    <w:rsid w:val="000458DD"/>
    <w:rsid w:val="00046FE7"/>
    <w:rsid w:val="000473DC"/>
    <w:rsid w:val="00047622"/>
    <w:rsid w:val="000507DE"/>
    <w:rsid w:val="000519A7"/>
    <w:rsid w:val="0005211D"/>
    <w:rsid w:val="00053130"/>
    <w:rsid w:val="0005340B"/>
    <w:rsid w:val="000536D3"/>
    <w:rsid w:val="000541BB"/>
    <w:rsid w:val="000543F1"/>
    <w:rsid w:val="00054C3A"/>
    <w:rsid w:val="00054C92"/>
    <w:rsid w:val="00054D2D"/>
    <w:rsid w:val="00054EE1"/>
    <w:rsid w:val="000552EC"/>
    <w:rsid w:val="00055452"/>
    <w:rsid w:val="000572FD"/>
    <w:rsid w:val="0005757C"/>
    <w:rsid w:val="0006170D"/>
    <w:rsid w:val="00061B28"/>
    <w:rsid w:val="000622E0"/>
    <w:rsid w:val="00062500"/>
    <w:rsid w:val="00062B47"/>
    <w:rsid w:val="0006358C"/>
    <w:rsid w:val="000636BE"/>
    <w:rsid w:val="00063B99"/>
    <w:rsid w:val="00065A08"/>
    <w:rsid w:val="000660A0"/>
    <w:rsid w:val="00066369"/>
    <w:rsid w:val="00066726"/>
    <w:rsid w:val="000668C8"/>
    <w:rsid w:val="00066B51"/>
    <w:rsid w:val="00066EAC"/>
    <w:rsid w:val="0006766F"/>
    <w:rsid w:val="0006793C"/>
    <w:rsid w:val="00067F70"/>
    <w:rsid w:val="00071650"/>
    <w:rsid w:val="00072298"/>
    <w:rsid w:val="00072FFE"/>
    <w:rsid w:val="000737BE"/>
    <w:rsid w:val="00075021"/>
    <w:rsid w:val="00075893"/>
    <w:rsid w:val="0007598C"/>
    <w:rsid w:val="00076263"/>
    <w:rsid w:val="000766A2"/>
    <w:rsid w:val="00076C8A"/>
    <w:rsid w:val="0007758B"/>
    <w:rsid w:val="0008020F"/>
    <w:rsid w:val="00080EEB"/>
    <w:rsid w:val="00080F50"/>
    <w:rsid w:val="000812F3"/>
    <w:rsid w:val="000814DF"/>
    <w:rsid w:val="00082D1F"/>
    <w:rsid w:val="00083525"/>
    <w:rsid w:val="00083A32"/>
    <w:rsid w:val="00083CFA"/>
    <w:rsid w:val="000849E1"/>
    <w:rsid w:val="00085E89"/>
    <w:rsid w:val="000866F7"/>
    <w:rsid w:val="00086FD6"/>
    <w:rsid w:val="00087B63"/>
    <w:rsid w:val="00087D31"/>
    <w:rsid w:val="00090848"/>
    <w:rsid w:val="00092655"/>
    <w:rsid w:val="00093107"/>
    <w:rsid w:val="00093ABA"/>
    <w:rsid w:val="00094685"/>
    <w:rsid w:val="00094A76"/>
    <w:rsid w:val="00095D5B"/>
    <w:rsid w:val="000961BF"/>
    <w:rsid w:val="000966B1"/>
    <w:rsid w:val="00096E10"/>
    <w:rsid w:val="00097219"/>
    <w:rsid w:val="000973D3"/>
    <w:rsid w:val="000978A5"/>
    <w:rsid w:val="000A0029"/>
    <w:rsid w:val="000A0E1B"/>
    <w:rsid w:val="000A168E"/>
    <w:rsid w:val="000A19F9"/>
    <w:rsid w:val="000A1E44"/>
    <w:rsid w:val="000A22F0"/>
    <w:rsid w:val="000A24C0"/>
    <w:rsid w:val="000A3A73"/>
    <w:rsid w:val="000A3DD6"/>
    <w:rsid w:val="000A429F"/>
    <w:rsid w:val="000A4BBC"/>
    <w:rsid w:val="000A565C"/>
    <w:rsid w:val="000A6382"/>
    <w:rsid w:val="000A6781"/>
    <w:rsid w:val="000A6B18"/>
    <w:rsid w:val="000A7D20"/>
    <w:rsid w:val="000B0069"/>
    <w:rsid w:val="000B026D"/>
    <w:rsid w:val="000B06F8"/>
    <w:rsid w:val="000B0727"/>
    <w:rsid w:val="000B1890"/>
    <w:rsid w:val="000B20F1"/>
    <w:rsid w:val="000B4126"/>
    <w:rsid w:val="000B41CB"/>
    <w:rsid w:val="000B560C"/>
    <w:rsid w:val="000B562B"/>
    <w:rsid w:val="000B5CD2"/>
    <w:rsid w:val="000B5D9E"/>
    <w:rsid w:val="000B60C5"/>
    <w:rsid w:val="000B6D07"/>
    <w:rsid w:val="000B7580"/>
    <w:rsid w:val="000C026C"/>
    <w:rsid w:val="000C1081"/>
    <w:rsid w:val="000C1576"/>
    <w:rsid w:val="000C1769"/>
    <w:rsid w:val="000C17B9"/>
    <w:rsid w:val="000C3463"/>
    <w:rsid w:val="000C3935"/>
    <w:rsid w:val="000C3985"/>
    <w:rsid w:val="000C4F7A"/>
    <w:rsid w:val="000C55EF"/>
    <w:rsid w:val="000C5E2B"/>
    <w:rsid w:val="000C63B8"/>
    <w:rsid w:val="000C64A1"/>
    <w:rsid w:val="000C6BF9"/>
    <w:rsid w:val="000C7F71"/>
    <w:rsid w:val="000D084E"/>
    <w:rsid w:val="000D19BB"/>
    <w:rsid w:val="000D20C8"/>
    <w:rsid w:val="000D2B58"/>
    <w:rsid w:val="000D2E48"/>
    <w:rsid w:val="000D374C"/>
    <w:rsid w:val="000D5EE5"/>
    <w:rsid w:val="000D5F11"/>
    <w:rsid w:val="000D69CB"/>
    <w:rsid w:val="000D7747"/>
    <w:rsid w:val="000E0282"/>
    <w:rsid w:val="000E03B4"/>
    <w:rsid w:val="000E04FA"/>
    <w:rsid w:val="000E06FF"/>
    <w:rsid w:val="000E0B5D"/>
    <w:rsid w:val="000E0E09"/>
    <w:rsid w:val="000E1113"/>
    <w:rsid w:val="000E14B7"/>
    <w:rsid w:val="000E1544"/>
    <w:rsid w:val="000E1577"/>
    <w:rsid w:val="000E1721"/>
    <w:rsid w:val="000E1C1B"/>
    <w:rsid w:val="000E1FD6"/>
    <w:rsid w:val="000E2D03"/>
    <w:rsid w:val="000E2D17"/>
    <w:rsid w:val="000E33BE"/>
    <w:rsid w:val="000E4277"/>
    <w:rsid w:val="000E59A2"/>
    <w:rsid w:val="000E5ACA"/>
    <w:rsid w:val="000E71F6"/>
    <w:rsid w:val="000E7275"/>
    <w:rsid w:val="000E75EE"/>
    <w:rsid w:val="000F123C"/>
    <w:rsid w:val="000F1D4B"/>
    <w:rsid w:val="000F21F4"/>
    <w:rsid w:val="000F36EB"/>
    <w:rsid w:val="000F4029"/>
    <w:rsid w:val="000F40F0"/>
    <w:rsid w:val="000F41E3"/>
    <w:rsid w:val="000F493E"/>
    <w:rsid w:val="000F4957"/>
    <w:rsid w:val="000F53AE"/>
    <w:rsid w:val="000F57F4"/>
    <w:rsid w:val="000F5AE8"/>
    <w:rsid w:val="000F5ECD"/>
    <w:rsid w:val="000F62F1"/>
    <w:rsid w:val="000F6E72"/>
    <w:rsid w:val="000F761D"/>
    <w:rsid w:val="00100BBA"/>
    <w:rsid w:val="00100CA7"/>
    <w:rsid w:val="0010129D"/>
    <w:rsid w:val="001015F2"/>
    <w:rsid w:val="0010176D"/>
    <w:rsid w:val="00101909"/>
    <w:rsid w:val="00102118"/>
    <w:rsid w:val="0010215B"/>
    <w:rsid w:val="00103EB3"/>
    <w:rsid w:val="0010501D"/>
    <w:rsid w:val="00105E3D"/>
    <w:rsid w:val="001061DD"/>
    <w:rsid w:val="001063F6"/>
    <w:rsid w:val="0010748A"/>
    <w:rsid w:val="00107699"/>
    <w:rsid w:val="0011042A"/>
    <w:rsid w:val="001106B4"/>
    <w:rsid w:val="001108BA"/>
    <w:rsid w:val="00110E3E"/>
    <w:rsid w:val="00110E40"/>
    <w:rsid w:val="00111F35"/>
    <w:rsid w:val="00112515"/>
    <w:rsid w:val="00112560"/>
    <w:rsid w:val="00112A2B"/>
    <w:rsid w:val="00112CCE"/>
    <w:rsid w:val="00112FBA"/>
    <w:rsid w:val="001132FA"/>
    <w:rsid w:val="001135E4"/>
    <w:rsid w:val="00113F78"/>
    <w:rsid w:val="0011433F"/>
    <w:rsid w:val="00115F29"/>
    <w:rsid w:val="00120781"/>
    <w:rsid w:val="00120901"/>
    <w:rsid w:val="00121113"/>
    <w:rsid w:val="001212D6"/>
    <w:rsid w:val="001214C2"/>
    <w:rsid w:val="001224FC"/>
    <w:rsid w:val="001225B6"/>
    <w:rsid w:val="0012304A"/>
    <w:rsid w:val="001242DE"/>
    <w:rsid w:val="00124C8B"/>
    <w:rsid w:val="00124FDF"/>
    <w:rsid w:val="001258A4"/>
    <w:rsid w:val="00126092"/>
    <w:rsid w:val="001267D0"/>
    <w:rsid w:val="00127E07"/>
    <w:rsid w:val="00130044"/>
    <w:rsid w:val="001300C7"/>
    <w:rsid w:val="00131F13"/>
    <w:rsid w:val="00133069"/>
    <w:rsid w:val="001332E0"/>
    <w:rsid w:val="00133D70"/>
    <w:rsid w:val="0013433F"/>
    <w:rsid w:val="00135DCE"/>
    <w:rsid w:val="001363EF"/>
    <w:rsid w:val="001365C0"/>
    <w:rsid w:val="00137E67"/>
    <w:rsid w:val="00137F95"/>
    <w:rsid w:val="00141250"/>
    <w:rsid w:val="001418EE"/>
    <w:rsid w:val="00141D50"/>
    <w:rsid w:val="00142672"/>
    <w:rsid w:val="001426AE"/>
    <w:rsid w:val="00142BAA"/>
    <w:rsid w:val="00142D37"/>
    <w:rsid w:val="00144012"/>
    <w:rsid w:val="001441FF"/>
    <w:rsid w:val="001442C6"/>
    <w:rsid w:val="0014481F"/>
    <w:rsid w:val="00144ED0"/>
    <w:rsid w:val="00144ED7"/>
    <w:rsid w:val="0014594D"/>
    <w:rsid w:val="00145C00"/>
    <w:rsid w:val="0015001E"/>
    <w:rsid w:val="0015053A"/>
    <w:rsid w:val="00151419"/>
    <w:rsid w:val="0015290F"/>
    <w:rsid w:val="00152C64"/>
    <w:rsid w:val="00153BBA"/>
    <w:rsid w:val="00153DA1"/>
    <w:rsid w:val="00154833"/>
    <w:rsid w:val="00154C47"/>
    <w:rsid w:val="00154F96"/>
    <w:rsid w:val="00155135"/>
    <w:rsid w:val="0015540D"/>
    <w:rsid w:val="0015549C"/>
    <w:rsid w:val="00155623"/>
    <w:rsid w:val="00155FBF"/>
    <w:rsid w:val="00156872"/>
    <w:rsid w:val="001568BC"/>
    <w:rsid w:val="00156EA2"/>
    <w:rsid w:val="00161189"/>
    <w:rsid w:val="00161FB5"/>
    <w:rsid w:val="001626CA"/>
    <w:rsid w:val="00162DFE"/>
    <w:rsid w:val="00162F25"/>
    <w:rsid w:val="00164180"/>
    <w:rsid w:val="00165408"/>
    <w:rsid w:val="00166020"/>
    <w:rsid w:val="001663B5"/>
    <w:rsid w:val="00166691"/>
    <w:rsid w:val="00166766"/>
    <w:rsid w:val="001669AD"/>
    <w:rsid w:val="00167174"/>
    <w:rsid w:val="00170332"/>
    <w:rsid w:val="0017118F"/>
    <w:rsid w:val="001714C1"/>
    <w:rsid w:val="00172400"/>
    <w:rsid w:val="001729D1"/>
    <w:rsid w:val="00172AD3"/>
    <w:rsid w:val="00173066"/>
    <w:rsid w:val="0017326F"/>
    <w:rsid w:val="00174E04"/>
    <w:rsid w:val="0017570A"/>
    <w:rsid w:val="00175853"/>
    <w:rsid w:val="001761AB"/>
    <w:rsid w:val="001802D2"/>
    <w:rsid w:val="0018042E"/>
    <w:rsid w:val="00180A38"/>
    <w:rsid w:val="00180AD8"/>
    <w:rsid w:val="001820C6"/>
    <w:rsid w:val="001823F1"/>
    <w:rsid w:val="001826B5"/>
    <w:rsid w:val="001835B5"/>
    <w:rsid w:val="00183F28"/>
    <w:rsid w:val="0018457F"/>
    <w:rsid w:val="00184D55"/>
    <w:rsid w:val="001861B0"/>
    <w:rsid w:val="0018620F"/>
    <w:rsid w:val="00186D69"/>
    <w:rsid w:val="00187039"/>
    <w:rsid w:val="0018776E"/>
    <w:rsid w:val="001905A1"/>
    <w:rsid w:val="00192640"/>
    <w:rsid w:val="0019284C"/>
    <w:rsid w:val="00192A42"/>
    <w:rsid w:val="00192F06"/>
    <w:rsid w:val="0019360E"/>
    <w:rsid w:val="001946E6"/>
    <w:rsid w:val="00194E5F"/>
    <w:rsid w:val="00194EA2"/>
    <w:rsid w:val="00195914"/>
    <w:rsid w:val="00195CF2"/>
    <w:rsid w:val="00195ED3"/>
    <w:rsid w:val="00197443"/>
    <w:rsid w:val="00197553"/>
    <w:rsid w:val="001A0A0C"/>
    <w:rsid w:val="001A1B5F"/>
    <w:rsid w:val="001A219C"/>
    <w:rsid w:val="001A5D15"/>
    <w:rsid w:val="001A5D69"/>
    <w:rsid w:val="001A615C"/>
    <w:rsid w:val="001A6D9C"/>
    <w:rsid w:val="001A6DD7"/>
    <w:rsid w:val="001A713E"/>
    <w:rsid w:val="001A747B"/>
    <w:rsid w:val="001A7752"/>
    <w:rsid w:val="001A7781"/>
    <w:rsid w:val="001A7796"/>
    <w:rsid w:val="001B0500"/>
    <w:rsid w:val="001B0D9F"/>
    <w:rsid w:val="001B15AC"/>
    <w:rsid w:val="001B1D58"/>
    <w:rsid w:val="001B2BD6"/>
    <w:rsid w:val="001B398E"/>
    <w:rsid w:val="001B4132"/>
    <w:rsid w:val="001B5C99"/>
    <w:rsid w:val="001C04F9"/>
    <w:rsid w:val="001C06B6"/>
    <w:rsid w:val="001C10D7"/>
    <w:rsid w:val="001C1D82"/>
    <w:rsid w:val="001C2647"/>
    <w:rsid w:val="001C2959"/>
    <w:rsid w:val="001C2BF7"/>
    <w:rsid w:val="001C2F7F"/>
    <w:rsid w:val="001C46B1"/>
    <w:rsid w:val="001C59CE"/>
    <w:rsid w:val="001C5BE2"/>
    <w:rsid w:val="001C6621"/>
    <w:rsid w:val="001C6BDE"/>
    <w:rsid w:val="001C6E88"/>
    <w:rsid w:val="001C7142"/>
    <w:rsid w:val="001C769E"/>
    <w:rsid w:val="001C76BE"/>
    <w:rsid w:val="001C7C19"/>
    <w:rsid w:val="001C7CBE"/>
    <w:rsid w:val="001D057A"/>
    <w:rsid w:val="001D0684"/>
    <w:rsid w:val="001D080A"/>
    <w:rsid w:val="001D0A5D"/>
    <w:rsid w:val="001D143C"/>
    <w:rsid w:val="001D1A7E"/>
    <w:rsid w:val="001D21D1"/>
    <w:rsid w:val="001D239A"/>
    <w:rsid w:val="001D3B1B"/>
    <w:rsid w:val="001D40B5"/>
    <w:rsid w:val="001D5F96"/>
    <w:rsid w:val="001D604E"/>
    <w:rsid w:val="001D62C5"/>
    <w:rsid w:val="001D776C"/>
    <w:rsid w:val="001D791A"/>
    <w:rsid w:val="001E007E"/>
    <w:rsid w:val="001E04B4"/>
    <w:rsid w:val="001E0CE7"/>
    <w:rsid w:val="001E16B0"/>
    <w:rsid w:val="001E193E"/>
    <w:rsid w:val="001E1B4D"/>
    <w:rsid w:val="001E1F56"/>
    <w:rsid w:val="001E22C3"/>
    <w:rsid w:val="001E27DA"/>
    <w:rsid w:val="001E29F3"/>
    <w:rsid w:val="001E3395"/>
    <w:rsid w:val="001E3618"/>
    <w:rsid w:val="001E37A6"/>
    <w:rsid w:val="001E3D09"/>
    <w:rsid w:val="001E3EB7"/>
    <w:rsid w:val="001E4752"/>
    <w:rsid w:val="001E4F61"/>
    <w:rsid w:val="001E51E2"/>
    <w:rsid w:val="001E591E"/>
    <w:rsid w:val="001E5A27"/>
    <w:rsid w:val="001E6378"/>
    <w:rsid w:val="001E6ADC"/>
    <w:rsid w:val="001E7004"/>
    <w:rsid w:val="001E7B0D"/>
    <w:rsid w:val="001E7CFB"/>
    <w:rsid w:val="001F00FD"/>
    <w:rsid w:val="001F1668"/>
    <w:rsid w:val="001F19A2"/>
    <w:rsid w:val="001F2DD0"/>
    <w:rsid w:val="001F2E5C"/>
    <w:rsid w:val="001F3B5D"/>
    <w:rsid w:val="001F4225"/>
    <w:rsid w:val="001F4A49"/>
    <w:rsid w:val="001F52A6"/>
    <w:rsid w:val="001F5EF3"/>
    <w:rsid w:val="001F61E5"/>
    <w:rsid w:val="001F65D7"/>
    <w:rsid w:val="001F6B5F"/>
    <w:rsid w:val="0020116B"/>
    <w:rsid w:val="00202135"/>
    <w:rsid w:val="00202288"/>
    <w:rsid w:val="00202566"/>
    <w:rsid w:val="00202B01"/>
    <w:rsid w:val="00202B8F"/>
    <w:rsid w:val="00203610"/>
    <w:rsid w:val="00207738"/>
    <w:rsid w:val="00207D5B"/>
    <w:rsid w:val="00210EF0"/>
    <w:rsid w:val="00211063"/>
    <w:rsid w:val="0021168D"/>
    <w:rsid w:val="002120CB"/>
    <w:rsid w:val="00212438"/>
    <w:rsid w:val="00212A1C"/>
    <w:rsid w:val="00212D40"/>
    <w:rsid w:val="00212D9C"/>
    <w:rsid w:val="002135BD"/>
    <w:rsid w:val="00213F8A"/>
    <w:rsid w:val="00215846"/>
    <w:rsid w:val="002160F5"/>
    <w:rsid w:val="002160FE"/>
    <w:rsid w:val="00216D8A"/>
    <w:rsid w:val="0021747F"/>
    <w:rsid w:val="00221431"/>
    <w:rsid w:val="002224BF"/>
    <w:rsid w:val="00222CFE"/>
    <w:rsid w:val="0022386F"/>
    <w:rsid w:val="002245E4"/>
    <w:rsid w:val="00224709"/>
    <w:rsid w:val="00225FCC"/>
    <w:rsid w:val="002263C2"/>
    <w:rsid w:val="00226C38"/>
    <w:rsid w:val="00227FB3"/>
    <w:rsid w:val="002307CA"/>
    <w:rsid w:val="00230B75"/>
    <w:rsid w:val="00230FC3"/>
    <w:rsid w:val="002312AD"/>
    <w:rsid w:val="00231DC9"/>
    <w:rsid w:val="00233342"/>
    <w:rsid w:val="00233617"/>
    <w:rsid w:val="0023377A"/>
    <w:rsid w:val="00233AF2"/>
    <w:rsid w:val="00235016"/>
    <w:rsid w:val="00235FD5"/>
    <w:rsid w:val="00236204"/>
    <w:rsid w:val="0023627D"/>
    <w:rsid w:val="002402E2"/>
    <w:rsid w:val="002410CF"/>
    <w:rsid w:val="0024112B"/>
    <w:rsid w:val="00241505"/>
    <w:rsid w:val="00241E6C"/>
    <w:rsid w:val="00242F73"/>
    <w:rsid w:val="002434EE"/>
    <w:rsid w:val="0024373C"/>
    <w:rsid w:val="002438E3"/>
    <w:rsid w:val="00243A6D"/>
    <w:rsid w:val="00244BE6"/>
    <w:rsid w:val="0024591C"/>
    <w:rsid w:val="0024593B"/>
    <w:rsid w:val="00245F9A"/>
    <w:rsid w:val="00246EDA"/>
    <w:rsid w:val="0024797D"/>
    <w:rsid w:val="002500BA"/>
    <w:rsid w:val="00250251"/>
    <w:rsid w:val="00251187"/>
    <w:rsid w:val="00252A9D"/>
    <w:rsid w:val="00253128"/>
    <w:rsid w:val="00253CF6"/>
    <w:rsid w:val="002553B0"/>
    <w:rsid w:val="00255624"/>
    <w:rsid w:val="002566F0"/>
    <w:rsid w:val="0025759D"/>
    <w:rsid w:val="002600B3"/>
    <w:rsid w:val="002602ED"/>
    <w:rsid w:val="00260F54"/>
    <w:rsid w:val="00261D47"/>
    <w:rsid w:val="002624FD"/>
    <w:rsid w:val="00262B5D"/>
    <w:rsid w:val="00262CFA"/>
    <w:rsid w:val="00262D8D"/>
    <w:rsid w:val="00264AB4"/>
    <w:rsid w:val="00264C7C"/>
    <w:rsid w:val="00264F41"/>
    <w:rsid w:val="002655B9"/>
    <w:rsid w:val="00266065"/>
    <w:rsid w:val="0026691A"/>
    <w:rsid w:val="00266D80"/>
    <w:rsid w:val="00267999"/>
    <w:rsid w:val="00270214"/>
    <w:rsid w:val="00270523"/>
    <w:rsid w:val="0027279F"/>
    <w:rsid w:val="00273030"/>
    <w:rsid w:val="00273A86"/>
    <w:rsid w:val="00273E29"/>
    <w:rsid w:val="0027466F"/>
    <w:rsid w:val="00274DAA"/>
    <w:rsid w:val="00275608"/>
    <w:rsid w:val="00276539"/>
    <w:rsid w:val="00276601"/>
    <w:rsid w:val="0028007F"/>
    <w:rsid w:val="00284094"/>
    <w:rsid w:val="00284434"/>
    <w:rsid w:val="00285BBC"/>
    <w:rsid w:val="00285D75"/>
    <w:rsid w:val="00285DAA"/>
    <w:rsid w:val="002863D4"/>
    <w:rsid w:val="00286CE9"/>
    <w:rsid w:val="00286EAD"/>
    <w:rsid w:val="00287C58"/>
    <w:rsid w:val="00290120"/>
    <w:rsid w:val="00292D54"/>
    <w:rsid w:val="00293B02"/>
    <w:rsid w:val="0029472D"/>
    <w:rsid w:val="00294AD2"/>
    <w:rsid w:val="0029594D"/>
    <w:rsid w:val="00295CCA"/>
    <w:rsid w:val="00295D53"/>
    <w:rsid w:val="00295F88"/>
    <w:rsid w:val="00297491"/>
    <w:rsid w:val="0029792B"/>
    <w:rsid w:val="00297E7E"/>
    <w:rsid w:val="002A0083"/>
    <w:rsid w:val="002A0358"/>
    <w:rsid w:val="002A288C"/>
    <w:rsid w:val="002A31CB"/>
    <w:rsid w:val="002A3320"/>
    <w:rsid w:val="002A3430"/>
    <w:rsid w:val="002A3FAA"/>
    <w:rsid w:val="002A4796"/>
    <w:rsid w:val="002A4B2F"/>
    <w:rsid w:val="002A4DD6"/>
    <w:rsid w:val="002A5A9E"/>
    <w:rsid w:val="002A6E15"/>
    <w:rsid w:val="002A78DE"/>
    <w:rsid w:val="002A795A"/>
    <w:rsid w:val="002A7DEE"/>
    <w:rsid w:val="002B0075"/>
    <w:rsid w:val="002B00A1"/>
    <w:rsid w:val="002B068C"/>
    <w:rsid w:val="002B0914"/>
    <w:rsid w:val="002B0F69"/>
    <w:rsid w:val="002B1587"/>
    <w:rsid w:val="002B1D3F"/>
    <w:rsid w:val="002B24D6"/>
    <w:rsid w:val="002B3343"/>
    <w:rsid w:val="002B3F69"/>
    <w:rsid w:val="002B5441"/>
    <w:rsid w:val="002B6E44"/>
    <w:rsid w:val="002B7245"/>
    <w:rsid w:val="002C0176"/>
    <w:rsid w:val="002C0C85"/>
    <w:rsid w:val="002C1CC2"/>
    <w:rsid w:val="002C295D"/>
    <w:rsid w:val="002C36BC"/>
    <w:rsid w:val="002C51A5"/>
    <w:rsid w:val="002C5DFC"/>
    <w:rsid w:val="002C67F0"/>
    <w:rsid w:val="002C6C6C"/>
    <w:rsid w:val="002C707E"/>
    <w:rsid w:val="002D0BCD"/>
    <w:rsid w:val="002D15D9"/>
    <w:rsid w:val="002D22A2"/>
    <w:rsid w:val="002D2F79"/>
    <w:rsid w:val="002D3F27"/>
    <w:rsid w:val="002D40BA"/>
    <w:rsid w:val="002D40D2"/>
    <w:rsid w:val="002D4432"/>
    <w:rsid w:val="002D4A4B"/>
    <w:rsid w:val="002D5331"/>
    <w:rsid w:val="002D59B8"/>
    <w:rsid w:val="002D5A59"/>
    <w:rsid w:val="002D7331"/>
    <w:rsid w:val="002E0B59"/>
    <w:rsid w:val="002E0F27"/>
    <w:rsid w:val="002E10BA"/>
    <w:rsid w:val="002E1181"/>
    <w:rsid w:val="002E134E"/>
    <w:rsid w:val="002E1413"/>
    <w:rsid w:val="002E1836"/>
    <w:rsid w:val="002E1A5B"/>
    <w:rsid w:val="002E2172"/>
    <w:rsid w:val="002E2978"/>
    <w:rsid w:val="002E38C2"/>
    <w:rsid w:val="002E3EA4"/>
    <w:rsid w:val="002E44A9"/>
    <w:rsid w:val="002E55EE"/>
    <w:rsid w:val="002E5A12"/>
    <w:rsid w:val="002E5A8E"/>
    <w:rsid w:val="002E5D3D"/>
    <w:rsid w:val="002E68B9"/>
    <w:rsid w:val="002E6CC1"/>
    <w:rsid w:val="002E7188"/>
    <w:rsid w:val="002E7638"/>
    <w:rsid w:val="002E7D77"/>
    <w:rsid w:val="002E7E6C"/>
    <w:rsid w:val="002F0031"/>
    <w:rsid w:val="002F02F8"/>
    <w:rsid w:val="002F14A6"/>
    <w:rsid w:val="002F19E5"/>
    <w:rsid w:val="002F21E1"/>
    <w:rsid w:val="002F22EB"/>
    <w:rsid w:val="002F26AF"/>
    <w:rsid w:val="002F2FDE"/>
    <w:rsid w:val="002F353E"/>
    <w:rsid w:val="002F3DA1"/>
    <w:rsid w:val="002F463A"/>
    <w:rsid w:val="002F4CAF"/>
    <w:rsid w:val="002F5269"/>
    <w:rsid w:val="002F585B"/>
    <w:rsid w:val="002F5CA3"/>
    <w:rsid w:val="002F6221"/>
    <w:rsid w:val="002F641F"/>
    <w:rsid w:val="002F6764"/>
    <w:rsid w:val="002F7284"/>
    <w:rsid w:val="002F7576"/>
    <w:rsid w:val="002F7CAF"/>
    <w:rsid w:val="00301E05"/>
    <w:rsid w:val="00301FD3"/>
    <w:rsid w:val="00302A43"/>
    <w:rsid w:val="0030334C"/>
    <w:rsid w:val="00303623"/>
    <w:rsid w:val="003038BE"/>
    <w:rsid w:val="00303E60"/>
    <w:rsid w:val="003048D9"/>
    <w:rsid w:val="00305B05"/>
    <w:rsid w:val="00305B6E"/>
    <w:rsid w:val="00306065"/>
    <w:rsid w:val="00306A78"/>
    <w:rsid w:val="00306F2D"/>
    <w:rsid w:val="00307B79"/>
    <w:rsid w:val="00307DAA"/>
    <w:rsid w:val="00310534"/>
    <w:rsid w:val="00310A4A"/>
    <w:rsid w:val="00310AFD"/>
    <w:rsid w:val="00310F3E"/>
    <w:rsid w:val="003115BE"/>
    <w:rsid w:val="00312F48"/>
    <w:rsid w:val="003133BC"/>
    <w:rsid w:val="00313AD8"/>
    <w:rsid w:val="00314049"/>
    <w:rsid w:val="003143DA"/>
    <w:rsid w:val="00315482"/>
    <w:rsid w:val="00315ACB"/>
    <w:rsid w:val="003167ED"/>
    <w:rsid w:val="00317079"/>
    <w:rsid w:val="003202C7"/>
    <w:rsid w:val="003209CA"/>
    <w:rsid w:val="00320E9C"/>
    <w:rsid w:val="00321351"/>
    <w:rsid w:val="00321669"/>
    <w:rsid w:val="003220EE"/>
    <w:rsid w:val="0032354D"/>
    <w:rsid w:val="00324978"/>
    <w:rsid w:val="00324C8F"/>
    <w:rsid w:val="0032626C"/>
    <w:rsid w:val="0032658C"/>
    <w:rsid w:val="00326BCE"/>
    <w:rsid w:val="00327069"/>
    <w:rsid w:val="00327373"/>
    <w:rsid w:val="003279F4"/>
    <w:rsid w:val="00327C45"/>
    <w:rsid w:val="00330037"/>
    <w:rsid w:val="00331281"/>
    <w:rsid w:val="003313FF"/>
    <w:rsid w:val="0033143F"/>
    <w:rsid w:val="003315C8"/>
    <w:rsid w:val="0033178E"/>
    <w:rsid w:val="003323AE"/>
    <w:rsid w:val="003326A6"/>
    <w:rsid w:val="00334A73"/>
    <w:rsid w:val="00334D1A"/>
    <w:rsid w:val="00335ECC"/>
    <w:rsid w:val="00336CC0"/>
    <w:rsid w:val="0033717B"/>
    <w:rsid w:val="0033743B"/>
    <w:rsid w:val="00337C00"/>
    <w:rsid w:val="003411B7"/>
    <w:rsid w:val="00341619"/>
    <w:rsid w:val="00341D17"/>
    <w:rsid w:val="003420D6"/>
    <w:rsid w:val="003421ED"/>
    <w:rsid w:val="0034272E"/>
    <w:rsid w:val="00342832"/>
    <w:rsid w:val="00342D0C"/>
    <w:rsid w:val="00342D89"/>
    <w:rsid w:val="0034397A"/>
    <w:rsid w:val="00344007"/>
    <w:rsid w:val="00344068"/>
    <w:rsid w:val="003443FA"/>
    <w:rsid w:val="003447E3"/>
    <w:rsid w:val="0034480A"/>
    <w:rsid w:val="00344DB0"/>
    <w:rsid w:val="003450F5"/>
    <w:rsid w:val="00346B3F"/>
    <w:rsid w:val="003476B9"/>
    <w:rsid w:val="00347AA2"/>
    <w:rsid w:val="00350912"/>
    <w:rsid w:val="00350DF7"/>
    <w:rsid w:val="00351AFB"/>
    <w:rsid w:val="00351B24"/>
    <w:rsid w:val="00351FD1"/>
    <w:rsid w:val="00352C32"/>
    <w:rsid w:val="00353214"/>
    <w:rsid w:val="00353A9B"/>
    <w:rsid w:val="00353AF3"/>
    <w:rsid w:val="00353CDE"/>
    <w:rsid w:val="00353E61"/>
    <w:rsid w:val="00354C4D"/>
    <w:rsid w:val="003554E7"/>
    <w:rsid w:val="00355A57"/>
    <w:rsid w:val="00355C37"/>
    <w:rsid w:val="003562A0"/>
    <w:rsid w:val="00356C49"/>
    <w:rsid w:val="00356FF9"/>
    <w:rsid w:val="0036056F"/>
    <w:rsid w:val="00360B84"/>
    <w:rsid w:val="003616AE"/>
    <w:rsid w:val="00362808"/>
    <w:rsid w:val="00362E03"/>
    <w:rsid w:val="003633C4"/>
    <w:rsid w:val="0036344C"/>
    <w:rsid w:val="003636BA"/>
    <w:rsid w:val="00364109"/>
    <w:rsid w:val="003649C6"/>
    <w:rsid w:val="00365796"/>
    <w:rsid w:val="003657F9"/>
    <w:rsid w:val="00366FDD"/>
    <w:rsid w:val="00367333"/>
    <w:rsid w:val="00370237"/>
    <w:rsid w:val="003716A7"/>
    <w:rsid w:val="00371E45"/>
    <w:rsid w:val="00372761"/>
    <w:rsid w:val="00373E44"/>
    <w:rsid w:val="0037474E"/>
    <w:rsid w:val="00374865"/>
    <w:rsid w:val="003752D3"/>
    <w:rsid w:val="00375561"/>
    <w:rsid w:val="00376015"/>
    <w:rsid w:val="003761D6"/>
    <w:rsid w:val="00376A40"/>
    <w:rsid w:val="00377F59"/>
    <w:rsid w:val="00383762"/>
    <w:rsid w:val="00383DF1"/>
    <w:rsid w:val="00383E9E"/>
    <w:rsid w:val="0038446E"/>
    <w:rsid w:val="00384D4A"/>
    <w:rsid w:val="00385AE6"/>
    <w:rsid w:val="00386721"/>
    <w:rsid w:val="00386BEB"/>
    <w:rsid w:val="00386C56"/>
    <w:rsid w:val="0038735F"/>
    <w:rsid w:val="00387615"/>
    <w:rsid w:val="00387CEF"/>
    <w:rsid w:val="00390109"/>
    <w:rsid w:val="0039100C"/>
    <w:rsid w:val="003914D5"/>
    <w:rsid w:val="00391547"/>
    <w:rsid w:val="00391610"/>
    <w:rsid w:val="00391F5A"/>
    <w:rsid w:val="00392247"/>
    <w:rsid w:val="00392326"/>
    <w:rsid w:val="00392762"/>
    <w:rsid w:val="0039326B"/>
    <w:rsid w:val="00393571"/>
    <w:rsid w:val="00393D2E"/>
    <w:rsid w:val="00393F99"/>
    <w:rsid w:val="00395674"/>
    <w:rsid w:val="00395D83"/>
    <w:rsid w:val="00396608"/>
    <w:rsid w:val="00396A97"/>
    <w:rsid w:val="00396B29"/>
    <w:rsid w:val="00396C27"/>
    <w:rsid w:val="003978C5"/>
    <w:rsid w:val="003A0762"/>
    <w:rsid w:val="003A0BD9"/>
    <w:rsid w:val="003A1462"/>
    <w:rsid w:val="003A1B86"/>
    <w:rsid w:val="003A1E05"/>
    <w:rsid w:val="003A1FCF"/>
    <w:rsid w:val="003A232F"/>
    <w:rsid w:val="003A27C6"/>
    <w:rsid w:val="003A2984"/>
    <w:rsid w:val="003A33ED"/>
    <w:rsid w:val="003A3A06"/>
    <w:rsid w:val="003A410F"/>
    <w:rsid w:val="003A41A5"/>
    <w:rsid w:val="003A4D5E"/>
    <w:rsid w:val="003A51B7"/>
    <w:rsid w:val="003A531B"/>
    <w:rsid w:val="003A568D"/>
    <w:rsid w:val="003A56BC"/>
    <w:rsid w:val="003A5DF8"/>
    <w:rsid w:val="003A61D4"/>
    <w:rsid w:val="003A62F0"/>
    <w:rsid w:val="003A6370"/>
    <w:rsid w:val="003A6825"/>
    <w:rsid w:val="003A69C7"/>
    <w:rsid w:val="003A6A94"/>
    <w:rsid w:val="003A6AD5"/>
    <w:rsid w:val="003A763B"/>
    <w:rsid w:val="003A7C08"/>
    <w:rsid w:val="003A7C2E"/>
    <w:rsid w:val="003B0756"/>
    <w:rsid w:val="003B0976"/>
    <w:rsid w:val="003B0F27"/>
    <w:rsid w:val="003B1A0B"/>
    <w:rsid w:val="003B1D94"/>
    <w:rsid w:val="003B1E02"/>
    <w:rsid w:val="003B2074"/>
    <w:rsid w:val="003B2D6C"/>
    <w:rsid w:val="003B34A5"/>
    <w:rsid w:val="003B367B"/>
    <w:rsid w:val="003B3C6C"/>
    <w:rsid w:val="003B3EB0"/>
    <w:rsid w:val="003B4179"/>
    <w:rsid w:val="003B4D3F"/>
    <w:rsid w:val="003B4F71"/>
    <w:rsid w:val="003B5B2E"/>
    <w:rsid w:val="003B6930"/>
    <w:rsid w:val="003B6B55"/>
    <w:rsid w:val="003B6B88"/>
    <w:rsid w:val="003B6DB5"/>
    <w:rsid w:val="003C009B"/>
    <w:rsid w:val="003C09B6"/>
    <w:rsid w:val="003C2EB1"/>
    <w:rsid w:val="003C48A7"/>
    <w:rsid w:val="003C5075"/>
    <w:rsid w:val="003C54BB"/>
    <w:rsid w:val="003C5E4C"/>
    <w:rsid w:val="003C62BD"/>
    <w:rsid w:val="003C63E1"/>
    <w:rsid w:val="003C6845"/>
    <w:rsid w:val="003C6EBA"/>
    <w:rsid w:val="003C7044"/>
    <w:rsid w:val="003C78FC"/>
    <w:rsid w:val="003D086C"/>
    <w:rsid w:val="003D097B"/>
    <w:rsid w:val="003D0B4B"/>
    <w:rsid w:val="003D0CC8"/>
    <w:rsid w:val="003D0DB6"/>
    <w:rsid w:val="003D416D"/>
    <w:rsid w:val="003D4290"/>
    <w:rsid w:val="003D5BFF"/>
    <w:rsid w:val="003D5C90"/>
    <w:rsid w:val="003D62B1"/>
    <w:rsid w:val="003D6A52"/>
    <w:rsid w:val="003D6C76"/>
    <w:rsid w:val="003D711C"/>
    <w:rsid w:val="003E05DF"/>
    <w:rsid w:val="003E0634"/>
    <w:rsid w:val="003E0FE6"/>
    <w:rsid w:val="003E1314"/>
    <w:rsid w:val="003E2482"/>
    <w:rsid w:val="003E3838"/>
    <w:rsid w:val="003E3E63"/>
    <w:rsid w:val="003E4210"/>
    <w:rsid w:val="003E4C44"/>
    <w:rsid w:val="003E4F98"/>
    <w:rsid w:val="003E5A70"/>
    <w:rsid w:val="003E6881"/>
    <w:rsid w:val="003E6B75"/>
    <w:rsid w:val="003E74FD"/>
    <w:rsid w:val="003F013F"/>
    <w:rsid w:val="003F03CE"/>
    <w:rsid w:val="003F09FE"/>
    <w:rsid w:val="003F1231"/>
    <w:rsid w:val="003F18AE"/>
    <w:rsid w:val="003F21D4"/>
    <w:rsid w:val="003F2875"/>
    <w:rsid w:val="003F28D0"/>
    <w:rsid w:val="003F38BC"/>
    <w:rsid w:val="003F3EC6"/>
    <w:rsid w:val="003F5328"/>
    <w:rsid w:val="003F58F2"/>
    <w:rsid w:val="003F74B2"/>
    <w:rsid w:val="003F75A6"/>
    <w:rsid w:val="004010C3"/>
    <w:rsid w:val="00402216"/>
    <w:rsid w:val="0040275B"/>
    <w:rsid w:val="00403A3B"/>
    <w:rsid w:val="00403F23"/>
    <w:rsid w:val="004049CC"/>
    <w:rsid w:val="00405F0A"/>
    <w:rsid w:val="0040664C"/>
    <w:rsid w:val="00406E26"/>
    <w:rsid w:val="004072E1"/>
    <w:rsid w:val="00407BA7"/>
    <w:rsid w:val="004118AB"/>
    <w:rsid w:val="00412182"/>
    <w:rsid w:val="00412F1A"/>
    <w:rsid w:val="004142C7"/>
    <w:rsid w:val="00414B8C"/>
    <w:rsid w:val="00414C21"/>
    <w:rsid w:val="00414E75"/>
    <w:rsid w:val="00415642"/>
    <w:rsid w:val="00415F85"/>
    <w:rsid w:val="00416095"/>
    <w:rsid w:val="0041621B"/>
    <w:rsid w:val="00416B89"/>
    <w:rsid w:val="004179C3"/>
    <w:rsid w:val="0042011F"/>
    <w:rsid w:val="00420644"/>
    <w:rsid w:val="004209E3"/>
    <w:rsid w:val="00420D5C"/>
    <w:rsid w:val="00421047"/>
    <w:rsid w:val="004218FF"/>
    <w:rsid w:val="00421F42"/>
    <w:rsid w:val="0042248B"/>
    <w:rsid w:val="0042325A"/>
    <w:rsid w:val="0042403C"/>
    <w:rsid w:val="00424154"/>
    <w:rsid w:val="004249EC"/>
    <w:rsid w:val="004253AE"/>
    <w:rsid w:val="00425C05"/>
    <w:rsid w:val="00426277"/>
    <w:rsid w:val="004269B6"/>
    <w:rsid w:val="00426CD9"/>
    <w:rsid w:val="00426F80"/>
    <w:rsid w:val="00427C9C"/>
    <w:rsid w:val="00427DE0"/>
    <w:rsid w:val="004300E7"/>
    <w:rsid w:val="004308BB"/>
    <w:rsid w:val="0043130C"/>
    <w:rsid w:val="00431905"/>
    <w:rsid w:val="0043472E"/>
    <w:rsid w:val="004350D8"/>
    <w:rsid w:val="00435A46"/>
    <w:rsid w:val="00435C67"/>
    <w:rsid w:val="00435F1F"/>
    <w:rsid w:val="004404B0"/>
    <w:rsid w:val="00440E0D"/>
    <w:rsid w:val="00441ABC"/>
    <w:rsid w:val="00442088"/>
    <w:rsid w:val="004427D5"/>
    <w:rsid w:val="00443160"/>
    <w:rsid w:val="00444160"/>
    <w:rsid w:val="00444835"/>
    <w:rsid w:val="004459A3"/>
    <w:rsid w:val="004459B1"/>
    <w:rsid w:val="0044653A"/>
    <w:rsid w:val="0045004D"/>
    <w:rsid w:val="004500BA"/>
    <w:rsid w:val="0045068D"/>
    <w:rsid w:val="00450FA6"/>
    <w:rsid w:val="00451732"/>
    <w:rsid w:val="00451B08"/>
    <w:rsid w:val="004522A6"/>
    <w:rsid w:val="0045235D"/>
    <w:rsid w:val="004527AF"/>
    <w:rsid w:val="00452A02"/>
    <w:rsid w:val="00452E95"/>
    <w:rsid w:val="00453267"/>
    <w:rsid w:val="00453940"/>
    <w:rsid w:val="00453961"/>
    <w:rsid w:val="00453B47"/>
    <w:rsid w:val="00454166"/>
    <w:rsid w:val="00454210"/>
    <w:rsid w:val="00454B3D"/>
    <w:rsid w:val="004564EE"/>
    <w:rsid w:val="00456A88"/>
    <w:rsid w:val="00456DEF"/>
    <w:rsid w:val="004602E9"/>
    <w:rsid w:val="004614BD"/>
    <w:rsid w:val="00461CEB"/>
    <w:rsid w:val="0046233B"/>
    <w:rsid w:val="00462724"/>
    <w:rsid w:val="00462BB7"/>
    <w:rsid w:val="00463267"/>
    <w:rsid w:val="00463318"/>
    <w:rsid w:val="00463BF2"/>
    <w:rsid w:val="004647C4"/>
    <w:rsid w:val="004654C1"/>
    <w:rsid w:val="00465794"/>
    <w:rsid w:val="00466D87"/>
    <w:rsid w:val="004675C2"/>
    <w:rsid w:val="00467B73"/>
    <w:rsid w:val="00470053"/>
    <w:rsid w:val="004703E2"/>
    <w:rsid w:val="00471C68"/>
    <w:rsid w:val="0047262A"/>
    <w:rsid w:val="0047264A"/>
    <w:rsid w:val="00472F4D"/>
    <w:rsid w:val="00473946"/>
    <w:rsid w:val="00474011"/>
    <w:rsid w:val="00474686"/>
    <w:rsid w:val="00474A4A"/>
    <w:rsid w:val="00475243"/>
    <w:rsid w:val="00475A66"/>
    <w:rsid w:val="0047721A"/>
    <w:rsid w:val="004774B6"/>
    <w:rsid w:val="004776CD"/>
    <w:rsid w:val="0048066D"/>
    <w:rsid w:val="00480C0B"/>
    <w:rsid w:val="00481EB3"/>
    <w:rsid w:val="004820C7"/>
    <w:rsid w:val="00483349"/>
    <w:rsid w:val="00484682"/>
    <w:rsid w:val="00484685"/>
    <w:rsid w:val="00486611"/>
    <w:rsid w:val="00486DF0"/>
    <w:rsid w:val="00487FBB"/>
    <w:rsid w:val="004905B1"/>
    <w:rsid w:val="00490A69"/>
    <w:rsid w:val="00492549"/>
    <w:rsid w:val="00492876"/>
    <w:rsid w:val="00493635"/>
    <w:rsid w:val="00493D4B"/>
    <w:rsid w:val="00494191"/>
    <w:rsid w:val="00494BAC"/>
    <w:rsid w:val="004952E0"/>
    <w:rsid w:val="0049538B"/>
    <w:rsid w:val="0049619C"/>
    <w:rsid w:val="00497080"/>
    <w:rsid w:val="004A06D9"/>
    <w:rsid w:val="004A100F"/>
    <w:rsid w:val="004A10DF"/>
    <w:rsid w:val="004A1B0A"/>
    <w:rsid w:val="004A1B5F"/>
    <w:rsid w:val="004A2581"/>
    <w:rsid w:val="004A295B"/>
    <w:rsid w:val="004A2DA8"/>
    <w:rsid w:val="004A37BF"/>
    <w:rsid w:val="004A4151"/>
    <w:rsid w:val="004A4B2C"/>
    <w:rsid w:val="004A5321"/>
    <w:rsid w:val="004A5F74"/>
    <w:rsid w:val="004A6020"/>
    <w:rsid w:val="004A74D4"/>
    <w:rsid w:val="004A759E"/>
    <w:rsid w:val="004B0EE7"/>
    <w:rsid w:val="004B12FF"/>
    <w:rsid w:val="004B1C51"/>
    <w:rsid w:val="004B1E8D"/>
    <w:rsid w:val="004B263B"/>
    <w:rsid w:val="004B276F"/>
    <w:rsid w:val="004B2B88"/>
    <w:rsid w:val="004B2D85"/>
    <w:rsid w:val="004B2E97"/>
    <w:rsid w:val="004B3398"/>
    <w:rsid w:val="004B3BA9"/>
    <w:rsid w:val="004B431B"/>
    <w:rsid w:val="004B4FDD"/>
    <w:rsid w:val="004B6C32"/>
    <w:rsid w:val="004B74D8"/>
    <w:rsid w:val="004B7716"/>
    <w:rsid w:val="004B7B76"/>
    <w:rsid w:val="004C0487"/>
    <w:rsid w:val="004C0579"/>
    <w:rsid w:val="004C0B0D"/>
    <w:rsid w:val="004C0F48"/>
    <w:rsid w:val="004C1650"/>
    <w:rsid w:val="004C28F8"/>
    <w:rsid w:val="004C3019"/>
    <w:rsid w:val="004C3D4F"/>
    <w:rsid w:val="004C46DC"/>
    <w:rsid w:val="004C4767"/>
    <w:rsid w:val="004C4B5E"/>
    <w:rsid w:val="004C5498"/>
    <w:rsid w:val="004C7270"/>
    <w:rsid w:val="004C7B28"/>
    <w:rsid w:val="004C7B98"/>
    <w:rsid w:val="004D2425"/>
    <w:rsid w:val="004D3244"/>
    <w:rsid w:val="004D33D2"/>
    <w:rsid w:val="004D3C7C"/>
    <w:rsid w:val="004D5923"/>
    <w:rsid w:val="004E06E2"/>
    <w:rsid w:val="004E0BB8"/>
    <w:rsid w:val="004E1AB1"/>
    <w:rsid w:val="004E1F93"/>
    <w:rsid w:val="004E208B"/>
    <w:rsid w:val="004E22FF"/>
    <w:rsid w:val="004E238B"/>
    <w:rsid w:val="004E364C"/>
    <w:rsid w:val="004E458D"/>
    <w:rsid w:val="004E4933"/>
    <w:rsid w:val="004E498C"/>
    <w:rsid w:val="004E4B09"/>
    <w:rsid w:val="004E5E4B"/>
    <w:rsid w:val="004E639D"/>
    <w:rsid w:val="004E6863"/>
    <w:rsid w:val="004E7486"/>
    <w:rsid w:val="004E7671"/>
    <w:rsid w:val="004E7BA6"/>
    <w:rsid w:val="004F02AC"/>
    <w:rsid w:val="004F04A8"/>
    <w:rsid w:val="004F0713"/>
    <w:rsid w:val="004F0DC6"/>
    <w:rsid w:val="004F1543"/>
    <w:rsid w:val="004F170A"/>
    <w:rsid w:val="004F2657"/>
    <w:rsid w:val="004F32FF"/>
    <w:rsid w:val="004F3B30"/>
    <w:rsid w:val="004F3B4D"/>
    <w:rsid w:val="004F3D3A"/>
    <w:rsid w:val="004F3E85"/>
    <w:rsid w:val="004F531D"/>
    <w:rsid w:val="004F5B21"/>
    <w:rsid w:val="004F6D17"/>
    <w:rsid w:val="004F6DA1"/>
    <w:rsid w:val="004F7B2E"/>
    <w:rsid w:val="00500A49"/>
    <w:rsid w:val="00502320"/>
    <w:rsid w:val="00503A29"/>
    <w:rsid w:val="00504977"/>
    <w:rsid w:val="00504C0D"/>
    <w:rsid w:val="00504DAF"/>
    <w:rsid w:val="00505DB3"/>
    <w:rsid w:val="005062F7"/>
    <w:rsid w:val="005064A7"/>
    <w:rsid w:val="00506539"/>
    <w:rsid w:val="005068D8"/>
    <w:rsid w:val="00506ADA"/>
    <w:rsid w:val="0050737A"/>
    <w:rsid w:val="00507889"/>
    <w:rsid w:val="00507CDA"/>
    <w:rsid w:val="005100D4"/>
    <w:rsid w:val="005111B3"/>
    <w:rsid w:val="0051139E"/>
    <w:rsid w:val="005119D5"/>
    <w:rsid w:val="00512810"/>
    <w:rsid w:val="00512BBD"/>
    <w:rsid w:val="00513CC0"/>
    <w:rsid w:val="00513DAA"/>
    <w:rsid w:val="00514316"/>
    <w:rsid w:val="0051534A"/>
    <w:rsid w:val="005153B0"/>
    <w:rsid w:val="00515542"/>
    <w:rsid w:val="00515941"/>
    <w:rsid w:val="0051643A"/>
    <w:rsid w:val="005172D4"/>
    <w:rsid w:val="00517AA7"/>
    <w:rsid w:val="00520D24"/>
    <w:rsid w:val="0052116C"/>
    <w:rsid w:val="00521349"/>
    <w:rsid w:val="0052197F"/>
    <w:rsid w:val="00522034"/>
    <w:rsid w:val="00523080"/>
    <w:rsid w:val="005233A5"/>
    <w:rsid w:val="00523F93"/>
    <w:rsid w:val="0052428B"/>
    <w:rsid w:val="005246F7"/>
    <w:rsid w:val="00524C60"/>
    <w:rsid w:val="00524E40"/>
    <w:rsid w:val="005257B1"/>
    <w:rsid w:val="00525D4E"/>
    <w:rsid w:val="00525E4E"/>
    <w:rsid w:val="00526692"/>
    <w:rsid w:val="00527B9E"/>
    <w:rsid w:val="005318CD"/>
    <w:rsid w:val="00531B22"/>
    <w:rsid w:val="00532828"/>
    <w:rsid w:val="00533D4E"/>
    <w:rsid w:val="005354BD"/>
    <w:rsid w:val="005358C0"/>
    <w:rsid w:val="00535FF6"/>
    <w:rsid w:val="00536A57"/>
    <w:rsid w:val="00536C07"/>
    <w:rsid w:val="00536E9C"/>
    <w:rsid w:val="005376E8"/>
    <w:rsid w:val="005405CF"/>
    <w:rsid w:val="005415C5"/>
    <w:rsid w:val="0054263D"/>
    <w:rsid w:val="005438DB"/>
    <w:rsid w:val="0054539A"/>
    <w:rsid w:val="0054559D"/>
    <w:rsid w:val="00546398"/>
    <w:rsid w:val="00547880"/>
    <w:rsid w:val="00547B55"/>
    <w:rsid w:val="00550BF7"/>
    <w:rsid w:val="005515BB"/>
    <w:rsid w:val="00552C24"/>
    <w:rsid w:val="00552F0E"/>
    <w:rsid w:val="00552F44"/>
    <w:rsid w:val="00553231"/>
    <w:rsid w:val="005539C1"/>
    <w:rsid w:val="00554053"/>
    <w:rsid w:val="00555973"/>
    <w:rsid w:val="005575A4"/>
    <w:rsid w:val="00557C30"/>
    <w:rsid w:val="0056079A"/>
    <w:rsid w:val="00560D6D"/>
    <w:rsid w:val="00560FF4"/>
    <w:rsid w:val="00561F7D"/>
    <w:rsid w:val="00562618"/>
    <w:rsid w:val="00563909"/>
    <w:rsid w:val="0056414C"/>
    <w:rsid w:val="005642A1"/>
    <w:rsid w:val="00565FEF"/>
    <w:rsid w:val="00567733"/>
    <w:rsid w:val="0056782D"/>
    <w:rsid w:val="005700BF"/>
    <w:rsid w:val="00572A5C"/>
    <w:rsid w:val="00572DDF"/>
    <w:rsid w:val="00572EC5"/>
    <w:rsid w:val="005737D7"/>
    <w:rsid w:val="00574408"/>
    <w:rsid w:val="00574727"/>
    <w:rsid w:val="005748CD"/>
    <w:rsid w:val="005762FB"/>
    <w:rsid w:val="005764E2"/>
    <w:rsid w:val="0057700D"/>
    <w:rsid w:val="00577B19"/>
    <w:rsid w:val="00580E5A"/>
    <w:rsid w:val="005814AB"/>
    <w:rsid w:val="00582ACA"/>
    <w:rsid w:val="00583960"/>
    <w:rsid w:val="00583A07"/>
    <w:rsid w:val="00583FBB"/>
    <w:rsid w:val="00584148"/>
    <w:rsid w:val="00584230"/>
    <w:rsid w:val="00584FA4"/>
    <w:rsid w:val="005856BA"/>
    <w:rsid w:val="005857F3"/>
    <w:rsid w:val="00585B00"/>
    <w:rsid w:val="00586005"/>
    <w:rsid w:val="00586E03"/>
    <w:rsid w:val="00587D0C"/>
    <w:rsid w:val="005902F7"/>
    <w:rsid w:val="00590C2A"/>
    <w:rsid w:val="00591742"/>
    <w:rsid w:val="00591BF0"/>
    <w:rsid w:val="00592EAB"/>
    <w:rsid w:val="00594705"/>
    <w:rsid w:val="00594DA6"/>
    <w:rsid w:val="00594E3F"/>
    <w:rsid w:val="00595932"/>
    <w:rsid w:val="005979B7"/>
    <w:rsid w:val="00597D2A"/>
    <w:rsid w:val="005A00E2"/>
    <w:rsid w:val="005A0A27"/>
    <w:rsid w:val="005A0C94"/>
    <w:rsid w:val="005A126D"/>
    <w:rsid w:val="005A187C"/>
    <w:rsid w:val="005A509E"/>
    <w:rsid w:val="005A5AF5"/>
    <w:rsid w:val="005A5B45"/>
    <w:rsid w:val="005A6208"/>
    <w:rsid w:val="005A660B"/>
    <w:rsid w:val="005A6718"/>
    <w:rsid w:val="005A6931"/>
    <w:rsid w:val="005B0194"/>
    <w:rsid w:val="005B14DB"/>
    <w:rsid w:val="005B2980"/>
    <w:rsid w:val="005B2A93"/>
    <w:rsid w:val="005B38DA"/>
    <w:rsid w:val="005B483D"/>
    <w:rsid w:val="005B4BB9"/>
    <w:rsid w:val="005B4E6D"/>
    <w:rsid w:val="005B5229"/>
    <w:rsid w:val="005B552D"/>
    <w:rsid w:val="005B60C6"/>
    <w:rsid w:val="005B76BF"/>
    <w:rsid w:val="005B7DF3"/>
    <w:rsid w:val="005B7F3B"/>
    <w:rsid w:val="005C068F"/>
    <w:rsid w:val="005C086E"/>
    <w:rsid w:val="005C0FA4"/>
    <w:rsid w:val="005C295D"/>
    <w:rsid w:val="005C2B7F"/>
    <w:rsid w:val="005C2BFD"/>
    <w:rsid w:val="005C2CA5"/>
    <w:rsid w:val="005C32BF"/>
    <w:rsid w:val="005C3360"/>
    <w:rsid w:val="005C4648"/>
    <w:rsid w:val="005C49A7"/>
    <w:rsid w:val="005C4EC0"/>
    <w:rsid w:val="005C4EF6"/>
    <w:rsid w:val="005C4F49"/>
    <w:rsid w:val="005C6107"/>
    <w:rsid w:val="005C62C2"/>
    <w:rsid w:val="005C69F3"/>
    <w:rsid w:val="005C6BAE"/>
    <w:rsid w:val="005C70C2"/>
    <w:rsid w:val="005D024B"/>
    <w:rsid w:val="005D06DB"/>
    <w:rsid w:val="005D0A59"/>
    <w:rsid w:val="005D14B8"/>
    <w:rsid w:val="005D165B"/>
    <w:rsid w:val="005D18CE"/>
    <w:rsid w:val="005D1BAC"/>
    <w:rsid w:val="005D1C08"/>
    <w:rsid w:val="005D1D64"/>
    <w:rsid w:val="005D1F8F"/>
    <w:rsid w:val="005D2619"/>
    <w:rsid w:val="005D325A"/>
    <w:rsid w:val="005D5628"/>
    <w:rsid w:val="005D70F5"/>
    <w:rsid w:val="005D75B8"/>
    <w:rsid w:val="005D768C"/>
    <w:rsid w:val="005D7D63"/>
    <w:rsid w:val="005E0920"/>
    <w:rsid w:val="005E1E88"/>
    <w:rsid w:val="005E2070"/>
    <w:rsid w:val="005E20FB"/>
    <w:rsid w:val="005E246A"/>
    <w:rsid w:val="005E333C"/>
    <w:rsid w:val="005E3A8A"/>
    <w:rsid w:val="005E5A03"/>
    <w:rsid w:val="005E6F46"/>
    <w:rsid w:val="005E7806"/>
    <w:rsid w:val="005F050F"/>
    <w:rsid w:val="005F10B2"/>
    <w:rsid w:val="005F118B"/>
    <w:rsid w:val="005F155D"/>
    <w:rsid w:val="005F1801"/>
    <w:rsid w:val="005F1F07"/>
    <w:rsid w:val="005F2BE2"/>
    <w:rsid w:val="005F362E"/>
    <w:rsid w:val="005F5905"/>
    <w:rsid w:val="005F5D8C"/>
    <w:rsid w:val="005F7E2F"/>
    <w:rsid w:val="00600B1C"/>
    <w:rsid w:val="00600EA4"/>
    <w:rsid w:val="006011BD"/>
    <w:rsid w:val="006014A6"/>
    <w:rsid w:val="00601FB2"/>
    <w:rsid w:val="006020CA"/>
    <w:rsid w:val="00602C13"/>
    <w:rsid w:val="00602F8E"/>
    <w:rsid w:val="00603278"/>
    <w:rsid w:val="00603D40"/>
    <w:rsid w:val="00610206"/>
    <w:rsid w:val="0061028C"/>
    <w:rsid w:val="00610756"/>
    <w:rsid w:val="00611000"/>
    <w:rsid w:val="0061106B"/>
    <w:rsid w:val="0061125A"/>
    <w:rsid w:val="00613435"/>
    <w:rsid w:val="00613C37"/>
    <w:rsid w:val="00614926"/>
    <w:rsid w:val="0061507C"/>
    <w:rsid w:val="006160DA"/>
    <w:rsid w:val="0061676B"/>
    <w:rsid w:val="0061741F"/>
    <w:rsid w:val="00617588"/>
    <w:rsid w:val="00617932"/>
    <w:rsid w:val="00617BA7"/>
    <w:rsid w:val="006202BD"/>
    <w:rsid w:val="006214E8"/>
    <w:rsid w:val="0062279D"/>
    <w:rsid w:val="00622E0F"/>
    <w:rsid w:val="00622FD4"/>
    <w:rsid w:val="00623148"/>
    <w:rsid w:val="00623896"/>
    <w:rsid w:val="00623E67"/>
    <w:rsid w:val="00624A60"/>
    <w:rsid w:val="00625852"/>
    <w:rsid w:val="00625989"/>
    <w:rsid w:val="0062606F"/>
    <w:rsid w:val="00626175"/>
    <w:rsid w:val="00626433"/>
    <w:rsid w:val="00626505"/>
    <w:rsid w:val="006267D7"/>
    <w:rsid w:val="00626EF5"/>
    <w:rsid w:val="006277B6"/>
    <w:rsid w:val="00627B13"/>
    <w:rsid w:val="00627B4E"/>
    <w:rsid w:val="0063054C"/>
    <w:rsid w:val="0063119A"/>
    <w:rsid w:val="006312E8"/>
    <w:rsid w:val="00631975"/>
    <w:rsid w:val="006320EB"/>
    <w:rsid w:val="006323D7"/>
    <w:rsid w:val="00632434"/>
    <w:rsid w:val="00632FAB"/>
    <w:rsid w:val="00634B7F"/>
    <w:rsid w:val="00634BFB"/>
    <w:rsid w:val="006351AD"/>
    <w:rsid w:val="00635509"/>
    <w:rsid w:val="00635685"/>
    <w:rsid w:val="006363A3"/>
    <w:rsid w:val="006364E2"/>
    <w:rsid w:val="00637D40"/>
    <w:rsid w:val="00640479"/>
    <w:rsid w:val="006405A2"/>
    <w:rsid w:val="0064079C"/>
    <w:rsid w:val="00640D62"/>
    <w:rsid w:val="0064135F"/>
    <w:rsid w:val="00641467"/>
    <w:rsid w:val="006422AF"/>
    <w:rsid w:val="00642C8A"/>
    <w:rsid w:val="00644B6D"/>
    <w:rsid w:val="006454C2"/>
    <w:rsid w:val="006457C7"/>
    <w:rsid w:val="006457EE"/>
    <w:rsid w:val="00645D73"/>
    <w:rsid w:val="0064662D"/>
    <w:rsid w:val="00646A89"/>
    <w:rsid w:val="00651E8E"/>
    <w:rsid w:val="00652E97"/>
    <w:rsid w:val="00653823"/>
    <w:rsid w:val="00653CF4"/>
    <w:rsid w:val="00655232"/>
    <w:rsid w:val="00657431"/>
    <w:rsid w:val="00657875"/>
    <w:rsid w:val="006579A7"/>
    <w:rsid w:val="00657C3F"/>
    <w:rsid w:val="00660050"/>
    <w:rsid w:val="0066104E"/>
    <w:rsid w:val="00661576"/>
    <w:rsid w:val="00661B1A"/>
    <w:rsid w:val="00662B29"/>
    <w:rsid w:val="00662B77"/>
    <w:rsid w:val="00662F8E"/>
    <w:rsid w:val="00663513"/>
    <w:rsid w:val="006640CF"/>
    <w:rsid w:val="00664F0E"/>
    <w:rsid w:val="006656C8"/>
    <w:rsid w:val="00665ADD"/>
    <w:rsid w:val="00666B7E"/>
    <w:rsid w:val="00666BFE"/>
    <w:rsid w:val="00666D12"/>
    <w:rsid w:val="00666F22"/>
    <w:rsid w:val="00666FC6"/>
    <w:rsid w:val="00666FF2"/>
    <w:rsid w:val="006678E8"/>
    <w:rsid w:val="006701FB"/>
    <w:rsid w:val="00670348"/>
    <w:rsid w:val="00671179"/>
    <w:rsid w:val="00671BA2"/>
    <w:rsid w:val="00671CF0"/>
    <w:rsid w:val="0067241E"/>
    <w:rsid w:val="0067289C"/>
    <w:rsid w:val="00673418"/>
    <w:rsid w:val="006739A1"/>
    <w:rsid w:val="006739ED"/>
    <w:rsid w:val="0067432C"/>
    <w:rsid w:val="00674C3F"/>
    <w:rsid w:val="00675453"/>
    <w:rsid w:val="00675D06"/>
    <w:rsid w:val="0067608D"/>
    <w:rsid w:val="00676765"/>
    <w:rsid w:val="00676785"/>
    <w:rsid w:val="006778C1"/>
    <w:rsid w:val="00680237"/>
    <w:rsid w:val="00680512"/>
    <w:rsid w:val="00681311"/>
    <w:rsid w:val="006822CD"/>
    <w:rsid w:val="00683175"/>
    <w:rsid w:val="00683BF9"/>
    <w:rsid w:val="00683FAF"/>
    <w:rsid w:val="00684AE0"/>
    <w:rsid w:val="006851F1"/>
    <w:rsid w:val="006861A3"/>
    <w:rsid w:val="0068663A"/>
    <w:rsid w:val="00687E1C"/>
    <w:rsid w:val="00691F16"/>
    <w:rsid w:val="00692541"/>
    <w:rsid w:val="006934B2"/>
    <w:rsid w:val="00693A07"/>
    <w:rsid w:val="00693BAD"/>
    <w:rsid w:val="006967BC"/>
    <w:rsid w:val="0069685E"/>
    <w:rsid w:val="00696AC3"/>
    <w:rsid w:val="006A3CC9"/>
    <w:rsid w:val="006A5477"/>
    <w:rsid w:val="006A5D2C"/>
    <w:rsid w:val="006A7C54"/>
    <w:rsid w:val="006B0F1D"/>
    <w:rsid w:val="006B1639"/>
    <w:rsid w:val="006B24D2"/>
    <w:rsid w:val="006B352F"/>
    <w:rsid w:val="006B35C6"/>
    <w:rsid w:val="006B384B"/>
    <w:rsid w:val="006B3D29"/>
    <w:rsid w:val="006B4867"/>
    <w:rsid w:val="006B4908"/>
    <w:rsid w:val="006B672F"/>
    <w:rsid w:val="006B780F"/>
    <w:rsid w:val="006B7D95"/>
    <w:rsid w:val="006B7FDC"/>
    <w:rsid w:val="006C1282"/>
    <w:rsid w:val="006C33A9"/>
    <w:rsid w:val="006C35F6"/>
    <w:rsid w:val="006C366F"/>
    <w:rsid w:val="006C3F33"/>
    <w:rsid w:val="006C4501"/>
    <w:rsid w:val="006C4543"/>
    <w:rsid w:val="006C4591"/>
    <w:rsid w:val="006C4C6A"/>
    <w:rsid w:val="006C586E"/>
    <w:rsid w:val="006C608F"/>
    <w:rsid w:val="006C6432"/>
    <w:rsid w:val="006C6594"/>
    <w:rsid w:val="006C6D75"/>
    <w:rsid w:val="006C7CA9"/>
    <w:rsid w:val="006C7E86"/>
    <w:rsid w:val="006D15A4"/>
    <w:rsid w:val="006D16B5"/>
    <w:rsid w:val="006D2E2F"/>
    <w:rsid w:val="006D31EE"/>
    <w:rsid w:val="006D41E1"/>
    <w:rsid w:val="006D49BD"/>
    <w:rsid w:val="006D4AB4"/>
    <w:rsid w:val="006D5AF0"/>
    <w:rsid w:val="006D5DBC"/>
    <w:rsid w:val="006D72FD"/>
    <w:rsid w:val="006D7361"/>
    <w:rsid w:val="006D7565"/>
    <w:rsid w:val="006D7B49"/>
    <w:rsid w:val="006D7D46"/>
    <w:rsid w:val="006E05CB"/>
    <w:rsid w:val="006E060C"/>
    <w:rsid w:val="006E08CA"/>
    <w:rsid w:val="006E14BA"/>
    <w:rsid w:val="006E1786"/>
    <w:rsid w:val="006E1C83"/>
    <w:rsid w:val="006E2984"/>
    <w:rsid w:val="006E2DD7"/>
    <w:rsid w:val="006E2F0D"/>
    <w:rsid w:val="006E2F5F"/>
    <w:rsid w:val="006E308C"/>
    <w:rsid w:val="006E355E"/>
    <w:rsid w:val="006E412F"/>
    <w:rsid w:val="006E433D"/>
    <w:rsid w:val="006E4E73"/>
    <w:rsid w:val="006E4E7D"/>
    <w:rsid w:val="006E6661"/>
    <w:rsid w:val="006E6929"/>
    <w:rsid w:val="006E74BE"/>
    <w:rsid w:val="006E7CBD"/>
    <w:rsid w:val="006F01F4"/>
    <w:rsid w:val="006F05E7"/>
    <w:rsid w:val="006F1B53"/>
    <w:rsid w:val="006F24BA"/>
    <w:rsid w:val="006F4C23"/>
    <w:rsid w:val="006F53EA"/>
    <w:rsid w:val="006F558C"/>
    <w:rsid w:val="006F56B0"/>
    <w:rsid w:val="006F5CF8"/>
    <w:rsid w:val="006F65DB"/>
    <w:rsid w:val="006F67DC"/>
    <w:rsid w:val="006F6919"/>
    <w:rsid w:val="006F6B96"/>
    <w:rsid w:val="006F6C87"/>
    <w:rsid w:val="006F772F"/>
    <w:rsid w:val="006F78FF"/>
    <w:rsid w:val="00700BE6"/>
    <w:rsid w:val="0070149B"/>
    <w:rsid w:val="0070199C"/>
    <w:rsid w:val="0070222E"/>
    <w:rsid w:val="007049F7"/>
    <w:rsid w:val="00704EC2"/>
    <w:rsid w:val="0070584E"/>
    <w:rsid w:val="00707676"/>
    <w:rsid w:val="00710798"/>
    <w:rsid w:val="0071178F"/>
    <w:rsid w:val="00712643"/>
    <w:rsid w:val="00713502"/>
    <w:rsid w:val="00713BCD"/>
    <w:rsid w:val="0071433E"/>
    <w:rsid w:val="0071441C"/>
    <w:rsid w:val="00714BEB"/>
    <w:rsid w:val="00714D8B"/>
    <w:rsid w:val="007152D8"/>
    <w:rsid w:val="007153C7"/>
    <w:rsid w:val="00715E09"/>
    <w:rsid w:val="00716CF1"/>
    <w:rsid w:val="007171B9"/>
    <w:rsid w:val="0071752D"/>
    <w:rsid w:val="00717700"/>
    <w:rsid w:val="007200C1"/>
    <w:rsid w:val="007204BE"/>
    <w:rsid w:val="007209ED"/>
    <w:rsid w:val="00721C2F"/>
    <w:rsid w:val="00721E43"/>
    <w:rsid w:val="00722B98"/>
    <w:rsid w:val="007230C3"/>
    <w:rsid w:val="00723AC8"/>
    <w:rsid w:val="007249A1"/>
    <w:rsid w:val="00724A3E"/>
    <w:rsid w:val="00725547"/>
    <w:rsid w:val="007255D2"/>
    <w:rsid w:val="00725942"/>
    <w:rsid w:val="00726D39"/>
    <w:rsid w:val="00726FE5"/>
    <w:rsid w:val="00727BE4"/>
    <w:rsid w:val="00727E2C"/>
    <w:rsid w:val="00727E45"/>
    <w:rsid w:val="00731AAC"/>
    <w:rsid w:val="007326D8"/>
    <w:rsid w:val="00732A42"/>
    <w:rsid w:val="00732C06"/>
    <w:rsid w:val="00732E9E"/>
    <w:rsid w:val="00733993"/>
    <w:rsid w:val="00733E34"/>
    <w:rsid w:val="00733E79"/>
    <w:rsid w:val="00734E12"/>
    <w:rsid w:val="00734EA3"/>
    <w:rsid w:val="007351C1"/>
    <w:rsid w:val="00736DF4"/>
    <w:rsid w:val="00737E91"/>
    <w:rsid w:val="0074017E"/>
    <w:rsid w:val="00741616"/>
    <w:rsid w:val="00741696"/>
    <w:rsid w:val="00741E48"/>
    <w:rsid w:val="00741F16"/>
    <w:rsid w:val="00741FBB"/>
    <w:rsid w:val="00743076"/>
    <w:rsid w:val="00744155"/>
    <w:rsid w:val="00744F0A"/>
    <w:rsid w:val="0074545E"/>
    <w:rsid w:val="0074618D"/>
    <w:rsid w:val="007504ED"/>
    <w:rsid w:val="007510E6"/>
    <w:rsid w:val="00751F77"/>
    <w:rsid w:val="00753130"/>
    <w:rsid w:val="00753167"/>
    <w:rsid w:val="00753703"/>
    <w:rsid w:val="0075405D"/>
    <w:rsid w:val="0075436D"/>
    <w:rsid w:val="00754695"/>
    <w:rsid w:val="007547B5"/>
    <w:rsid w:val="007553B6"/>
    <w:rsid w:val="00755589"/>
    <w:rsid w:val="00755925"/>
    <w:rsid w:val="00755EDA"/>
    <w:rsid w:val="00756BDA"/>
    <w:rsid w:val="007574E5"/>
    <w:rsid w:val="0076016D"/>
    <w:rsid w:val="00760424"/>
    <w:rsid w:val="00760BDE"/>
    <w:rsid w:val="0076110B"/>
    <w:rsid w:val="007629B2"/>
    <w:rsid w:val="00763362"/>
    <w:rsid w:val="0076338B"/>
    <w:rsid w:val="00764A49"/>
    <w:rsid w:val="00765299"/>
    <w:rsid w:val="00766854"/>
    <w:rsid w:val="00767CFE"/>
    <w:rsid w:val="007709E1"/>
    <w:rsid w:val="007713E1"/>
    <w:rsid w:val="0077214F"/>
    <w:rsid w:val="0077280F"/>
    <w:rsid w:val="00772967"/>
    <w:rsid w:val="00772FA6"/>
    <w:rsid w:val="0077327F"/>
    <w:rsid w:val="007736DC"/>
    <w:rsid w:val="00774543"/>
    <w:rsid w:val="007748E5"/>
    <w:rsid w:val="00774E33"/>
    <w:rsid w:val="00774F4F"/>
    <w:rsid w:val="0077563F"/>
    <w:rsid w:val="00775742"/>
    <w:rsid w:val="007758C0"/>
    <w:rsid w:val="0077678E"/>
    <w:rsid w:val="007770FD"/>
    <w:rsid w:val="00777C7E"/>
    <w:rsid w:val="007800B7"/>
    <w:rsid w:val="007808C6"/>
    <w:rsid w:val="00780A38"/>
    <w:rsid w:val="00781530"/>
    <w:rsid w:val="00782462"/>
    <w:rsid w:val="00782BAE"/>
    <w:rsid w:val="00783921"/>
    <w:rsid w:val="00784124"/>
    <w:rsid w:val="00784D13"/>
    <w:rsid w:val="0078563E"/>
    <w:rsid w:val="00785B88"/>
    <w:rsid w:val="00785C6B"/>
    <w:rsid w:val="00785F3E"/>
    <w:rsid w:val="0078679F"/>
    <w:rsid w:val="00786B29"/>
    <w:rsid w:val="00786DA7"/>
    <w:rsid w:val="00790544"/>
    <w:rsid w:val="007906B0"/>
    <w:rsid w:val="00791250"/>
    <w:rsid w:val="007919B5"/>
    <w:rsid w:val="00791A36"/>
    <w:rsid w:val="00792F9A"/>
    <w:rsid w:val="0079331F"/>
    <w:rsid w:val="007935BA"/>
    <w:rsid w:val="0079365E"/>
    <w:rsid w:val="00793849"/>
    <w:rsid w:val="00794161"/>
    <w:rsid w:val="007942B4"/>
    <w:rsid w:val="00796037"/>
    <w:rsid w:val="007961B8"/>
    <w:rsid w:val="0079671E"/>
    <w:rsid w:val="00797411"/>
    <w:rsid w:val="00797528"/>
    <w:rsid w:val="00797677"/>
    <w:rsid w:val="007A01EF"/>
    <w:rsid w:val="007A0686"/>
    <w:rsid w:val="007A07F4"/>
    <w:rsid w:val="007A1135"/>
    <w:rsid w:val="007A2CB7"/>
    <w:rsid w:val="007A35CA"/>
    <w:rsid w:val="007A38F8"/>
    <w:rsid w:val="007A4F1C"/>
    <w:rsid w:val="007A5118"/>
    <w:rsid w:val="007A541E"/>
    <w:rsid w:val="007A5D57"/>
    <w:rsid w:val="007B00FC"/>
    <w:rsid w:val="007B034C"/>
    <w:rsid w:val="007B08EA"/>
    <w:rsid w:val="007B0DDE"/>
    <w:rsid w:val="007B1DE1"/>
    <w:rsid w:val="007B2107"/>
    <w:rsid w:val="007B2D47"/>
    <w:rsid w:val="007B3D6C"/>
    <w:rsid w:val="007B434E"/>
    <w:rsid w:val="007B6008"/>
    <w:rsid w:val="007B6115"/>
    <w:rsid w:val="007B6C6D"/>
    <w:rsid w:val="007B7AE0"/>
    <w:rsid w:val="007C0522"/>
    <w:rsid w:val="007C0EFF"/>
    <w:rsid w:val="007C13D5"/>
    <w:rsid w:val="007C1633"/>
    <w:rsid w:val="007C1D17"/>
    <w:rsid w:val="007C26C8"/>
    <w:rsid w:val="007C3350"/>
    <w:rsid w:val="007C3E73"/>
    <w:rsid w:val="007C5EBC"/>
    <w:rsid w:val="007C6039"/>
    <w:rsid w:val="007C6EA9"/>
    <w:rsid w:val="007C7203"/>
    <w:rsid w:val="007C790D"/>
    <w:rsid w:val="007C791F"/>
    <w:rsid w:val="007D0D59"/>
    <w:rsid w:val="007D0FCA"/>
    <w:rsid w:val="007D1181"/>
    <w:rsid w:val="007D14B5"/>
    <w:rsid w:val="007D24FC"/>
    <w:rsid w:val="007D2E43"/>
    <w:rsid w:val="007D2ED9"/>
    <w:rsid w:val="007D3AEF"/>
    <w:rsid w:val="007D427F"/>
    <w:rsid w:val="007D432B"/>
    <w:rsid w:val="007D446A"/>
    <w:rsid w:val="007D5158"/>
    <w:rsid w:val="007D544F"/>
    <w:rsid w:val="007D64E2"/>
    <w:rsid w:val="007D7F65"/>
    <w:rsid w:val="007E03C5"/>
    <w:rsid w:val="007E04D8"/>
    <w:rsid w:val="007E1337"/>
    <w:rsid w:val="007E153E"/>
    <w:rsid w:val="007E16EC"/>
    <w:rsid w:val="007E3A46"/>
    <w:rsid w:val="007E45ED"/>
    <w:rsid w:val="007E494D"/>
    <w:rsid w:val="007E5035"/>
    <w:rsid w:val="007E5869"/>
    <w:rsid w:val="007E6C87"/>
    <w:rsid w:val="007E74C2"/>
    <w:rsid w:val="007F04F7"/>
    <w:rsid w:val="007F066D"/>
    <w:rsid w:val="007F15C8"/>
    <w:rsid w:val="007F1D2A"/>
    <w:rsid w:val="007F2051"/>
    <w:rsid w:val="007F22FC"/>
    <w:rsid w:val="007F2A73"/>
    <w:rsid w:val="007F3310"/>
    <w:rsid w:val="007F347D"/>
    <w:rsid w:val="007F56AC"/>
    <w:rsid w:val="007F597C"/>
    <w:rsid w:val="007F7468"/>
    <w:rsid w:val="007F7FAC"/>
    <w:rsid w:val="008002F0"/>
    <w:rsid w:val="00800C30"/>
    <w:rsid w:val="00800C69"/>
    <w:rsid w:val="0080123B"/>
    <w:rsid w:val="00801700"/>
    <w:rsid w:val="00802609"/>
    <w:rsid w:val="008029B6"/>
    <w:rsid w:val="00802B35"/>
    <w:rsid w:val="008048E3"/>
    <w:rsid w:val="008050C6"/>
    <w:rsid w:val="00805D0F"/>
    <w:rsid w:val="00806489"/>
    <w:rsid w:val="00806A46"/>
    <w:rsid w:val="00807110"/>
    <w:rsid w:val="008074C1"/>
    <w:rsid w:val="0081021D"/>
    <w:rsid w:val="00810454"/>
    <w:rsid w:val="0081079D"/>
    <w:rsid w:val="00810DC1"/>
    <w:rsid w:val="00810EE2"/>
    <w:rsid w:val="008111DC"/>
    <w:rsid w:val="008125D7"/>
    <w:rsid w:val="00812F9A"/>
    <w:rsid w:val="00814938"/>
    <w:rsid w:val="00814961"/>
    <w:rsid w:val="00814B47"/>
    <w:rsid w:val="008150F0"/>
    <w:rsid w:val="00815194"/>
    <w:rsid w:val="00815737"/>
    <w:rsid w:val="00815CEB"/>
    <w:rsid w:val="00815F60"/>
    <w:rsid w:val="008161F2"/>
    <w:rsid w:val="0082056B"/>
    <w:rsid w:val="00820BA6"/>
    <w:rsid w:val="00821237"/>
    <w:rsid w:val="00822B37"/>
    <w:rsid w:val="00822C59"/>
    <w:rsid w:val="00822E96"/>
    <w:rsid w:val="00823D2E"/>
    <w:rsid w:val="008241C2"/>
    <w:rsid w:val="00824321"/>
    <w:rsid w:val="008258C1"/>
    <w:rsid w:val="00826966"/>
    <w:rsid w:val="00826F28"/>
    <w:rsid w:val="00827080"/>
    <w:rsid w:val="00831B23"/>
    <w:rsid w:val="00831D33"/>
    <w:rsid w:val="00832DA3"/>
    <w:rsid w:val="008348A1"/>
    <w:rsid w:val="00835A7D"/>
    <w:rsid w:val="008403AC"/>
    <w:rsid w:val="008407C7"/>
    <w:rsid w:val="00841305"/>
    <w:rsid w:val="008416D3"/>
    <w:rsid w:val="00841CAE"/>
    <w:rsid w:val="00841F64"/>
    <w:rsid w:val="0084244D"/>
    <w:rsid w:val="00842485"/>
    <w:rsid w:val="008428BC"/>
    <w:rsid w:val="008429E3"/>
    <w:rsid w:val="00842AAC"/>
    <w:rsid w:val="00842CDD"/>
    <w:rsid w:val="0084327E"/>
    <w:rsid w:val="00843C69"/>
    <w:rsid w:val="008441DB"/>
    <w:rsid w:val="00844216"/>
    <w:rsid w:val="00844D33"/>
    <w:rsid w:val="00844E2E"/>
    <w:rsid w:val="0084709B"/>
    <w:rsid w:val="0084741A"/>
    <w:rsid w:val="0084772F"/>
    <w:rsid w:val="00847F59"/>
    <w:rsid w:val="0085230C"/>
    <w:rsid w:val="00852AFF"/>
    <w:rsid w:val="0085462D"/>
    <w:rsid w:val="008549B8"/>
    <w:rsid w:val="0085561A"/>
    <w:rsid w:val="008556D9"/>
    <w:rsid w:val="00855A45"/>
    <w:rsid w:val="00856165"/>
    <w:rsid w:val="008562FE"/>
    <w:rsid w:val="00856E3A"/>
    <w:rsid w:val="0086042A"/>
    <w:rsid w:val="00860A14"/>
    <w:rsid w:val="00860E3D"/>
    <w:rsid w:val="0086186B"/>
    <w:rsid w:val="00861C43"/>
    <w:rsid w:val="008628D0"/>
    <w:rsid w:val="00862CF0"/>
    <w:rsid w:val="00862E57"/>
    <w:rsid w:val="00862FA0"/>
    <w:rsid w:val="00863372"/>
    <w:rsid w:val="00863536"/>
    <w:rsid w:val="008640E9"/>
    <w:rsid w:val="0086430C"/>
    <w:rsid w:val="00865716"/>
    <w:rsid w:val="0086592D"/>
    <w:rsid w:val="00866E2C"/>
    <w:rsid w:val="00867209"/>
    <w:rsid w:val="0087014F"/>
    <w:rsid w:val="008704EE"/>
    <w:rsid w:val="00870EB5"/>
    <w:rsid w:val="00871765"/>
    <w:rsid w:val="00872740"/>
    <w:rsid w:val="00872FE1"/>
    <w:rsid w:val="00873010"/>
    <w:rsid w:val="00873099"/>
    <w:rsid w:val="0087422A"/>
    <w:rsid w:val="00874C01"/>
    <w:rsid w:val="00875081"/>
    <w:rsid w:val="00875EF6"/>
    <w:rsid w:val="0087605F"/>
    <w:rsid w:val="008760E6"/>
    <w:rsid w:val="008762D8"/>
    <w:rsid w:val="008766D9"/>
    <w:rsid w:val="00876A69"/>
    <w:rsid w:val="00876AC2"/>
    <w:rsid w:val="00877AD0"/>
    <w:rsid w:val="00877AEE"/>
    <w:rsid w:val="00877D86"/>
    <w:rsid w:val="008805B9"/>
    <w:rsid w:val="00880658"/>
    <w:rsid w:val="00880813"/>
    <w:rsid w:val="00881A4C"/>
    <w:rsid w:val="00881AFF"/>
    <w:rsid w:val="0088288F"/>
    <w:rsid w:val="00882B0B"/>
    <w:rsid w:val="00883564"/>
    <w:rsid w:val="00883593"/>
    <w:rsid w:val="008836B7"/>
    <w:rsid w:val="00883A50"/>
    <w:rsid w:val="008841E8"/>
    <w:rsid w:val="00884FD9"/>
    <w:rsid w:val="00886231"/>
    <w:rsid w:val="008862D5"/>
    <w:rsid w:val="00887F49"/>
    <w:rsid w:val="00890496"/>
    <w:rsid w:val="00890501"/>
    <w:rsid w:val="00890733"/>
    <w:rsid w:val="0089099C"/>
    <w:rsid w:val="00891014"/>
    <w:rsid w:val="008912F4"/>
    <w:rsid w:val="00891409"/>
    <w:rsid w:val="00891606"/>
    <w:rsid w:val="008917BA"/>
    <w:rsid w:val="00891CBF"/>
    <w:rsid w:val="00893403"/>
    <w:rsid w:val="008939B9"/>
    <w:rsid w:val="00893A47"/>
    <w:rsid w:val="00894024"/>
    <w:rsid w:val="00894038"/>
    <w:rsid w:val="0089433F"/>
    <w:rsid w:val="008943CD"/>
    <w:rsid w:val="00894D39"/>
    <w:rsid w:val="008957D6"/>
    <w:rsid w:val="00896293"/>
    <w:rsid w:val="00896A93"/>
    <w:rsid w:val="0089741B"/>
    <w:rsid w:val="00897C04"/>
    <w:rsid w:val="008A05CE"/>
    <w:rsid w:val="008A12F4"/>
    <w:rsid w:val="008A1650"/>
    <w:rsid w:val="008A2CA9"/>
    <w:rsid w:val="008A2DF4"/>
    <w:rsid w:val="008A38E0"/>
    <w:rsid w:val="008A41B9"/>
    <w:rsid w:val="008A4BCC"/>
    <w:rsid w:val="008A4F08"/>
    <w:rsid w:val="008A4F77"/>
    <w:rsid w:val="008A5FFB"/>
    <w:rsid w:val="008A6229"/>
    <w:rsid w:val="008A69AC"/>
    <w:rsid w:val="008A7582"/>
    <w:rsid w:val="008A783C"/>
    <w:rsid w:val="008A7DD9"/>
    <w:rsid w:val="008B0A36"/>
    <w:rsid w:val="008B1AAF"/>
    <w:rsid w:val="008B1D70"/>
    <w:rsid w:val="008B34FF"/>
    <w:rsid w:val="008B481F"/>
    <w:rsid w:val="008B53A4"/>
    <w:rsid w:val="008B5826"/>
    <w:rsid w:val="008B649D"/>
    <w:rsid w:val="008B6778"/>
    <w:rsid w:val="008B7207"/>
    <w:rsid w:val="008B7B09"/>
    <w:rsid w:val="008C07AA"/>
    <w:rsid w:val="008C0DBB"/>
    <w:rsid w:val="008C2087"/>
    <w:rsid w:val="008C2EEA"/>
    <w:rsid w:val="008C3026"/>
    <w:rsid w:val="008C3781"/>
    <w:rsid w:val="008C41CF"/>
    <w:rsid w:val="008C5029"/>
    <w:rsid w:val="008C5422"/>
    <w:rsid w:val="008C5B7F"/>
    <w:rsid w:val="008C6024"/>
    <w:rsid w:val="008C6115"/>
    <w:rsid w:val="008C627B"/>
    <w:rsid w:val="008C62E2"/>
    <w:rsid w:val="008C638E"/>
    <w:rsid w:val="008C6727"/>
    <w:rsid w:val="008C730C"/>
    <w:rsid w:val="008D234D"/>
    <w:rsid w:val="008D30B4"/>
    <w:rsid w:val="008D31AB"/>
    <w:rsid w:val="008D32E3"/>
    <w:rsid w:val="008D332E"/>
    <w:rsid w:val="008D4037"/>
    <w:rsid w:val="008D41FC"/>
    <w:rsid w:val="008D4306"/>
    <w:rsid w:val="008D48B9"/>
    <w:rsid w:val="008D4908"/>
    <w:rsid w:val="008D519E"/>
    <w:rsid w:val="008D58D1"/>
    <w:rsid w:val="008D6554"/>
    <w:rsid w:val="008D6C26"/>
    <w:rsid w:val="008D7A49"/>
    <w:rsid w:val="008D7DBA"/>
    <w:rsid w:val="008E0067"/>
    <w:rsid w:val="008E0D30"/>
    <w:rsid w:val="008E176C"/>
    <w:rsid w:val="008E17A0"/>
    <w:rsid w:val="008E1B87"/>
    <w:rsid w:val="008E20F9"/>
    <w:rsid w:val="008E23B4"/>
    <w:rsid w:val="008E2B1B"/>
    <w:rsid w:val="008E2EB1"/>
    <w:rsid w:val="008E3239"/>
    <w:rsid w:val="008E3249"/>
    <w:rsid w:val="008E3848"/>
    <w:rsid w:val="008E64A9"/>
    <w:rsid w:val="008E6F05"/>
    <w:rsid w:val="008E7022"/>
    <w:rsid w:val="008E7ADB"/>
    <w:rsid w:val="008E7B3C"/>
    <w:rsid w:val="008F0D03"/>
    <w:rsid w:val="008F112F"/>
    <w:rsid w:val="008F11C5"/>
    <w:rsid w:val="008F139B"/>
    <w:rsid w:val="008F1C3E"/>
    <w:rsid w:val="008F228D"/>
    <w:rsid w:val="008F2CAB"/>
    <w:rsid w:val="008F3526"/>
    <w:rsid w:val="008F41A0"/>
    <w:rsid w:val="008F5307"/>
    <w:rsid w:val="008F5369"/>
    <w:rsid w:val="008F613F"/>
    <w:rsid w:val="008F6924"/>
    <w:rsid w:val="008F6DF3"/>
    <w:rsid w:val="008F728A"/>
    <w:rsid w:val="00900156"/>
    <w:rsid w:val="009006A7"/>
    <w:rsid w:val="00900AAB"/>
    <w:rsid w:val="00900DE8"/>
    <w:rsid w:val="00901ADF"/>
    <w:rsid w:val="00901BCD"/>
    <w:rsid w:val="00901E96"/>
    <w:rsid w:val="009024D5"/>
    <w:rsid w:val="0090284D"/>
    <w:rsid w:val="00902DEC"/>
    <w:rsid w:val="009047B1"/>
    <w:rsid w:val="00904C2A"/>
    <w:rsid w:val="00904E47"/>
    <w:rsid w:val="00905943"/>
    <w:rsid w:val="00906090"/>
    <w:rsid w:val="00907ADF"/>
    <w:rsid w:val="009101FE"/>
    <w:rsid w:val="009105AE"/>
    <w:rsid w:val="00910B40"/>
    <w:rsid w:val="00911711"/>
    <w:rsid w:val="00912EA3"/>
    <w:rsid w:val="009131EE"/>
    <w:rsid w:val="00914248"/>
    <w:rsid w:val="009145C9"/>
    <w:rsid w:val="0091481B"/>
    <w:rsid w:val="0091523C"/>
    <w:rsid w:val="009159F2"/>
    <w:rsid w:val="00915CED"/>
    <w:rsid w:val="009169F4"/>
    <w:rsid w:val="00916A11"/>
    <w:rsid w:val="00916D64"/>
    <w:rsid w:val="00916E2E"/>
    <w:rsid w:val="0092081E"/>
    <w:rsid w:val="00920C22"/>
    <w:rsid w:val="00921576"/>
    <w:rsid w:val="00922B29"/>
    <w:rsid w:val="009237C3"/>
    <w:rsid w:val="00924F1A"/>
    <w:rsid w:val="0092633A"/>
    <w:rsid w:val="00926D15"/>
    <w:rsid w:val="00926F41"/>
    <w:rsid w:val="00927093"/>
    <w:rsid w:val="0092714F"/>
    <w:rsid w:val="00927CA5"/>
    <w:rsid w:val="0093087C"/>
    <w:rsid w:val="009310A0"/>
    <w:rsid w:val="00931E6E"/>
    <w:rsid w:val="00932197"/>
    <w:rsid w:val="0093237C"/>
    <w:rsid w:val="00932C34"/>
    <w:rsid w:val="00932C8F"/>
    <w:rsid w:val="0093313E"/>
    <w:rsid w:val="009334AE"/>
    <w:rsid w:val="009342E1"/>
    <w:rsid w:val="009346B3"/>
    <w:rsid w:val="009348B2"/>
    <w:rsid w:val="00934EDE"/>
    <w:rsid w:val="00935206"/>
    <w:rsid w:val="009361BC"/>
    <w:rsid w:val="00936222"/>
    <w:rsid w:val="00936977"/>
    <w:rsid w:val="00936AB8"/>
    <w:rsid w:val="00936AF6"/>
    <w:rsid w:val="009377F5"/>
    <w:rsid w:val="0093785A"/>
    <w:rsid w:val="00937873"/>
    <w:rsid w:val="0094003A"/>
    <w:rsid w:val="00940959"/>
    <w:rsid w:val="00940BD4"/>
    <w:rsid w:val="00941FA9"/>
    <w:rsid w:val="00942DBF"/>
    <w:rsid w:val="009432EC"/>
    <w:rsid w:val="00943772"/>
    <w:rsid w:val="00943F59"/>
    <w:rsid w:val="00944059"/>
    <w:rsid w:val="00944E69"/>
    <w:rsid w:val="00944E8E"/>
    <w:rsid w:val="00945568"/>
    <w:rsid w:val="0094649A"/>
    <w:rsid w:val="0094662D"/>
    <w:rsid w:val="00950064"/>
    <w:rsid w:val="00950F04"/>
    <w:rsid w:val="0095114B"/>
    <w:rsid w:val="00951AA6"/>
    <w:rsid w:val="00952C36"/>
    <w:rsid w:val="00952D58"/>
    <w:rsid w:val="00953F54"/>
    <w:rsid w:val="00954867"/>
    <w:rsid w:val="009557BC"/>
    <w:rsid w:val="00955970"/>
    <w:rsid w:val="00957081"/>
    <w:rsid w:val="0095726F"/>
    <w:rsid w:val="009575CF"/>
    <w:rsid w:val="009576E0"/>
    <w:rsid w:val="00957761"/>
    <w:rsid w:val="0096058C"/>
    <w:rsid w:val="009605AA"/>
    <w:rsid w:val="00960730"/>
    <w:rsid w:val="00962B85"/>
    <w:rsid w:val="00962BF8"/>
    <w:rsid w:val="00962F79"/>
    <w:rsid w:val="00963050"/>
    <w:rsid w:val="009630CE"/>
    <w:rsid w:val="00964858"/>
    <w:rsid w:val="00964BAA"/>
    <w:rsid w:val="00965A2A"/>
    <w:rsid w:val="009662DF"/>
    <w:rsid w:val="009674DB"/>
    <w:rsid w:val="0096772A"/>
    <w:rsid w:val="009677B3"/>
    <w:rsid w:val="009678CE"/>
    <w:rsid w:val="00967B44"/>
    <w:rsid w:val="009716C9"/>
    <w:rsid w:val="00971D57"/>
    <w:rsid w:val="00972838"/>
    <w:rsid w:val="00972F77"/>
    <w:rsid w:val="00973834"/>
    <w:rsid w:val="00973874"/>
    <w:rsid w:val="00973DB3"/>
    <w:rsid w:val="009745DE"/>
    <w:rsid w:val="00974B2E"/>
    <w:rsid w:val="0097565D"/>
    <w:rsid w:val="009769EF"/>
    <w:rsid w:val="00977113"/>
    <w:rsid w:val="009804B5"/>
    <w:rsid w:val="00980A82"/>
    <w:rsid w:val="00980F60"/>
    <w:rsid w:val="00981B74"/>
    <w:rsid w:val="00982D37"/>
    <w:rsid w:val="009832E1"/>
    <w:rsid w:val="009837CA"/>
    <w:rsid w:val="00983852"/>
    <w:rsid w:val="00983E5B"/>
    <w:rsid w:val="00985AB1"/>
    <w:rsid w:val="00986FB5"/>
    <w:rsid w:val="009874D3"/>
    <w:rsid w:val="0098776D"/>
    <w:rsid w:val="009879D3"/>
    <w:rsid w:val="00990BAF"/>
    <w:rsid w:val="009913AA"/>
    <w:rsid w:val="00991D65"/>
    <w:rsid w:val="0099312D"/>
    <w:rsid w:val="0099421E"/>
    <w:rsid w:val="009953EF"/>
    <w:rsid w:val="009958CE"/>
    <w:rsid w:val="00995BFF"/>
    <w:rsid w:val="00995E7A"/>
    <w:rsid w:val="0099663D"/>
    <w:rsid w:val="00996BDB"/>
    <w:rsid w:val="00996C63"/>
    <w:rsid w:val="00996D2A"/>
    <w:rsid w:val="009A03D2"/>
    <w:rsid w:val="009A0A15"/>
    <w:rsid w:val="009A2A68"/>
    <w:rsid w:val="009A388B"/>
    <w:rsid w:val="009A472B"/>
    <w:rsid w:val="009A493E"/>
    <w:rsid w:val="009A76C9"/>
    <w:rsid w:val="009B029B"/>
    <w:rsid w:val="009B0383"/>
    <w:rsid w:val="009B0CBE"/>
    <w:rsid w:val="009B15C0"/>
    <w:rsid w:val="009B2AE8"/>
    <w:rsid w:val="009B2BA3"/>
    <w:rsid w:val="009B3062"/>
    <w:rsid w:val="009B35F3"/>
    <w:rsid w:val="009B47A5"/>
    <w:rsid w:val="009B54A1"/>
    <w:rsid w:val="009B6252"/>
    <w:rsid w:val="009B6569"/>
    <w:rsid w:val="009B69B0"/>
    <w:rsid w:val="009B6AFD"/>
    <w:rsid w:val="009B6DF5"/>
    <w:rsid w:val="009C08EF"/>
    <w:rsid w:val="009C099C"/>
    <w:rsid w:val="009C09D4"/>
    <w:rsid w:val="009C1442"/>
    <w:rsid w:val="009C2A8E"/>
    <w:rsid w:val="009C2DF9"/>
    <w:rsid w:val="009C3677"/>
    <w:rsid w:val="009C3DB6"/>
    <w:rsid w:val="009C4B0E"/>
    <w:rsid w:val="009C4CC6"/>
    <w:rsid w:val="009C4D33"/>
    <w:rsid w:val="009C59F9"/>
    <w:rsid w:val="009C5C52"/>
    <w:rsid w:val="009C658A"/>
    <w:rsid w:val="009C6A5F"/>
    <w:rsid w:val="009C6A9C"/>
    <w:rsid w:val="009C7293"/>
    <w:rsid w:val="009D2015"/>
    <w:rsid w:val="009D28BC"/>
    <w:rsid w:val="009D33E6"/>
    <w:rsid w:val="009D54F9"/>
    <w:rsid w:val="009D5904"/>
    <w:rsid w:val="009D5BA5"/>
    <w:rsid w:val="009D7166"/>
    <w:rsid w:val="009D7947"/>
    <w:rsid w:val="009E0465"/>
    <w:rsid w:val="009E17C8"/>
    <w:rsid w:val="009E2011"/>
    <w:rsid w:val="009E2117"/>
    <w:rsid w:val="009E28C6"/>
    <w:rsid w:val="009E300F"/>
    <w:rsid w:val="009E3B3D"/>
    <w:rsid w:val="009E51EE"/>
    <w:rsid w:val="009E5753"/>
    <w:rsid w:val="009E5CBF"/>
    <w:rsid w:val="009E6BEC"/>
    <w:rsid w:val="009E7E9B"/>
    <w:rsid w:val="009F0450"/>
    <w:rsid w:val="009F0E67"/>
    <w:rsid w:val="009F1F27"/>
    <w:rsid w:val="009F299C"/>
    <w:rsid w:val="009F2DCC"/>
    <w:rsid w:val="009F385B"/>
    <w:rsid w:val="009F3937"/>
    <w:rsid w:val="009F42BD"/>
    <w:rsid w:val="009F432D"/>
    <w:rsid w:val="009F446F"/>
    <w:rsid w:val="009F49EF"/>
    <w:rsid w:val="009F506B"/>
    <w:rsid w:val="009F5076"/>
    <w:rsid w:val="009F544D"/>
    <w:rsid w:val="009F54FB"/>
    <w:rsid w:val="009F6ED8"/>
    <w:rsid w:val="009F7689"/>
    <w:rsid w:val="00A003AB"/>
    <w:rsid w:val="00A004A2"/>
    <w:rsid w:val="00A019B3"/>
    <w:rsid w:val="00A02517"/>
    <w:rsid w:val="00A0270A"/>
    <w:rsid w:val="00A02B11"/>
    <w:rsid w:val="00A02EEB"/>
    <w:rsid w:val="00A03095"/>
    <w:rsid w:val="00A0335D"/>
    <w:rsid w:val="00A03DC4"/>
    <w:rsid w:val="00A044C2"/>
    <w:rsid w:val="00A05BD4"/>
    <w:rsid w:val="00A0676C"/>
    <w:rsid w:val="00A06800"/>
    <w:rsid w:val="00A069CC"/>
    <w:rsid w:val="00A10929"/>
    <w:rsid w:val="00A10C1E"/>
    <w:rsid w:val="00A11547"/>
    <w:rsid w:val="00A11BA9"/>
    <w:rsid w:val="00A12157"/>
    <w:rsid w:val="00A12A36"/>
    <w:rsid w:val="00A12D6F"/>
    <w:rsid w:val="00A136BF"/>
    <w:rsid w:val="00A1399C"/>
    <w:rsid w:val="00A13C26"/>
    <w:rsid w:val="00A14252"/>
    <w:rsid w:val="00A145FC"/>
    <w:rsid w:val="00A14B08"/>
    <w:rsid w:val="00A150B9"/>
    <w:rsid w:val="00A16467"/>
    <w:rsid w:val="00A1648B"/>
    <w:rsid w:val="00A176B6"/>
    <w:rsid w:val="00A20355"/>
    <w:rsid w:val="00A21591"/>
    <w:rsid w:val="00A2169D"/>
    <w:rsid w:val="00A21FD7"/>
    <w:rsid w:val="00A223DC"/>
    <w:rsid w:val="00A22C7C"/>
    <w:rsid w:val="00A2344F"/>
    <w:rsid w:val="00A24C9B"/>
    <w:rsid w:val="00A25807"/>
    <w:rsid w:val="00A262D2"/>
    <w:rsid w:val="00A26EB2"/>
    <w:rsid w:val="00A2706E"/>
    <w:rsid w:val="00A30046"/>
    <w:rsid w:val="00A303D1"/>
    <w:rsid w:val="00A33363"/>
    <w:rsid w:val="00A33625"/>
    <w:rsid w:val="00A338BD"/>
    <w:rsid w:val="00A34010"/>
    <w:rsid w:val="00A34C67"/>
    <w:rsid w:val="00A364F0"/>
    <w:rsid w:val="00A36648"/>
    <w:rsid w:val="00A3720C"/>
    <w:rsid w:val="00A372F0"/>
    <w:rsid w:val="00A375C3"/>
    <w:rsid w:val="00A37700"/>
    <w:rsid w:val="00A37FA0"/>
    <w:rsid w:val="00A40F3A"/>
    <w:rsid w:val="00A41888"/>
    <w:rsid w:val="00A41BF0"/>
    <w:rsid w:val="00A41CAA"/>
    <w:rsid w:val="00A4334E"/>
    <w:rsid w:val="00A4356D"/>
    <w:rsid w:val="00A43779"/>
    <w:rsid w:val="00A43E9F"/>
    <w:rsid w:val="00A442B7"/>
    <w:rsid w:val="00A44A25"/>
    <w:rsid w:val="00A44F0E"/>
    <w:rsid w:val="00A4523A"/>
    <w:rsid w:val="00A454FB"/>
    <w:rsid w:val="00A46826"/>
    <w:rsid w:val="00A46967"/>
    <w:rsid w:val="00A46A42"/>
    <w:rsid w:val="00A46C24"/>
    <w:rsid w:val="00A47C75"/>
    <w:rsid w:val="00A47DE2"/>
    <w:rsid w:val="00A50E0B"/>
    <w:rsid w:val="00A52039"/>
    <w:rsid w:val="00A5225D"/>
    <w:rsid w:val="00A5247B"/>
    <w:rsid w:val="00A52727"/>
    <w:rsid w:val="00A52CAD"/>
    <w:rsid w:val="00A52E10"/>
    <w:rsid w:val="00A53232"/>
    <w:rsid w:val="00A53912"/>
    <w:rsid w:val="00A547C9"/>
    <w:rsid w:val="00A547FF"/>
    <w:rsid w:val="00A549C2"/>
    <w:rsid w:val="00A551AD"/>
    <w:rsid w:val="00A56376"/>
    <w:rsid w:val="00A576B3"/>
    <w:rsid w:val="00A577B6"/>
    <w:rsid w:val="00A57DBA"/>
    <w:rsid w:val="00A608E5"/>
    <w:rsid w:val="00A62039"/>
    <w:rsid w:val="00A644AF"/>
    <w:rsid w:val="00A647B3"/>
    <w:rsid w:val="00A651E6"/>
    <w:rsid w:val="00A656D5"/>
    <w:rsid w:val="00A65869"/>
    <w:rsid w:val="00A6596D"/>
    <w:rsid w:val="00A66268"/>
    <w:rsid w:val="00A6637C"/>
    <w:rsid w:val="00A668D1"/>
    <w:rsid w:val="00A66ADB"/>
    <w:rsid w:val="00A67252"/>
    <w:rsid w:val="00A67524"/>
    <w:rsid w:val="00A67AD3"/>
    <w:rsid w:val="00A70661"/>
    <w:rsid w:val="00A70ADF"/>
    <w:rsid w:val="00A70BDA"/>
    <w:rsid w:val="00A71902"/>
    <w:rsid w:val="00A7214A"/>
    <w:rsid w:val="00A73204"/>
    <w:rsid w:val="00A73AD3"/>
    <w:rsid w:val="00A73B32"/>
    <w:rsid w:val="00A747C3"/>
    <w:rsid w:val="00A748EA"/>
    <w:rsid w:val="00A76005"/>
    <w:rsid w:val="00A765DE"/>
    <w:rsid w:val="00A775B3"/>
    <w:rsid w:val="00A77C85"/>
    <w:rsid w:val="00A80DCE"/>
    <w:rsid w:val="00A81357"/>
    <w:rsid w:val="00A825E4"/>
    <w:rsid w:val="00A828CF"/>
    <w:rsid w:val="00A829B3"/>
    <w:rsid w:val="00A82AA3"/>
    <w:rsid w:val="00A83D89"/>
    <w:rsid w:val="00A847C7"/>
    <w:rsid w:val="00A84E31"/>
    <w:rsid w:val="00A8547C"/>
    <w:rsid w:val="00A855E2"/>
    <w:rsid w:val="00A85D45"/>
    <w:rsid w:val="00A85EB8"/>
    <w:rsid w:val="00A86735"/>
    <w:rsid w:val="00A8723E"/>
    <w:rsid w:val="00A873AA"/>
    <w:rsid w:val="00A8795A"/>
    <w:rsid w:val="00A87D15"/>
    <w:rsid w:val="00A919DC"/>
    <w:rsid w:val="00A92709"/>
    <w:rsid w:val="00A92D1B"/>
    <w:rsid w:val="00A92E48"/>
    <w:rsid w:val="00A94DCB"/>
    <w:rsid w:val="00A9579F"/>
    <w:rsid w:val="00A9642C"/>
    <w:rsid w:val="00A964C2"/>
    <w:rsid w:val="00A97876"/>
    <w:rsid w:val="00AA0AB8"/>
    <w:rsid w:val="00AA12B3"/>
    <w:rsid w:val="00AA25D4"/>
    <w:rsid w:val="00AA2970"/>
    <w:rsid w:val="00AA41F3"/>
    <w:rsid w:val="00AA46D9"/>
    <w:rsid w:val="00AA47ED"/>
    <w:rsid w:val="00AA4985"/>
    <w:rsid w:val="00AA5715"/>
    <w:rsid w:val="00AA57F6"/>
    <w:rsid w:val="00AA5BAD"/>
    <w:rsid w:val="00AA67A2"/>
    <w:rsid w:val="00AA69D4"/>
    <w:rsid w:val="00AA73C1"/>
    <w:rsid w:val="00AA7B82"/>
    <w:rsid w:val="00AB0057"/>
    <w:rsid w:val="00AB0D62"/>
    <w:rsid w:val="00AB0FFC"/>
    <w:rsid w:val="00AB1B42"/>
    <w:rsid w:val="00AB1E97"/>
    <w:rsid w:val="00AB27C6"/>
    <w:rsid w:val="00AB2A48"/>
    <w:rsid w:val="00AB2BDE"/>
    <w:rsid w:val="00AB2C5F"/>
    <w:rsid w:val="00AB3141"/>
    <w:rsid w:val="00AB3A52"/>
    <w:rsid w:val="00AB3D9E"/>
    <w:rsid w:val="00AB4166"/>
    <w:rsid w:val="00AB4D93"/>
    <w:rsid w:val="00AB5CA1"/>
    <w:rsid w:val="00AB62E3"/>
    <w:rsid w:val="00AB71A4"/>
    <w:rsid w:val="00AB74FD"/>
    <w:rsid w:val="00AB7E3A"/>
    <w:rsid w:val="00AC0307"/>
    <w:rsid w:val="00AC0488"/>
    <w:rsid w:val="00AC074D"/>
    <w:rsid w:val="00AC1480"/>
    <w:rsid w:val="00AC15BF"/>
    <w:rsid w:val="00AC17B6"/>
    <w:rsid w:val="00AC1B6C"/>
    <w:rsid w:val="00AC1C9D"/>
    <w:rsid w:val="00AC1E7B"/>
    <w:rsid w:val="00AC41C5"/>
    <w:rsid w:val="00AC41D6"/>
    <w:rsid w:val="00AC505D"/>
    <w:rsid w:val="00AC5BDE"/>
    <w:rsid w:val="00AC6B67"/>
    <w:rsid w:val="00AC6E0A"/>
    <w:rsid w:val="00AC78A5"/>
    <w:rsid w:val="00AC7F7F"/>
    <w:rsid w:val="00AD0533"/>
    <w:rsid w:val="00AD0913"/>
    <w:rsid w:val="00AD17EF"/>
    <w:rsid w:val="00AD1936"/>
    <w:rsid w:val="00AD27DF"/>
    <w:rsid w:val="00AD2D95"/>
    <w:rsid w:val="00AD30B7"/>
    <w:rsid w:val="00AD3742"/>
    <w:rsid w:val="00AD39E0"/>
    <w:rsid w:val="00AD3F7C"/>
    <w:rsid w:val="00AD428A"/>
    <w:rsid w:val="00AD4A03"/>
    <w:rsid w:val="00AD52F2"/>
    <w:rsid w:val="00AD5962"/>
    <w:rsid w:val="00AD7147"/>
    <w:rsid w:val="00AD73FD"/>
    <w:rsid w:val="00AE052F"/>
    <w:rsid w:val="00AE07B4"/>
    <w:rsid w:val="00AE0F9D"/>
    <w:rsid w:val="00AE0FAB"/>
    <w:rsid w:val="00AE16E6"/>
    <w:rsid w:val="00AE16FB"/>
    <w:rsid w:val="00AE2375"/>
    <w:rsid w:val="00AE3B2A"/>
    <w:rsid w:val="00AE493E"/>
    <w:rsid w:val="00AE63D7"/>
    <w:rsid w:val="00AE70BB"/>
    <w:rsid w:val="00AE715A"/>
    <w:rsid w:val="00AF034C"/>
    <w:rsid w:val="00AF0DEB"/>
    <w:rsid w:val="00AF134F"/>
    <w:rsid w:val="00AF1C93"/>
    <w:rsid w:val="00AF2354"/>
    <w:rsid w:val="00AF23B0"/>
    <w:rsid w:val="00AF4616"/>
    <w:rsid w:val="00AF504A"/>
    <w:rsid w:val="00AF51FA"/>
    <w:rsid w:val="00AF537F"/>
    <w:rsid w:val="00AF5512"/>
    <w:rsid w:val="00AF5531"/>
    <w:rsid w:val="00AF5682"/>
    <w:rsid w:val="00AF65FB"/>
    <w:rsid w:val="00AF6763"/>
    <w:rsid w:val="00AF6D02"/>
    <w:rsid w:val="00AF74FD"/>
    <w:rsid w:val="00AF765C"/>
    <w:rsid w:val="00AF77C0"/>
    <w:rsid w:val="00AF79E4"/>
    <w:rsid w:val="00B01728"/>
    <w:rsid w:val="00B01C63"/>
    <w:rsid w:val="00B0519C"/>
    <w:rsid w:val="00B057C2"/>
    <w:rsid w:val="00B05E11"/>
    <w:rsid w:val="00B06855"/>
    <w:rsid w:val="00B100B4"/>
    <w:rsid w:val="00B1019C"/>
    <w:rsid w:val="00B11831"/>
    <w:rsid w:val="00B11A54"/>
    <w:rsid w:val="00B12061"/>
    <w:rsid w:val="00B12EB0"/>
    <w:rsid w:val="00B13187"/>
    <w:rsid w:val="00B132A3"/>
    <w:rsid w:val="00B14059"/>
    <w:rsid w:val="00B14260"/>
    <w:rsid w:val="00B14410"/>
    <w:rsid w:val="00B1461A"/>
    <w:rsid w:val="00B1527B"/>
    <w:rsid w:val="00B15B7A"/>
    <w:rsid w:val="00B168F3"/>
    <w:rsid w:val="00B16DC5"/>
    <w:rsid w:val="00B17121"/>
    <w:rsid w:val="00B17BAE"/>
    <w:rsid w:val="00B2079F"/>
    <w:rsid w:val="00B209D4"/>
    <w:rsid w:val="00B214BC"/>
    <w:rsid w:val="00B21BEF"/>
    <w:rsid w:val="00B22A2D"/>
    <w:rsid w:val="00B2487C"/>
    <w:rsid w:val="00B24AFD"/>
    <w:rsid w:val="00B24D8B"/>
    <w:rsid w:val="00B25C08"/>
    <w:rsid w:val="00B263AA"/>
    <w:rsid w:val="00B26E1C"/>
    <w:rsid w:val="00B26EB5"/>
    <w:rsid w:val="00B30BF4"/>
    <w:rsid w:val="00B30F9D"/>
    <w:rsid w:val="00B3114D"/>
    <w:rsid w:val="00B314AA"/>
    <w:rsid w:val="00B33146"/>
    <w:rsid w:val="00B33A56"/>
    <w:rsid w:val="00B33B78"/>
    <w:rsid w:val="00B368B6"/>
    <w:rsid w:val="00B372E9"/>
    <w:rsid w:val="00B373B4"/>
    <w:rsid w:val="00B37620"/>
    <w:rsid w:val="00B40739"/>
    <w:rsid w:val="00B409C8"/>
    <w:rsid w:val="00B4115D"/>
    <w:rsid w:val="00B41218"/>
    <w:rsid w:val="00B43BBB"/>
    <w:rsid w:val="00B44327"/>
    <w:rsid w:val="00B44560"/>
    <w:rsid w:val="00B44DBF"/>
    <w:rsid w:val="00B458B1"/>
    <w:rsid w:val="00B45B2F"/>
    <w:rsid w:val="00B45F98"/>
    <w:rsid w:val="00B46623"/>
    <w:rsid w:val="00B46AAF"/>
    <w:rsid w:val="00B46B7C"/>
    <w:rsid w:val="00B47012"/>
    <w:rsid w:val="00B479E0"/>
    <w:rsid w:val="00B47CA6"/>
    <w:rsid w:val="00B5052A"/>
    <w:rsid w:val="00B5186B"/>
    <w:rsid w:val="00B5298F"/>
    <w:rsid w:val="00B52AC0"/>
    <w:rsid w:val="00B5427A"/>
    <w:rsid w:val="00B54430"/>
    <w:rsid w:val="00B555BA"/>
    <w:rsid w:val="00B56C8B"/>
    <w:rsid w:val="00B56D65"/>
    <w:rsid w:val="00B57710"/>
    <w:rsid w:val="00B602B6"/>
    <w:rsid w:val="00B60DFA"/>
    <w:rsid w:val="00B629FB"/>
    <w:rsid w:val="00B62C83"/>
    <w:rsid w:val="00B63600"/>
    <w:rsid w:val="00B63F3E"/>
    <w:rsid w:val="00B64024"/>
    <w:rsid w:val="00B64702"/>
    <w:rsid w:val="00B653F8"/>
    <w:rsid w:val="00B663D1"/>
    <w:rsid w:val="00B666C9"/>
    <w:rsid w:val="00B6683E"/>
    <w:rsid w:val="00B67603"/>
    <w:rsid w:val="00B67921"/>
    <w:rsid w:val="00B67FB6"/>
    <w:rsid w:val="00B7000D"/>
    <w:rsid w:val="00B70713"/>
    <w:rsid w:val="00B70721"/>
    <w:rsid w:val="00B708D4"/>
    <w:rsid w:val="00B70ECD"/>
    <w:rsid w:val="00B710E0"/>
    <w:rsid w:val="00B71C46"/>
    <w:rsid w:val="00B722EC"/>
    <w:rsid w:val="00B7260A"/>
    <w:rsid w:val="00B72692"/>
    <w:rsid w:val="00B727AD"/>
    <w:rsid w:val="00B73201"/>
    <w:rsid w:val="00B73264"/>
    <w:rsid w:val="00B73305"/>
    <w:rsid w:val="00B73CC0"/>
    <w:rsid w:val="00B7488E"/>
    <w:rsid w:val="00B749FC"/>
    <w:rsid w:val="00B75584"/>
    <w:rsid w:val="00B75A3A"/>
    <w:rsid w:val="00B75AB1"/>
    <w:rsid w:val="00B75DEA"/>
    <w:rsid w:val="00B76DC5"/>
    <w:rsid w:val="00B77662"/>
    <w:rsid w:val="00B77871"/>
    <w:rsid w:val="00B77934"/>
    <w:rsid w:val="00B77C32"/>
    <w:rsid w:val="00B8082D"/>
    <w:rsid w:val="00B809DC"/>
    <w:rsid w:val="00B80B1F"/>
    <w:rsid w:val="00B8120E"/>
    <w:rsid w:val="00B812C2"/>
    <w:rsid w:val="00B81AEC"/>
    <w:rsid w:val="00B826A7"/>
    <w:rsid w:val="00B8340E"/>
    <w:rsid w:val="00B83E7C"/>
    <w:rsid w:val="00B84000"/>
    <w:rsid w:val="00B858C7"/>
    <w:rsid w:val="00B8615A"/>
    <w:rsid w:val="00B86755"/>
    <w:rsid w:val="00B903FA"/>
    <w:rsid w:val="00B909E9"/>
    <w:rsid w:val="00B90B00"/>
    <w:rsid w:val="00B90BB2"/>
    <w:rsid w:val="00B90D58"/>
    <w:rsid w:val="00B91BE3"/>
    <w:rsid w:val="00B9201A"/>
    <w:rsid w:val="00B9229F"/>
    <w:rsid w:val="00B923C3"/>
    <w:rsid w:val="00B9270B"/>
    <w:rsid w:val="00B929D7"/>
    <w:rsid w:val="00B92AC3"/>
    <w:rsid w:val="00B93968"/>
    <w:rsid w:val="00B93B75"/>
    <w:rsid w:val="00B93E89"/>
    <w:rsid w:val="00B9412E"/>
    <w:rsid w:val="00B94167"/>
    <w:rsid w:val="00B94F15"/>
    <w:rsid w:val="00B95819"/>
    <w:rsid w:val="00B95A1A"/>
    <w:rsid w:val="00B973A0"/>
    <w:rsid w:val="00B97754"/>
    <w:rsid w:val="00B9779E"/>
    <w:rsid w:val="00B97A31"/>
    <w:rsid w:val="00BA0BF0"/>
    <w:rsid w:val="00BA1558"/>
    <w:rsid w:val="00BA1CCA"/>
    <w:rsid w:val="00BA200B"/>
    <w:rsid w:val="00BA2A62"/>
    <w:rsid w:val="00BA2C90"/>
    <w:rsid w:val="00BA3484"/>
    <w:rsid w:val="00BA398D"/>
    <w:rsid w:val="00BA4638"/>
    <w:rsid w:val="00BA50A8"/>
    <w:rsid w:val="00BA5C05"/>
    <w:rsid w:val="00BA6341"/>
    <w:rsid w:val="00BA65B7"/>
    <w:rsid w:val="00BA680E"/>
    <w:rsid w:val="00BA6DB4"/>
    <w:rsid w:val="00BA743A"/>
    <w:rsid w:val="00BA74F3"/>
    <w:rsid w:val="00BA7DAB"/>
    <w:rsid w:val="00BB0CD3"/>
    <w:rsid w:val="00BB0D28"/>
    <w:rsid w:val="00BB0D9E"/>
    <w:rsid w:val="00BB1F04"/>
    <w:rsid w:val="00BB2353"/>
    <w:rsid w:val="00BB2E53"/>
    <w:rsid w:val="00BB30C2"/>
    <w:rsid w:val="00BB41C4"/>
    <w:rsid w:val="00BB51F0"/>
    <w:rsid w:val="00BB54D8"/>
    <w:rsid w:val="00BB5EE0"/>
    <w:rsid w:val="00BB636C"/>
    <w:rsid w:val="00BB65FB"/>
    <w:rsid w:val="00BB769E"/>
    <w:rsid w:val="00BC08BB"/>
    <w:rsid w:val="00BC0DDD"/>
    <w:rsid w:val="00BC0E32"/>
    <w:rsid w:val="00BC177F"/>
    <w:rsid w:val="00BC227D"/>
    <w:rsid w:val="00BC2380"/>
    <w:rsid w:val="00BC2D57"/>
    <w:rsid w:val="00BC315D"/>
    <w:rsid w:val="00BC3AE0"/>
    <w:rsid w:val="00BC3C5D"/>
    <w:rsid w:val="00BC3DA5"/>
    <w:rsid w:val="00BC3DB5"/>
    <w:rsid w:val="00BC52DB"/>
    <w:rsid w:val="00BC56B7"/>
    <w:rsid w:val="00BC64CC"/>
    <w:rsid w:val="00BC76A2"/>
    <w:rsid w:val="00BC7750"/>
    <w:rsid w:val="00BC7D2C"/>
    <w:rsid w:val="00BD01BE"/>
    <w:rsid w:val="00BD07DC"/>
    <w:rsid w:val="00BD08F6"/>
    <w:rsid w:val="00BD0AA0"/>
    <w:rsid w:val="00BD142B"/>
    <w:rsid w:val="00BD14C8"/>
    <w:rsid w:val="00BD163C"/>
    <w:rsid w:val="00BD1763"/>
    <w:rsid w:val="00BD2352"/>
    <w:rsid w:val="00BD3A87"/>
    <w:rsid w:val="00BD4065"/>
    <w:rsid w:val="00BD4173"/>
    <w:rsid w:val="00BD4309"/>
    <w:rsid w:val="00BD46CE"/>
    <w:rsid w:val="00BD4DE0"/>
    <w:rsid w:val="00BD4E05"/>
    <w:rsid w:val="00BD662D"/>
    <w:rsid w:val="00BD6AC3"/>
    <w:rsid w:val="00BD7125"/>
    <w:rsid w:val="00BD753F"/>
    <w:rsid w:val="00BD7BE2"/>
    <w:rsid w:val="00BE1062"/>
    <w:rsid w:val="00BE1C87"/>
    <w:rsid w:val="00BE1DA7"/>
    <w:rsid w:val="00BE23AB"/>
    <w:rsid w:val="00BE327E"/>
    <w:rsid w:val="00BE6563"/>
    <w:rsid w:val="00BE6B49"/>
    <w:rsid w:val="00BF008E"/>
    <w:rsid w:val="00BF00A3"/>
    <w:rsid w:val="00BF06AC"/>
    <w:rsid w:val="00BF0F49"/>
    <w:rsid w:val="00BF10F5"/>
    <w:rsid w:val="00BF243B"/>
    <w:rsid w:val="00BF245E"/>
    <w:rsid w:val="00BF31E6"/>
    <w:rsid w:val="00BF3C9C"/>
    <w:rsid w:val="00BF43CD"/>
    <w:rsid w:val="00BF44B8"/>
    <w:rsid w:val="00BF4C9D"/>
    <w:rsid w:val="00BF6F79"/>
    <w:rsid w:val="00BF7C2C"/>
    <w:rsid w:val="00BF7D77"/>
    <w:rsid w:val="00C009A8"/>
    <w:rsid w:val="00C00AD0"/>
    <w:rsid w:val="00C0126F"/>
    <w:rsid w:val="00C02526"/>
    <w:rsid w:val="00C02A57"/>
    <w:rsid w:val="00C02D06"/>
    <w:rsid w:val="00C03EFD"/>
    <w:rsid w:val="00C043BF"/>
    <w:rsid w:val="00C04509"/>
    <w:rsid w:val="00C056D6"/>
    <w:rsid w:val="00C05FB5"/>
    <w:rsid w:val="00C063C1"/>
    <w:rsid w:val="00C063C6"/>
    <w:rsid w:val="00C063DE"/>
    <w:rsid w:val="00C06B39"/>
    <w:rsid w:val="00C06BE7"/>
    <w:rsid w:val="00C07030"/>
    <w:rsid w:val="00C07A27"/>
    <w:rsid w:val="00C103F4"/>
    <w:rsid w:val="00C11241"/>
    <w:rsid w:val="00C11A64"/>
    <w:rsid w:val="00C1248F"/>
    <w:rsid w:val="00C13471"/>
    <w:rsid w:val="00C13686"/>
    <w:rsid w:val="00C13A4B"/>
    <w:rsid w:val="00C14630"/>
    <w:rsid w:val="00C14A05"/>
    <w:rsid w:val="00C14A9C"/>
    <w:rsid w:val="00C14CAA"/>
    <w:rsid w:val="00C156E7"/>
    <w:rsid w:val="00C16070"/>
    <w:rsid w:val="00C16F11"/>
    <w:rsid w:val="00C17C60"/>
    <w:rsid w:val="00C17D34"/>
    <w:rsid w:val="00C20759"/>
    <w:rsid w:val="00C20DAB"/>
    <w:rsid w:val="00C21083"/>
    <w:rsid w:val="00C21FC2"/>
    <w:rsid w:val="00C229E6"/>
    <w:rsid w:val="00C2312A"/>
    <w:rsid w:val="00C23C3C"/>
    <w:rsid w:val="00C30514"/>
    <w:rsid w:val="00C31243"/>
    <w:rsid w:val="00C318F4"/>
    <w:rsid w:val="00C31CC4"/>
    <w:rsid w:val="00C32AE5"/>
    <w:rsid w:val="00C334E7"/>
    <w:rsid w:val="00C33EB2"/>
    <w:rsid w:val="00C345B3"/>
    <w:rsid w:val="00C35435"/>
    <w:rsid w:val="00C359E9"/>
    <w:rsid w:val="00C366E1"/>
    <w:rsid w:val="00C379DB"/>
    <w:rsid w:val="00C37B44"/>
    <w:rsid w:val="00C40619"/>
    <w:rsid w:val="00C40646"/>
    <w:rsid w:val="00C40B21"/>
    <w:rsid w:val="00C40E10"/>
    <w:rsid w:val="00C41C58"/>
    <w:rsid w:val="00C42883"/>
    <w:rsid w:val="00C42FD9"/>
    <w:rsid w:val="00C4379D"/>
    <w:rsid w:val="00C44FA1"/>
    <w:rsid w:val="00C45684"/>
    <w:rsid w:val="00C45772"/>
    <w:rsid w:val="00C45DD7"/>
    <w:rsid w:val="00C50551"/>
    <w:rsid w:val="00C50C5A"/>
    <w:rsid w:val="00C51FBE"/>
    <w:rsid w:val="00C52231"/>
    <w:rsid w:val="00C52304"/>
    <w:rsid w:val="00C53035"/>
    <w:rsid w:val="00C5472B"/>
    <w:rsid w:val="00C54F3C"/>
    <w:rsid w:val="00C558DF"/>
    <w:rsid w:val="00C56101"/>
    <w:rsid w:val="00C5656E"/>
    <w:rsid w:val="00C56F09"/>
    <w:rsid w:val="00C56F92"/>
    <w:rsid w:val="00C57A87"/>
    <w:rsid w:val="00C6017F"/>
    <w:rsid w:val="00C6094A"/>
    <w:rsid w:val="00C609B0"/>
    <w:rsid w:val="00C60DA3"/>
    <w:rsid w:val="00C61232"/>
    <w:rsid w:val="00C6146E"/>
    <w:rsid w:val="00C61BC9"/>
    <w:rsid w:val="00C639C5"/>
    <w:rsid w:val="00C63F1D"/>
    <w:rsid w:val="00C64248"/>
    <w:rsid w:val="00C64BD1"/>
    <w:rsid w:val="00C6515F"/>
    <w:rsid w:val="00C65999"/>
    <w:rsid w:val="00C66E12"/>
    <w:rsid w:val="00C67B3D"/>
    <w:rsid w:val="00C67BDD"/>
    <w:rsid w:val="00C7083B"/>
    <w:rsid w:val="00C70F42"/>
    <w:rsid w:val="00C7119C"/>
    <w:rsid w:val="00C72025"/>
    <w:rsid w:val="00C72B79"/>
    <w:rsid w:val="00C72BA1"/>
    <w:rsid w:val="00C72EE2"/>
    <w:rsid w:val="00C73F10"/>
    <w:rsid w:val="00C75DB5"/>
    <w:rsid w:val="00C75EFB"/>
    <w:rsid w:val="00C76300"/>
    <w:rsid w:val="00C77200"/>
    <w:rsid w:val="00C80020"/>
    <w:rsid w:val="00C801C5"/>
    <w:rsid w:val="00C809BD"/>
    <w:rsid w:val="00C80B58"/>
    <w:rsid w:val="00C80F2D"/>
    <w:rsid w:val="00C818D9"/>
    <w:rsid w:val="00C819DE"/>
    <w:rsid w:val="00C82303"/>
    <w:rsid w:val="00C82A4F"/>
    <w:rsid w:val="00C835FF"/>
    <w:rsid w:val="00C84683"/>
    <w:rsid w:val="00C846B7"/>
    <w:rsid w:val="00C85C5F"/>
    <w:rsid w:val="00C85DF5"/>
    <w:rsid w:val="00C86AA5"/>
    <w:rsid w:val="00C86C5D"/>
    <w:rsid w:val="00C87D02"/>
    <w:rsid w:val="00C901BB"/>
    <w:rsid w:val="00C90289"/>
    <w:rsid w:val="00C907BB"/>
    <w:rsid w:val="00C90B5A"/>
    <w:rsid w:val="00C91820"/>
    <w:rsid w:val="00C91B8B"/>
    <w:rsid w:val="00C91D40"/>
    <w:rsid w:val="00C92244"/>
    <w:rsid w:val="00C92705"/>
    <w:rsid w:val="00C93182"/>
    <w:rsid w:val="00C9319B"/>
    <w:rsid w:val="00C93496"/>
    <w:rsid w:val="00C94219"/>
    <w:rsid w:val="00C947F8"/>
    <w:rsid w:val="00C94C85"/>
    <w:rsid w:val="00C951EF"/>
    <w:rsid w:val="00C95EB2"/>
    <w:rsid w:val="00C9656D"/>
    <w:rsid w:val="00C97551"/>
    <w:rsid w:val="00C97764"/>
    <w:rsid w:val="00CA0919"/>
    <w:rsid w:val="00CA0BBD"/>
    <w:rsid w:val="00CA0D38"/>
    <w:rsid w:val="00CA2B38"/>
    <w:rsid w:val="00CA324E"/>
    <w:rsid w:val="00CA3B7C"/>
    <w:rsid w:val="00CA3BAE"/>
    <w:rsid w:val="00CA3F4A"/>
    <w:rsid w:val="00CA67DF"/>
    <w:rsid w:val="00CA7160"/>
    <w:rsid w:val="00CA776E"/>
    <w:rsid w:val="00CA783B"/>
    <w:rsid w:val="00CB00E8"/>
    <w:rsid w:val="00CB0652"/>
    <w:rsid w:val="00CB086C"/>
    <w:rsid w:val="00CB0B13"/>
    <w:rsid w:val="00CB12E6"/>
    <w:rsid w:val="00CB1E9E"/>
    <w:rsid w:val="00CB2012"/>
    <w:rsid w:val="00CB32AD"/>
    <w:rsid w:val="00CB42A6"/>
    <w:rsid w:val="00CB557E"/>
    <w:rsid w:val="00CB5CEE"/>
    <w:rsid w:val="00CB6A9D"/>
    <w:rsid w:val="00CB6DA1"/>
    <w:rsid w:val="00CB6DDA"/>
    <w:rsid w:val="00CB6F1A"/>
    <w:rsid w:val="00CB72CC"/>
    <w:rsid w:val="00CB7B3E"/>
    <w:rsid w:val="00CB7FC9"/>
    <w:rsid w:val="00CC0649"/>
    <w:rsid w:val="00CC1553"/>
    <w:rsid w:val="00CC2AFE"/>
    <w:rsid w:val="00CC34C1"/>
    <w:rsid w:val="00CC379D"/>
    <w:rsid w:val="00CC40BB"/>
    <w:rsid w:val="00CC4433"/>
    <w:rsid w:val="00CC4892"/>
    <w:rsid w:val="00CC56A4"/>
    <w:rsid w:val="00CC5DA9"/>
    <w:rsid w:val="00CC5EEF"/>
    <w:rsid w:val="00CC701B"/>
    <w:rsid w:val="00CC70E5"/>
    <w:rsid w:val="00CC76C0"/>
    <w:rsid w:val="00CC7D91"/>
    <w:rsid w:val="00CD005D"/>
    <w:rsid w:val="00CD040D"/>
    <w:rsid w:val="00CD06C4"/>
    <w:rsid w:val="00CD0926"/>
    <w:rsid w:val="00CD0CCE"/>
    <w:rsid w:val="00CD1784"/>
    <w:rsid w:val="00CD1E29"/>
    <w:rsid w:val="00CD2ADD"/>
    <w:rsid w:val="00CD312F"/>
    <w:rsid w:val="00CD46A5"/>
    <w:rsid w:val="00CD475D"/>
    <w:rsid w:val="00CD4863"/>
    <w:rsid w:val="00CD4C41"/>
    <w:rsid w:val="00CD67C1"/>
    <w:rsid w:val="00CD6BEE"/>
    <w:rsid w:val="00CD74A2"/>
    <w:rsid w:val="00CD7CA5"/>
    <w:rsid w:val="00CE0F40"/>
    <w:rsid w:val="00CE1A0E"/>
    <w:rsid w:val="00CE30EA"/>
    <w:rsid w:val="00CE3A66"/>
    <w:rsid w:val="00CE4A91"/>
    <w:rsid w:val="00CE52B8"/>
    <w:rsid w:val="00CE59E2"/>
    <w:rsid w:val="00CE61BF"/>
    <w:rsid w:val="00CE6468"/>
    <w:rsid w:val="00CE6544"/>
    <w:rsid w:val="00CE6CD9"/>
    <w:rsid w:val="00CF066D"/>
    <w:rsid w:val="00CF0CC3"/>
    <w:rsid w:val="00CF1294"/>
    <w:rsid w:val="00CF1353"/>
    <w:rsid w:val="00CF18D6"/>
    <w:rsid w:val="00CF3648"/>
    <w:rsid w:val="00CF4705"/>
    <w:rsid w:val="00CF4826"/>
    <w:rsid w:val="00CF5B92"/>
    <w:rsid w:val="00CF5D20"/>
    <w:rsid w:val="00CF6E8F"/>
    <w:rsid w:val="00CF794E"/>
    <w:rsid w:val="00D003FC"/>
    <w:rsid w:val="00D0084A"/>
    <w:rsid w:val="00D01027"/>
    <w:rsid w:val="00D025C3"/>
    <w:rsid w:val="00D02740"/>
    <w:rsid w:val="00D02885"/>
    <w:rsid w:val="00D02CAA"/>
    <w:rsid w:val="00D0334B"/>
    <w:rsid w:val="00D03A2C"/>
    <w:rsid w:val="00D03EA7"/>
    <w:rsid w:val="00D03EFC"/>
    <w:rsid w:val="00D0504C"/>
    <w:rsid w:val="00D05929"/>
    <w:rsid w:val="00D05C9C"/>
    <w:rsid w:val="00D062A1"/>
    <w:rsid w:val="00D066D3"/>
    <w:rsid w:val="00D06BB9"/>
    <w:rsid w:val="00D0709D"/>
    <w:rsid w:val="00D105BF"/>
    <w:rsid w:val="00D10D45"/>
    <w:rsid w:val="00D1113F"/>
    <w:rsid w:val="00D12358"/>
    <w:rsid w:val="00D12A07"/>
    <w:rsid w:val="00D13691"/>
    <w:rsid w:val="00D13E7C"/>
    <w:rsid w:val="00D149F2"/>
    <w:rsid w:val="00D14A43"/>
    <w:rsid w:val="00D169E1"/>
    <w:rsid w:val="00D169EF"/>
    <w:rsid w:val="00D17C2A"/>
    <w:rsid w:val="00D202FB"/>
    <w:rsid w:val="00D20370"/>
    <w:rsid w:val="00D20A85"/>
    <w:rsid w:val="00D2225A"/>
    <w:rsid w:val="00D228BA"/>
    <w:rsid w:val="00D22D44"/>
    <w:rsid w:val="00D23ADC"/>
    <w:rsid w:val="00D23F72"/>
    <w:rsid w:val="00D2437F"/>
    <w:rsid w:val="00D256F5"/>
    <w:rsid w:val="00D25870"/>
    <w:rsid w:val="00D258AF"/>
    <w:rsid w:val="00D25906"/>
    <w:rsid w:val="00D25EE1"/>
    <w:rsid w:val="00D267B5"/>
    <w:rsid w:val="00D2773C"/>
    <w:rsid w:val="00D278A9"/>
    <w:rsid w:val="00D27EB0"/>
    <w:rsid w:val="00D30244"/>
    <w:rsid w:val="00D313F9"/>
    <w:rsid w:val="00D314F6"/>
    <w:rsid w:val="00D31784"/>
    <w:rsid w:val="00D3179E"/>
    <w:rsid w:val="00D31AD1"/>
    <w:rsid w:val="00D321DB"/>
    <w:rsid w:val="00D32937"/>
    <w:rsid w:val="00D32BC9"/>
    <w:rsid w:val="00D34B81"/>
    <w:rsid w:val="00D34C6B"/>
    <w:rsid w:val="00D35E2A"/>
    <w:rsid w:val="00D362B9"/>
    <w:rsid w:val="00D36677"/>
    <w:rsid w:val="00D367A5"/>
    <w:rsid w:val="00D367C1"/>
    <w:rsid w:val="00D37689"/>
    <w:rsid w:val="00D41780"/>
    <w:rsid w:val="00D41F2F"/>
    <w:rsid w:val="00D42377"/>
    <w:rsid w:val="00D424DB"/>
    <w:rsid w:val="00D43255"/>
    <w:rsid w:val="00D433BB"/>
    <w:rsid w:val="00D441A8"/>
    <w:rsid w:val="00D44448"/>
    <w:rsid w:val="00D4483B"/>
    <w:rsid w:val="00D44F47"/>
    <w:rsid w:val="00D45514"/>
    <w:rsid w:val="00D457A8"/>
    <w:rsid w:val="00D45F9C"/>
    <w:rsid w:val="00D45FF2"/>
    <w:rsid w:val="00D467D3"/>
    <w:rsid w:val="00D46A82"/>
    <w:rsid w:val="00D46BD4"/>
    <w:rsid w:val="00D46D08"/>
    <w:rsid w:val="00D46F64"/>
    <w:rsid w:val="00D5070C"/>
    <w:rsid w:val="00D521F4"/>
    <w:rsid w:val="00D528E9"/>
    <w:rsid w:val="00D52FA3"/>
    <w:rsid w:val="00D530C2"/>
    <w:rsid w:val="00D5423D"/>
    <w:rsid w:val="00D545E3"/>
    <w:rsid w:val="00D558C1"/>
    <w:rsid w:val="00D559A3"/>
    <w:rsid w:val="00D55CFE"/>
    <w:rsid w:val="00D57412"/>
    <w:rsid w:val="00D57485"/>
    <w:rsid w:val="00D57DA0"/>
    <w:rsid w:val="00D60505"/>
    <w:rsid w:val="00D6056B"/>
    <w:rsid w:val="00D6264A"/>
    <w:rsid w:val="00D63155"/>
    <w:rsid w:val="00D63503"/>
    <w:rsid w:val="00D63CBC"/>
    <w:rsid w:val="00D63D54"/>
    <w:rsid w:val="00D63DCF"/>
    <w:rsid w:val="00D64C19"/>
    <w:rsid w:val="00D65862"/>
    <w:rsid w:val="00D65CB3"/>
    <w:rsid w:val="00D65E03"/>
    <w:rsid w:val="00D65E0D"/>
    <w:rsid w:val="00D661FE"/>
    <w:rsid w:val="00D66261"/>
    <w:rsid w:val="00D671B1"/>
    <w:rsid w:val="00D67F98"/>
    <w:rsid w:val="00D702F8"/>
    <w:rsid w:val="00D709F1"/>
    <w:rsid w:val="00D71110"/>
    <w:rsid w:val="00D72E26"/>
    <w:rsid w:val="00D74741"/>
    <w:rsid w:val="00D7480A"/>
    <w:rsid w:val="00D74E27"/>
    <w:rsid w:val="00D755C1"/>
    <w:rsid w:val="00D75F39"/>
    <w:rsid w:val="00D76DA0"/>
    <w:rsid w:val="00D76EFD"/>
    <w:rsid w:val="00D76F0F"/>
    <w:rsid w:val="00D77B82"/>
    <w:rsid w:val="00D80E53"/>
    <w:rsid w:val="00D81026"/>
    <w:rsid w:val="00D815C8"/>
    <w:rsid w:val="00D818F2"/>
    <w:rsid w:val="00D83DFB"/>
    <w:rsid w:val="00D84240"/>
    <w:rsid w:val="00D842EA"/>
    <w:rsid w:val="00D8454A"/>
    <w:rsid w:val="00D8460E"/>
    <w:rsid w:val="00D8508A"/>
    <w:rsid w:val="00D85409"/>
    <w:rsid w:val="00D85E12"/>
    <w:rsid w:val="00D86611"/>
    <w:rsid w:val="00D8739E"/>
    <w:rsid w:val="00D87AAB"/>
    <w:rsid w:val="00D914D3"/>
    <w:rsid w:val="00D9322E"/>
    <w:rsid w:val="00D93556"/>
    <w:rsid w:val="00D939FC"/>
    <w:rsid w:val="00D93C8A"/>
    <w:rsid w:val="00D94028"/>
    <w:rsid w:val="00D94534"/>
    <w:rsid w:val="00D94C0D"/>
    <w:rsid w:val="00D95020"/>
    <w:rsid w:val="00D95FA1"/>
    <w:rsid w:val="00D96A27"/>
    <w:rsid w:val="00D9723D"/>
    <w:rsid w:val="00D97290"/>
    <w:rsid w:val="00D97C45"/>
    <w:rsid w:val="00D97F15"/>
    <w:rsid w:val="00DA1F41"/>
    <w:rsid w:val="00DA1FB7"/>
    <w:rsid w:val="00DA27F6"/>
    <w:rsid w:val="00DA2900"/>
    <w:rsid w:val="00DA2DDE"/>
    <w:rsid w:val="00DA469A"/>
    <w:rsid w:val="00DA53CA"/>
    <w:rsid w:val="00DA5543"/>
    <w:rsid w:val="00DA62EE"/>
    <w:rsid w:val="00DA6339"/>
    <w:rsid w:val="00DA641C"/>
    <w:rsid w:val="00DA6A96"/>
    <w:rsid w:val="00DA7265"/>
    <w:rsid w:val="00DA73B9"/>
    <w:rsid w:val="00DA7D8D"/>
    <w:rsid w:val="00DB01E3"/>
    <w:rsid w:val="00DB0E8E"/>
    <w:rsid w:val="00DB1DE7"/>
    <w:rsid w:val="00DB3D18"/>
    <w:rsid w:val="00DB5438"/>
    <w:rsid w:val="00DB5631"/>
    <w:rsid w:val="00DB58A1"/>
    <w:rsid w:val="00DB71CC"/>
    <w:rsid w:val="00DB7C37"/>
    <w:rsid w:val="00DB7C3D"/>
    <w:rsid w:val="00DB7FB2"/>
    <w:rsid w:val="00DC110A"/>
    <w:rsid w:val="00DC2E5D"/>
    <w:rsid w:val="00DC3007"/>
    <w:rsid w:val="00DC3837"/>
    <w:rsid w:val="00DC3E05"/>
    <w:rsid w:val="00DC50BE"/>
    <w:rsid w:val="00DC698E"/>
    <w:rsid w:val="00DC6DBD"/>
    <w:rsid w:val="00DC78A2"/>
    <w:rsid w:val="00DC7B72"/>
    <w:rsid w:val="00DD0010"/>
    <w:rsid w:val="00DD0A6E"/>
    <w:rsid w:val="00DD10C2"/>
    <w:rsid w:val="00DD202A"/>
    <w:rsid w:val="00DD397C"/>
    <w:rsid w:val="00DD3BCF"/>
    <w:rsid w:val="00DD3D78"/>
    <w:rsid w:val="00DD54C1"/>
    <w:rsid w:val="00DD645A"/>
    <w:rsid w:val="00DD6511"/>
    <w:rsid w:val="00DD7BDA"/>
    <w:rsid w:val="00DE01FA"/>
    <w:rsid w:val="00DE0939"/>
    <w:rsid w:val="00DE0AA1"/>
    <w:rsid w:val="00DE1137"/>
    <w:rsid w:val="00DE1A14"/>
    <w:rsid w:val="00DE1D5D"/>
    <w:rsid w:val="00DE1E37"/>
    <w:rsid w:val="00DE25C9"/>
    <w:rsid w:val="00DE261B"/>
    <w:rsid w:val="00DE3505"/>
    <w:rsid w:val="00DE49AA"/>
    <w:rsid w:val="00DE5BCD"/>
    <w:rsid w:val="00DE5CA7"/>
    <w:rsid w:val="00DE61C2"/>
    <w:rsid w:val="00DE6440"/>
    <w:rsid w:val="00DE6BB7"/>
    <w:rsid w:val="00DE7BC0"/>
    <w:rsid w:val="00DE7C31"/>
    <w:rsid w:val="00DF1048"/>
    <w:rsid w:val="00DF1144"/>
    <w:rsid w:val="00DF23A6"/>
    <w:rsid w:val="00DF2BFB"/>
    <w:rsid w:val="00DF2C2D"/>
    <w:rsid w:val="00DF36A9"/>
    <w:rsid w:val="00DF4175"/>
    <w:rsid w:val="00DF4418"/>
    <w:rsid w:val="00DF4725"/>
    <w:rsid w:val="00DF5CEA"/>
    <w:rsid w:val="00DF5E12"/>
    <w:rsid w:val="00DF6BAA"/>
    <w:rsid w:val="00DF74AB"/>
    <w:rsid w:val="00DF7A51"/>
    <w:rsid w:val="00E001D9"/>
    <w:rsid w:val="00E00AFB"/>
    <w:rsid w:val="00E0192E"/>
    <w:rsid w:val="00E020ED"/>
    <w:rsid w:val="00E0224E"/>
    <w:rsid w:val="00E049B0"/>
    <w:rsid w:val="00E04C57"/>
    <w:rsid w:val="00E05B58"/>
    <w:rsid w:val="00E05F29"/>
    <w:rsid w:val="00E06A38"/>
    <w:rsid w:val="00E06B70"/>
    <w:rsid w:val="00E06FDC"/>
    <w:rsid w:val="00E07435"/>
    <w:rsid w:val="00E112DE"/>
    <w:rsid w:val="00E11915"/>
    <w:rsid w:val="00E124E8"/>
    <w:rsid w:val="00E141E7"/>
    <w:rsid w:val="00E1468B"/>
    <w:rsid w:val="00E14793"/>
    <w:rsid w:val="00E14DE0"/>
    <w:rsid w:val="00E154AC"/>
    <w:rsid w:val="00E15E98"/>
    <w:rsid w:val="00E15EA4"/>
    <w:rsid w:val="00E1608B"/>
    <w:rsid w:val="00E16562"/>
    <w:rsid w:val="00E16B9B"/>
    <w:rsid w:val="00E1777B"/>
    <w:rsid w:val="00E2040C"/>
    <w:rsid w:val="00E204AE"/>
    <w:rsid w:val="00E206DE"/>
    <w:rsid w:val="00E22E2C"/>
    <w:rsid w:val="00E22EB7"/>
    <w:rsid w:val="00E22F02"/>
    <w:rsid w:val="00E2325B"/>
    <w:rsid w:val="00E23636"/>
    <w:rsid w:val="00E237B3"/>
    <w:rsid w:val="00E23AF0"/>
    <w:rsid w:val="00E23BB8"/>
    <w:rsid w:val="00E25D00"/>
    <w:rsid w:val="00E25D6B"/>
    <w:rsid w:val="00E25D8D"/>
    <w:rsid w:val="00E26E4A"/>
    <w:rsid w:val="00E30A51"/>
    <w:rsid w:val="00E30BA2"/>
    <w:rsid w:val="00E30D6E"/>
    <w:rsid w:val="00E31DD8"/>
    <w:rsid w:val="00E32223"/>
    <w:rsid w:val="00E323D4"/>
    <w:rsid w:val="00E328B9"/>
    <w:rsid w:val="00E32DDC"/>
    <w:rsid w:val="00E33B00"/>
    <w:rsid w:val="00E34D51"/>
    <w:rsid w:val="00E355B1"/>
    <w:rsid w:val="00E36975"/>
    <w:rsid w:val="00E36B71"/>
    <w:rsid w:val="00E36CA4"/>
    <w:rsid w:val="00E36FF2"/>
    <w:rsid w:val="00E3707F"/>
    <w:rsid w:val="00E37202"/>
    <w:rsid w:val="00E37EF0"/>
    <w:rsid w:val="00E40969"/>
    <w:rsid w:val="00E415C0"/>
    <w:rsid w:val="00E41AD2"/>
    <w:rsid w:val="00E41AD8"/>
    <w:rsid w:val="00E41C36"/>
    <w:rsid w:val="00E41F2D"/>
    <w:rsid w:val="00E42437"/>
    <w:rsid w:val="00E43691"/>
    <w:rsid w:val="00E442EE"/>
    <w:rsid w:val="00E44A93"/>
    <w:rsid w:val="00E45FF0"/>
    <w:rsid w:val="00E46614"/>
    <w:rsid w:val="00E50741"/>
    <w:rsid w:val="00E52483"/>
    <w:rsid w:val="00E52F3D"/>
    <w:rsid w:val="00E53B01"/>
    <w:rsid w:val="00E54B4C"/>
    <w:rsid w:val="00E54E24"/>
    <w:rsid w:val="00E552A5"/>
    <w:rsid w:val="00E5539A"/>
    <w:rsid w:val="00E55C04"/>
    <w:rsid w:val="00E55E77"/>
    <w:rsid w:val="00E5626E"/>
    <w:rsid w:val="00E56411"/>
    <w:rsid w:val="00E56CCE"/>
    <w:rsid w:val="00E5728A"/>
    <w:rsid w:val="00E57ABD"/>
    <w:rsid w:val="00E60917"/>
    <w:rsid w:val="00E60CAD"/>
    <w:rsid w:val="00E63243"/>
    <w:rsid w:val="00E635FF"/>
    <w:rsid w:val="00E64EAE"/>
    <w:rsid w:val="00E65A4D"/>
    <w:rsid w:val="00E65B8C"/>
    <w:rsid w:val="00E65B9D"/>
    <w:rsid w:val="00E701DA"/>
    <w:rsid w:val="00E70762"/>
    <w:rsid w:val="00E70B3F"/>
    <w:rsid w:val="00E7184E"/>
    <w:rsid w:val="00E73EC9"/>
    <w:rsid w:val="00E74047"/>
    <w:rsid w:val="00E75B9D"/>
    <w:rsid w:val="00E767A8"/>
    <w:rsid w:val="00E76996"/>
    <w:rsid w:val="00E76FC0"/>
    <w:rsid w:val="00E775B2"/>
    <w:rsid w:val="00E80A88"/>
    <w:rsid w:val="00E81531"/>
    <w:rsid w:val="00E81EE6"/>
    <w:rsid w:val="00E81FEA"/>
    <w:rsid w:val="00E83332"/>
    <w:rsid w:val="00E83DEE"/>
    <w:rsid w:val="00E84310"/>
    <w:rsid w:val="00E867A5"/>
    <w:rsid w:val="00E86E09"/>
    <w:rsid w:val="00E87B2E"/>
    <w:rsid w:val="00E87C33"/>
    <w:rsid w:val="00E90155"/>
    <w:rsid w:val="00E906D7"/>
    <w:rsid w:val="00E90B9A"/>
    <w:rsid w:val="00E923F3"/>
    <w:rsid w:val="00E933AC"/>
    <w:rsid w:val="00E93760"/>
    <w:rsid w:val="00E939CE"/>
    <w:rsid w:val="00E93C9A"/>
    <w:rsid w:val="00E93E90"/>
    <w:rsid w:val="00E93FA1"/>
    <w:rsid w:val="00E95161"/>
    <w:rsid w:val="00E960CE"/>
    <w:rsid w:val="00E963CD"/>
    <w:rsid w:val="00E96D31"/>
    <w:rsid w:val="00E9727C"/>
    <w:rsid w:val="00E97576"/>
    <w:rsid w:val="00E979CB"/>
    <w:rsid w:val="00EA0A09"/>
    <w:rsid w:val="00EA0AFF"/>
    <w:rsid w:val="00EA0D98"/>
    <w:rsid w:val="00EA279C"/>
    <w:rsid w:val="00EA32F6"/>
    <w:rsid w:val="00EA3CC0"/>
    <w:rsid w:val="00EA5F55"/>
    <w:rsid w:val="00EA61E4"/>
    <w:rsid w:val="00EA6C2B"/>
    <w:rsid w:val="00EA6C82"/>
    <w:rsid w:val="00EA7F84"/>
    <w:rsid w:val="00EB05D1"/>
    <w:rsid w:val="00EB108C"/>
    <w:rsid w:val="00EB16B5"/>
    <w:rsid w:val="00EB19B2"/>
    <w:rsid w:val="00EB1E4D"/>
    <w:rsid w:val="00EB2051"/>
    <w:rsid w:val="00EB2196"/>
    <w:rsid w:val="00EB2838"/>
    <w:rsid w:val="00EB41EF"/>
    <w:rsid w:val="00EB4871"/>
    <w:rsid w:val="00EB4974"/>
    <w:rsid w:val="00EB651B"/>
    <w:rsid w:val="00EC05E3"/>
    <w:rsid w:val="00EC15F9"/>
    <w:rsid w:val="00EC16EE"/>
    <w:rsid w:val="00EC1890"/>
    <w:rsid w:val="00EC1B25"/>
    <w:rsid w:val="00EC22A3"/>
    <w:rsid w:val="00EC4A64"/>
    <w:rsid w:val="00EC62D5"/>
    <w:rsid w:val="00EC680D"/>
    <w:rsid w:val="00EC7681"/>
    <w:rsid w:val="00ED031A"/>
    <w:rsid w:val="00ED0ADC"/>
    <w:rsid w:val="00ED0D86"/>
    <w:rsid w:val="00ED23D7"/>
    <w:rsid w:val="00ED2526"/>
    <w:rsid w:val="00ED27A6"/>
    <w:rsid w:val="00ED2B05"/>
    <w:rsid w:val="00ED3141"/>
    <w:rsid w:val="00ED3B57"/>
    <w:rsid w:val="00ED3FCF"/>
    <w:rsid w:val="00ED4346"/>
    <w:rsid w:val="00ED4FFC"/>
    <w:rsid w:val="00ED571C"/>
    <w:rsid w:val="00ED5BC2"/>
    <w:rsid w:val="00ED6047"/>
    <w:rsid w:val="00ED6452"/>
    <w:rsid w:val="00ED6A34"/>
    <w:rsid w:val="00ED6E47"/>
    <w:rsid w:val="00ED7716"/>
    <w:rsid w:val="00ED78D6"/>
    <w:rsid w:val="00ED7D34"/>
    <w:rsid w:val="00ED7D4D"/>
    <w:rsid w:val="00ED7FF0"/>
    <w:rsid w:val="00EE09CE"/>
    <w:rsid w:val="00EE1EA8"/>
    <w:rsid w:val="00EE2054"/>
    <w:rsid w:val="00EE3321"/>
    <w:rsid w:val="00EE33D9"/>
    <w:rsid w:val="00EE37F8"/>
    <w:rsid w:val="00EE39E3"/>
    <w:rsid w:val="00EE415D"/>
    <w:rsid w:val="00EE55AC"/>
    <w:rsid w:val="00EE5EFB"/>
    <w:rsid w:val="00EE6153"/>
    <w:rsid w:val="00EE63AE"/>
    <w:rsid w:val="00EE6C44"/>
    <w:rsid w:val="00EE6D25"/>
    <w:rsid w:val="00EE7226"/>
    <w:rsid w:val="00EE75D7"/>
    <w:rsid w:val="00EE7BDD"/>
    <w:rsid w:val="00EE7D22"/>
    <w:rsid w:val="00EF0320"/>
    <w:rsid w:val="00EF0B86"/>
    <w:rsid w:val="00EF0F22"/>
    <w:rsid w:val="00EF1CED"/>
    <w:rsid w:val="00EF5105"/>
    <w:rsid w:val="00EF7E08"/>
    <w:rsid w:val="00F00B16"/>
    <w:rsid w:val="00F01B20"/>
    <w:rsid w:val="00F01C93"/>
    <w:rsid w:val="00F023A9"/>
    <w:rsid w:val="00F0296C"/>
    <w:rsid w:val="00F034F1"/>
    <w:rsid w:val="00F04568"/>
    <w:rsid w:val="00F04F5E"/>
    <w:rsid w:val="00F05C68"/>
    <w:rsid w:val="00F06095"/>
    <w:rsid w:val="00F06C5F"/>
    <w:rsid w:val="00F073D3"/>
    <w:rsid w:val="00F079BE"/>
    <w:rsid w:val="00F07AD1"/>
    <w:rsid w:val="00F111A8"/>
    <w:rsid w:val="00F127B4"/>
    <w:rsid w:val="00F12969"/>
    <w:rsid w:val="00F12E27"/>
    <w:rsid w:val="00F136D7"/>
    <w:rsid w:val="00F13BB8"/>
    <w:rsid w:val="00F14E36"/>
    <w:rsid w:val="00F1599F"/>
    <w:rsid w:val="00F15ACD"/>
    <w:rsid w:val="00F15AFF"/>
    <w:rsid w:val="00F1653F"/>
    <w:rsid w:val="00F16A38"/>
    <w:rsid w:val="00F16DBD"/>
    <w:rsid w:val="00F17101"/>
    <w:rsid w:val="00F21910"/>
    <w:rsid w:val="00F21B6A"/>
    <w:rsid w:val="00F21D79"/>
    <w:rsid w:val="00F21E22"/>
    <w:rsid w:val="00F22474"/>
    <w:rsid w:val="00F22658"/>
    <w:rsid w:val="00F23202"/>
    <w:rsid w:val="00F239FA"/>
    <w:rsid w:val="00F23CA1"/>
    <w:rsid w:val="00F250C7"/>
    <w:rsid w:val="00F254B2"/>
    <w:rsid w:val="00F2661C"/>
    <w:rsid w:val="00F2681A"/>
    <w:rsid w:val="00F30064"/>
    <w:rsid w:val="00F310FA"/>
    <w:rsid w:val="00F31613"/>
    <w:rsid w:val="00F3198D"/>
    <w:rsid w:val="00F31BF8"/>
    <w:rsid w:val="00F31BFE"/>
    <w:rsid w:val="00F33C4C"/>
    <w:rsid w:val="00F33ED3"/>
    <w:rsid w:val="00F37432"/>
    <w:rsid w:val="00F41066"/>
    <w:rsid w:val="00F41B25"/>
    <w:rsid w:val="00F422ED"/>
    <w:rsid w:val="00F42642"/>
    <w:rsid w:val="00F4329F"/>
    <w:rsid w:val="00F437EF"/>
    <w:rsid w:val="00F43AD5"/>
    <w:rsid w:val="00F43E3D"/>
    <w:rsid w:val="00F44575"/>
    <w:rsid w:val="00F45055"/>
    <w:rsid w:val="00F453B0"/>
    <w:rsid w:val="00F4576C"/>
    <w:rsid w:val="00F4582D"/>
    <w:rsid w:val="00F458DC"/>
    <w:rsid w:val="00F45C89"/>
    <w:rsid w:val="00F45F98"/>
    <w:rsid w:val="00F463CB"/>
    <w:rsid w:val="00F4663C"/>
    <w:rsid w:val="00F471B1"/>
    <w:rsid w:val="00F47C4C"/>
    <w:rsid w:val="00F47C95"/>
    <w:rsid w:val="00F501F1"/>
    <w:rsid w:val="00F5200A"/>
    <w:rsid w:val="00F520CE"/>
    <w:rsid w:val="00F52C5C"/>
    <w:rsid w:val="00F52D14"/>
    <w:rsid w:val="00F538F3"/>
    <w:rsid w:val="00F54DBD"/>
    <w:rsid w:val="00F551A8"/>
    <w:rsid w:val="00F56B55"/>
    <w:rsid w:val="00F578D3"/>
    <w:rsid w:val="00F60229"/>
    <w:rsid w:val="00F607CE"/>
    <w:rsid w:val="00F6099D"/>
    <w:rsid w:val="00F610E9"/>
    <w:rsid w:val="00F612D5"/>
    <w:rsid w:val="00F62110"/>
    <w:rsid w:val="00F62480"/>
    <w:rsid w:val="00F63304"/>
    <w:rsid w:val="00F63B85"/>
    <w:rsid w:val="00F63C58"/>
    <w:rsid w:val="00F653BC"/>
    <w:rsid w:val="00F6658C"/>
    <w:rsid w:val="00F669E7"/>
    <w:rsid w:val="00F66DEB"/>
    <w:rsid w:val="00F673F6"/>
    <w:rsid w:val="00F70004"/>
    <w:rsid w:val="00F7010F"/>
    <w:rsid w:val="00F7060C"/>
    <w:rsid w:val="00F71E08"/>
    <w:rsid w:val="00F7246A"/>
    <w:rsid w:val="00F72581"/>
    <w:rsid w:val="00F72AA7"/>
    <w:rsid w:val="00F7379A"/>
    <w:rsid w:val="00F743CC"/>
    <w:rsid w:val="00F74876"/>
    <w:rsid w:val="00F75273"/>
    <w:rsid w:val="00F75530"/>
    <w:rsid w:val="00F75FBB"/>
    <w:rsid w:val="00F77433"/>
    <w:rsid w:val="00F77FF4"/>
    <w:rsid w:val="00F80109"/>
    <w:rsid w:val="00F80294"/>
    <w:rsid w:val="00F812FD"/>
    <w:rsid w:val="00F81A01"/>
    <w:rsid w:val="00F81B0E"/>
    <w:rsid w:val="00F82579"/>
    <w:rsid w:val="00F83A8E"/>
    <w:rsid w:val="00F84596"/>
    <w:rsid w:val="00F85873"/>
    <w:rsid w:val="00F87185"/>
    <w:rsid w:val="00F87659"/>
    <w:rsid w:val="00F87922"/>
    <w:rsid w:val="00F8798B"/>
    <w:rsid w:val="00F9111C"/>
    <w:rsid w:val="00F9117D"/>
    <w:rsid w:val="00F9120C"/>
    <w:rsid w:val="00F91EFD"/>
    <w:rsid w:val="00F92122"/>
    <w:rsid w:val="00F9294A"/>
    <w:rsid w:val="00F92F9A"/>
    <w:rsid w:val="00F938A4"/>
    <w:rsid w:val="00F93A39"/>
    <w:rsid w:val="00F94D74"/>
    <w:rsid w:val="00F95B63"/>
    <w:rsid w:val="00F96860"/>
    <w:rsid w:val="00F96AA3"/>
    <w:rsid w:val="00F972A2"/>
    <w:rsid w:val="00F973F1"/>
    <w:rsid w:val="00FA0045"/>
    <w:rsid w:val="00FA0A15"/>
    <w:rsid w:val="00FA1455"/>
    <w:rsid w:val="00FA2A4F"/>
    <w:rsid w:val="00FA3B47"/>
    <w:rsid w:val="00FA4457"/>
    <w:rsid w:val="00FA451C"/>
    <w:rsid w:val="00FA5CDC"/>
    <w:rsid w:val="00FA5E89"/>
    <w:rsid w:val="00FA6F88"/>
    <w:rsid w:val="00FA76F3"/>
    <w:rsid w:val="00FB0B18"/>
    <w:rsid w:val="00FB0C24"/>
    <w:rsid w:val="00FB0C8A"/>
    <w:rsid w:val="00FB1E24"/>
    <w:rsid w:val="00FB205D"/>
    <w:rsid w:val="00FB3203"/>
    <w:rsid w:val="00FB346E"/>
    <w:rsid w:val="00FB4B81"/>
    <w:rsid w:val="00FB6E6C"/>
    <w:rsid w:val="00FB6F46"/>
    <w:rsid w:val="00FB76A2"/>
    <w:rsid w:val="00FC03CA"/>
    <w:rsid w:val="00FC0A32"/>
    <w:rsid w:val="00FC1095"/>
    <w:rsid w:val="00FC11BC"/>
    <w:rsid w:val="00FC1512"/>
    <w:rsid w:val="00FC217B"/>
    <w:rsid w:val="00FC29BB"/>
    <w:rsid w:val="00FC2AA9"/>
    <w:rsid w:val="00FC3B64"/>
    <w:rsid w:val="00FC44D9"/>
    <w:rsid w:val="00FC482F"/>
    <w:rsid w:val="00FC4F84"/>
    <w:rsid w:val="00FC500B"/>
    <w:rsid w:val="00FC5E81"/>
    <w:rsid w:val="00FC6B43"/>
    <w:rsid w:val="00FC6ED4"/>
    <w:rsid w:val="00FC7659"/>
    <w:rsid w:val="00FD029E"/>
    <w:rsid w:val="00FD0737"/>
    <w:rsid w:val="00FD0CAB"/>
    <w:rsid w:val="00FD14F6"/>
    <w:rsid w:val="00FD26A3"/>
    <w:rsid w:val="00FD2AD5"/>
    <w:rsid w:val="00FD3309"/>
    <w:rsid w:val="00FD3D5E"/>
    <w:rsid w:val="00FD3E45"/>
    <w:rsid w:val="00FD5659"/>
    <w:rsid w:val="00FD6BA9"/>
    <w:rsid w:val="00FD6C40"/>
    <w:rsid w:val="00FD6ED2"/>
    <w:rsid w:val="00FD6F50"/>
    <w:rsid w:val="00FE019D"/>
    <w:rsid w:val="00FE0E01"/>
    <w:rsid w:val="00FE1489"/>
    <w:rsid w:val="00FE1EAB"/>
    <w:rsid w:val="00FE4681"/>
    <w:rsid w:val="00FE484D"/>
    <w:rsid w:val="00FE5B44"/>
    <w:rsid w:val="00FE5E96"/>
    <w:rsid w:val="00FE6B99"/>
    <w:rsid w:val="00FE76E2"/>
    <w:rsid w:val="00FE771A"/>
    <w:rsid w:val="00FF034F"/>
    <w:rsid w:val="00FF12DB"/>
    <w:rsid w:val="00FF18D7"/>
    <w:rsid w:val="00FF1A7A"/>
    <w:rsid w:val="00FF2490"/>
    <w:rsid w:val="00FF27C5"/>
    <w:rsid w:val="00FF3893"/>
    <w:rsid w:val="00FF50AC"/>
    <w:rsid w:val="00FF653B"/>
    <w:rsid w:val="00FF6F96"/>
    <w:rsid w:val="00FF7032"/>
    <w:rsid w:val="00FF76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CR" w:eastAsia="es-CR"/>
    </w:rPr>
  </w:style>
  <w:style w:type="paragraph" w:styleId="Ttulo1">
    <w:name w:val="heading 1"/>
    <w:basedOn w:val="Prrafodelista"/>
    <w:next w:val="Normal"/>
    <w:link w:val="Ttulo1Car"/>
    <w:uiPriority w:val="9"/>
    <w:qFormat/>
    <w:rsid w:val="0062279D"/>
    <w:pPr>
      <w:numPr>
        <w:numId w:val="3"/>
      </w:numPr>
      <w:spacing w:after="0" w:line="240" w:lineRule="auto"/>
      <w:ind w:right="1444"/>
      <w:jc w:val="both"/>
      <w:outlineLvl w:val="0"/>
    </w:pPr>
    <w:rPr>
      <w:rFonts w:ascii="Verdana" w:hAnsi="Verdana" w:cs="Verdana"/>
      <w:b/>
      <w:sz w:val="20"/>
      <w:szCs w:val="20"/>
      <w:lang w:val="es-ES"/>
    </w:rPr>
  </w:style>
  <w:style w:type="paragraph" w:styleId="Ttulo2">
    <w:name w:val="heading 2"/>
    <w:basedOn w:val="Normal"/>
    <w:next w:val="Normal"/>
    <w:link w:val="Ttulo2Car"/>
    <w:uiPriority w:val="9"/>
    <w:unhideWhenUsed/>
    <w:qFormat/>
    <w:rsid w:val="001A713E"/>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52428B"/>
    <w:rPr>
      <w:vertAlign w:val="superscript"/>
    </w:rPr>
  </w:style>
  <w:style w:type="paragraph" w:styleId="Sinespaciado">
    <w:name w:val="No Spacing"/>
    <w:uiPriority w:val="1"/>
    <w:qFormat/>
    <w:rsid w:val="0052428B"/>
    <w:rPr>
      <w:sz w:val="22"/>
      <w:szCs w:val="22"/>
      <w:lang w:val="es-CR" w:eastAsia="es-CR"/>
    </w:rPr>
  </w:style>
  <w:style w:type="paragraph" w:styleId="Prrafodelista">
    <w:name w:val="List Paragraph"/>
    <w:aliases w:val="Footnote,Párrafo de lista1"/>
    <w:basedOn w:val="Normal"/>
    <w:link w:val="PrrafodelistaCar"/>
    <w:uiPriority w:val="34"/>
    <w:qFormat/>
    <w:rsid w:val="0052428B"/>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52428B"/>
    <w:pPr>
      <w:spacing w:after="0" w:line="240" w:lineRule="auto"/>
    </w:pPr>
    <w:rPr>
      <w:rFonts w:ascii="Times" w:eastAsia="Times" w:hAnsi="Times"/>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52428B"/>
    <w:rPr>
      <w:rFonts w:ascii="Times" w:eastAsia="Times" w:hAnsi="Times" w:cs="Times New Roman"/>
      <w:sz w:val="24"/>
      <w:szCs w:val="20"/>
      <w:lang w:val="es-ES_tradnl"/>
    </w:rPr>
  </w:style>
  <w:style w:type="character" w:customStyle="1" w:styleId="PrrafodelistaCar">
    <w:name w:val="Párrafo de lista Car"/>
    <w:aliases w:val="Footnote Car,Párrafo de lista1 Car"/>
    <w:link w:val="Prrafodelista"/>
    <w:uiPriority w:val="34"/>
    <w:rsid w:val="0052428B"/>
  </w:style>
  <w:style w:type="paragraph" w:styleId="Textodeglobo">
    <w:name w:val="Balloon Text"/>
    <w:basedOn w:val="Normal"/>
    <w:link w:val="TextodegloboCar"/>
    <w:uiPriority w:val="99"/>
    <w:semiHidden/>
    <w:unhideWhenUsed/>
    <w:rsid w:val="00D4483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4483B"/>
    <w:rPr>
      <w:rFonts w:ascii="Tahoma" w:hAnsi="Tahoma" w:cs="Tahoma"/>
      <w:sz w:val="16"/>
      <w:szCs w:val="16"/>
    </w:rPr>
  </w:style>
  <w:style w:type="paragraph" w:styleId="Mapadeldocumento">
    <w:name w:val="Document Map"/>
    <w:basedOn w:val="Normal"/>
    <w:link w:val="MapadeldocumentoCar"/>
    <w:uiPriority w:val="99"/>
    <w:semiHidden/>
    <w:unhideWhenUsed/>
    <w:rsid w:val="00625989"/>
    <w:pPr>
      <w:spacing w:after="0" w:line="240" w:lineRule="auto"/>
    </w:pPr>
    <w:rPr>
      <w:rFonts w:ascii="Tahoma" w:hAnsi="Tahoma" w:cs="Tahoma"/>
      <w:sz w:val="16"/>
      <w:szCs w:val="16"/>
    </w:rPr>
  </w:style>
  <w:style w:type="character" w:customStyle="1" w:styleId="MapadeldocumentoCar">
    <w:name w:val="Mapa del documento Car"/>
    <w:link w:val="Mapadeldocumento"/>
    <w:uiPriority w:val="99"/>
    <w:semiHidden/>
    <w:rsid w:val="00625989"/>
    <w:rPr>
      <w:rFonts w:ascii="Tahoma" w:hAnsi="Tahoma" w:cs="Tahoma"/>
      <w:sz w:val="16"/>
      <w:szCs w:val="16"/>
    </w:rPr>
  </w:style>
  <w:style w:type="character" w:styleId="Refdecomentario">
    <w:name w:val="annotation reference"/>
    <w:uiPriority w:val="99"/>
    <w:semiHidden/>
    <w:unhideWhenUsed/>
    <w:rsid w:val="009D5904"/>
    <w:rPr>
      <w:sz w:val="16"/>
      <w:szCs w:val="16"/>
    </w:rPr>
  </w:style>
  <w:style w:type="paragraph" w:styleId="Textocomentario">
    <w:name w:val="annotation text"/>
    <w:basedOn w:val="Normal"/>
    <w:link w:val="TextocomentarioCar"/>
    <w:uiPriority w:val="99"/>
    <w:semiHidden/>
    <w:unhideWhenUsed/>
    <w:rsid w:val="009D5904"/>
    <w:pPr>
      <w:spacing w:line="240" w:lineRule="auto"/>
    </w:pPr>
    <w:rPr>
      <w:sz w:val="20"/>
      <w:szCs w:val="20"/>
    </w:rPr>
  </w:style>
  <w:style w:type="character" w:customStyle="1" w:styleId="TextocomentarioCar">
    <w:name w:val="Texto comentario Car"/>
    <w:link w:val="Textocomentario"/>
    <w:uiPriority w:val="99"/>
    <w:semiHidden/>
    <w:rsid w:val="009D5904"/>
    <w:rPr>
      <w:sz w:val="20"/>
      <w:szCs w:val="20"/>
    </w:rPr>
  </w:style>
  <w:style w:type="paragraph" w:styleId="Asuntodelcomentario">
    <w:name w:val="annotation subject"/>
    <w:basedOn w:val="Textocomentario"/>
    <w:next w:val="Textocomentario"/>
    <w:link w:val="AsuntodelcomentarioCar"/>
    <w:uiPriority w:val="99"/>
    <w:semiHidden/>
    <w:unhideWhenUsed/>
    <w:rsid w:val="009D5904"/>
    <w:rPr>
      <w:b/>
      <w:bCs/>
    </w:rPr>
  </w:style>
  <w:style w:type="character" w:customStyle="1" w:styleId="AsuntodelcomentarioCar">
    <w:name w:val="Asunto del comentario Car"/>
    <w:link w:val="Asuntodelcomentario"/>
    <w:uiPriority w:val="99"/>
    <w:semiHidden/>
    <w:rsid w:val="009D5904"/>
    <w:rPr>
      <w:b/>
      <w:bCs/>
      <w:sz w:val="20"/>
      <w:szCs w:val="20"/>
    </w:rPr>
  </w:style>
  <w:style w:type="paragraph" w:styleId="Revisin">
    <w:name w:val="Revision"/>
    <w:hidden/>
    <w:uiPriority w:val="99"/>
    <w:semiHidden/>
    <w:rsid w:val="009D5904"/>
    <w:rPr>
      <w:sz w:val="22"/>
      <w:szCs w:val="22"/>
      <w:lang w:val="es-CR" w:eastAsia="es-CR"/>
    </w:rPr>
  </w:style>
  <w:style w:type="paragraph" w:styleId="Encabezado">
    <w:name w:val="header"/>
    <w:basedOn w:val="Normal"/>
    <w:link w:val="EncabezadoCar"/>
    <w:uiPriority w:val="99"/>
    <w:unhideWhenUsed/>
    <w:rsid w:val="00E112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12DE"/>
  </w:style>
  <w:style w:type="paragraph" w:styleId="Piedepgina">
    <w:name w:val="footer"/>
    <w:basedOn w:val="Normal"/>
    <w:link w:val="PiedepginaCar"/>
    <w:uiPriority w:val="99"/>
    <w:unhideWhenUsed/>
    <w:rsid w:val="00E112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12DE"/>
  </w:style>
  <w:style w:type="character" w:styleId="Hipervnculo">
    <w:name w:val="Hyperlink"/>
    <w:uiPriority w:val="99"/>
    <w:unhideWhenUsed/>
    <w:rsid w:val="00E25D8D"/>
    <w:rPr>
      <w:color w:val="0000FF"/>
      <w:u w:val="single"/>
    </w:rPr>
  </w:style>
  <w:style w:type="paragraph" w:styleId="Textoindependiente2">
    <w:name w:val="Body Text 2"/>
    <w:basedOn w:val="Normal"/>
    <w:link w:val="Textoindependiente2Car"/>
    <w:rsid w:val="00653CF4"/>
    <w:pPr>
      <w:spacing w:after="0" w:line="240" w:lineRule="auto"/>
      <w:jc w:val="both"/>
    </w:pPr>
    <w:rPr>
      <w:rFonts w:ascii="Verdana" w:eastAsia="Times" w:hAnsi="Verdana"/>
      <w:sz w:val="20"/>
      <w:szCs w:val="20"/>
      <w:lang w:val="es-ES_tradnl"/>
    </w:rPr>
  </w:style>
  <w:style w:type="character" w:customStyle="1" w:styleId="Textoindependiente2Car">
    <w:name w:val="Texto independiente 2 Car"/>
    <w:link w:val="Textoindependiente2"/>
    <w:rsid w:val="00653CF4"/>
    <w:rPr>
      <w:rFonts w:ascii="Verdana" w:eastAsia="Times" w:hAnsi="Verdana" w:cs="Times New Roman"/>
      <w:sz w:val="20"/>
      <w:szCs w:val="20"/>
      <w:lang w:val="es-ES_tradnl"/>
    </w:rPr>
  </w:style>
  <w:style w:type="character" w:customStyle="1" w:styleId="Ttulo1Car">
    <w:name w:val="Título 1 Car"/>
    <w:link w:val="Ttulo1"/>
    <w:uiPriority w:val="9"/>
    <w:rsid w:val="0062279D"/>
    <w:rPr>
      <w:rFonts w:ascii="Verdana" w:hAnsi="Verdana" w:cs="Verdana"/>
      <w:b/>
      <w:sz w:val="20"/>
      <w:szCs w:val="20"/>
      <w:lang w:val="es-ES"/>
    </w:rPr>
  </w:style>
  <w:style w:type="paragraph" w:styleId="TtulodeTDC">
    <w:name w:val="TOC Heading"/>
    <w:basedOn w:val="Ttulo1"/>
    <w:next w:val="Normal"/>
    <w:uiPriority w:val="39"/>
    <w:unhideWhenUsed/>
    <w:qFormat/>
    <w:rsid w:val="005D325A"/>
    <w:pPr>
      <w:outlineLvl w:val="9"/>
    </w:pPr>
  </w:style>
  <w:style w:type="paragraph" w:styleId="TDC1">
    <w:name w:val="toc 1"/>
    <w:basedOn w:val="Normal"/>
    <w:next w:val="Normal"/>
    <w:autoRedefine/>
    <w:uiPriority w:val="39"/>
    <w:unhideWhenUsed/>
    <w:rsid w:val="00507889"/>
    <w:pPr>
      <w:tabs>
        <w:tab w:val="left" w:pos="660"/>
        <w:tab w:val="right" w:leader="dot" w:pos="9350"/>
      </w:tabs>
      <w:spacing w:after="100"/>
      <w:ind w:right="1444"/>
      <w:jc w:val="both"/>
    </w:pPr>
    <w:rPr>
      <w:rFonts w:ascii="Verdana" w:hAnsi="Verdana"/>
      <w:b/>
      <w:noProof/>
      <w:sz w:val="20"/>
      <w:szCs w:val="20"/>
    </w:rPr>
  </w:style>
  <w:style w:type="character" w:styleId="Nmerodelnea">
    <w:name w:val="line number"/>
    <w:basedOn w:val="Fuentedeprrafopredeter"/>
    <w:uiPriority w:val="99"/>
    <w:semiHidden/>
    <w:unhideWhenUsed/>
    <w:rsid w:val="00D362B9"/>
  </w:style>
  <w:style w:type="character" w:styleId="Textoennegrita">
    <w:name w:val="Strong"/>
    <w:uiPriority w:val="22"/>
    <w:qFormat/>
    <w:rsid w:val="00C14CAA"/>
    <w:rPr>
      <w:b/>
      <w:bCs/>
    </w:rPr>
  </w:style>
  <w:style w:type="paragraph" w:styleId="Textoindependiente">
    <w:name w:val="Body Text"/>
    <w:basedOn w:val="Normal"/>
    <w:link w:val="TextoindependienteCar"/>
    <w:uiPriority w:val="99"/>
    <w:semiHidden/>
    <w:unhideWhenUsed/>
    <w:rsid w:val="0015290F"/>
    <w:pPr>
      <w:spacing w:after="120"/>
    </w:pPr>
  </w:style>
  <w:style w:type="character" w:customStyle="1" w:styleId="TextoindependienteCar">
    <w:name w:val="Texto independiente Car"/>
    <w:basedOn w:val="Fuentedeprrafopredeter"/>
    <w:link w:val="Textoindependiente"/>
    <w:uiPriority w:val="99"/>
    <w:semiHidden/>
    <w:rsid w:val="0015290F"/>
  </w:style>
  <w:style w:type="paragraph" w:styleId="NormalWeb">
    <w:name w:val="Normal (Web)"/>
    <w:basedOn w:val="Normal"/>
    <w:uiPriority w:val="99"/>
    <w:unhideWhenUsed/>
    <w:rsid w:val="00B56D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Fuentedeprrafopredeter"/>
    <w:rsid w:val="00C14630"/>
  </w:style>
  <w:style w:type="character" w:customStyle="1" w:styleId="PrrafodelistaCar1">
    <w:name w:val="Párrafo de lista Car1"/>
    <w:aliases w:val="Footnote Car1,Párrafo de lista1 Car1"/>
    <w:uiPriority w:val="34"/>
    <w:rsid w:val="00C17D34"/>
    <w:rPr>
      <w:lang w:val="es-CR"/>
    </w:rPr>
  </w:style>
  <w:style w:type="paragraph" w:customStyle="1" w:styleId="Sangradetindependiente">
    <w:name w:val="SangrÌa de t. independiente"/>
    <w:basedOn w:val="Normal"/>
    <w:rsid w:val="008549B8"/>
    <w:pPr>
      <w:spacing w:after="0" w:line="240" w:lineRule="auto"/>
      <w:ind w:right="12"/>
      <w:jc w:val="both"/>
    </w:pPr>
    <w:rPr>
      <w:rFonts w:ascii="Garamond" w:eastAsia="Times New Roman" w:hAnsi="Garamond"/>
      <w:sz w:val="20"/>
      <w:szCs w:val="20"/>
      <w:lang w:val="es-ES_tradnl" w:eastAsia="es-ES"/>
    </w:rPr>
  </w:style>
  <w:style w:type="character" w:customStyle="1" w:styleId="Cuadrculamedia1-nfasis2Car">
    <w:name w:val="Cuadrícula media 1 - Énfasis 2 Car"/>
    <w:link w:val="Cuadrculamedia1-nfasis2"/>
    <w:uiPriority w:val="34"/>
    <w:rsid w:val="008549B8"/>
    <w:rPr>
      <w:rFonts w:ascii="Garamond" w:eastAsia="Times" w:hAnsi="Garamond"/>
      <w:sz w:val="24"/>
      <w:lang w:val="es-ES_tradnl" w:eastAsia="en-US"/>
    </w:rPr>
  </w:style>
  <w:style w:type="table" w:styleId="Cuadrculamedia1-nfasis2">
    <w:name w:val="Medium Grid 1 Accent 2"/>
    <w:basedOn w:val="Tablanormal"/>
    <w:link w:val="Cuadrculamedia1-nfasis2Car"/>
    <w:uiPriority w:val="34"/>
    <w:rsid w:val="008549B8"/>
    <w:rPr>
      <w:rFonts w:ascii="Garamond" w:eastAsia="Times" w:hAnsi="Garamond"/>
      <w:sz w:val="24"/>
      <w:lang w:val="es-ES_tradn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s6b621b36">
    <w:name w:val="s6b621b36"/>
    <w:basedOn w:val="Fuentedeprrafopredeter"/>
    <w:rsid w:val="0074545E"/>
  </w:style>
  <w:style w:type="table" w:styleId="Tablaconcuadrcula">
    <w:name w:val="Table Grid"/>
    <w:basedOn w:val="Tablanormal"/>
    <w:uiPriority w:val="59"/>
    <w:rsid w:val="00AE2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FB6E6C"/>
    <w:rPr>
      <w:color w:val="800080"/>
      <w:u w:val="single"/>
    </w:rPr>
  </w:style>
  <w:style w:type="character" w:customStyle="1" w:styleId="Ttulo2Car">
    <w:name w:val="Título 2 Car"/>
    <w:link w:val="Ttulo2"/>
    <w:uiPriority w:val="9"/>
    <w:rsid w:val="001A713E"/>
    <w:rPr>
      <w:rFonts w:ascii="Cambria" w:eastAsia="Times New Roman" w:hAnsi="Cambria" w:cs="Times New Roman"/>
      <w:b/>
      <w:bCs/>
      <w:i/>
      <w:iCs/>
      <w:sz w:val="28"/>
      <w:szCs w:val="28"/>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30720">
      <w:bodyDiv w:val="1"/>
      <w:marLeft w:val="0"/>
      <w:marRight w:val="0"/>
      <w:marTop w:val="0"/>
      <w:marBottom w:val="0"/>
      <w:divBdr>
        <w:top w:val="none" w:sz="0" w:space="0" w:color="auto"/>
        <w:left w:val="none" w:sz="0" w:space="0" w:color="auto"/>
        <w:bottom w:val="none" w:sz="0" w:space="0" w:color="auto"/>
        <w:right w:val="none" w:sz="0" w:space="0" w:color="auto"/>
      </w:divBdr>
    </w:div>
    <w:div w:id="176358561">
      <w:bodyDiv w:val="1"/>
      <w:marLeft w:val="0"/>
      <w:marRight w:val="0"/>
      <w:marTop w:val="0"/>
      <w:marBottom w:val="0"/>
      <w:divBdr>
        <w:top w:val="none" w:sz="0" w:space="0" w:color="auto"/>
        <w:left w:val="none" w:sz="0" w:space="0" w:color="auto"/>
        <w:bottom w:val="none" w:sz="0" w:space="0" w:color="auto"/>
        <w:right w:val="none" w:sz="0" w:space="0" w:color="auto"/>
      </w:divBdr>
    </w:div>
    <w:div w:id="334772806">
      <w:bodyDiv w:val="1"/>
      <w:marLeft w:val="0"/>
      <w:marRight w:val="0"/>
      <w:marTop w:val="0"/>
      <w:marBottom w:val="0"/>
      <w:divBdr>
        <w:top w:val="none" w:sz="0" w:space="0" w:color="auto"/>
        <w:left w:val="none" w:sz="0" w:space="0" w:color="auto"/>
        <w:bottom w:val="none" w:sz="0" w:space="0" w:color="auto"/>
        <w:right w:val="none" w:sz="0" w:space="0" w:color="auto"/>
      </w:divBdr>
    </w:div>
    <w:div w:id="401102982">
      <w:bodyDiv w:val="1"/>
      <w:marLeft w:val="0"/>
      <w:marRight w:val="0"/>
      <w:marTop w:val="0"/>
      <w:marBottom w:val="0"/>
      <w:divBdr>
        <w:top w:val="none" w:sz="0" w:space="0" w:color="auto"/>
        <w:left w:val="none" w:sz="0" w:space="0" w:color="auto"/>
        <w:bottom w:val="none" w:sz="0" w:space="0" w:color="auto"/>
        <w:right w:val="none" w:sz="0" w:space="0" w:color="auto"/>
      </w:divBdr>
    </w:div>
    <w:div w:id="509098772">
      <w:bodyDiv w:val="1"/>
      <w:marLeft w:val="0"/>
      <w:marRight w:val="0"/>
      <w:marTop w:val="0"/>
      <w:marBottom w:val="0"/>
      <w:divBdr>
        <w:top w:val="none" w:sz="0" w:space="0" w:color="auto"/>
        <w:left w:val="none" w:sz="0" w:space="0" w:color="auto"/>
        <w:bottom w:val="none" w:sz="0" w:space="0" w:color="auto"/>
        <w:right w:val="none" w:sz="0" w:space="0" w:color="auto"/>
      </w:divBdr>
    </w:div>
    <w:div w:id="621303439">
      <w:bodyDiv w:val="1"/>
      <w:marLeft w:val="0"/>
      <w:marRight w:val="0"/>
      <w:marTop w:val="0"/>
      <w:marBottom w:val="0"/>
      <w:divBdr>
        <w:top w:val="none" w:sz="0" w:space="0" w:color="auto"/>
        <w:left w:val="none" w:sz="0" w:space="0" w:color="auto"/>
        <w:bottom w:val="none" w:sz="0" w:space="0" w:color="auto"/>
        <w:right w:val="none" w:sz="0" w:space="0" w:color="auto"/>
      </w:divBdr>
    </w:div>
    <w:div w:id="623855440">
      <w:bodyDiv w:val="1"/>
      <w:marLeft w:val="0"/>
      <w:marRight w:val="0"/>
      <w:marTop w:val="0"/>
      <w:marBottom w:val="0"/>
      <w:divBdr>
        <w:top w:val="none" w:sz="0" w:space="0" w:color="auto"/>
        <w:left w:val="none" w:sz="0" w:space="0" w:color="auto"/>
        <w:bottom w:val="none" w:sz="0" w:space="0" w:color="auto"/>
        <w:right w:val="none" w:sz="0" w:space="0" w:color="auto"/>
      </w:divBdr>
    </w:div>
    <w:div w:id="806170170">
      <w:bodyDiv w:val="1"/>
      <w:marLeft w:val="0"/>
      <w:marRight w:val="0"/>
      <w:marTop w:val="0"/>
      <w:marBottom w:val="0"/>
      <w:divBdr>
        <w:top w:val="none" w:sz="0" w:space="0" w:color="auto"/>
        <w:left w:val="none" w:sz="0" w:space="0" w:color="auto"/>
        <w:bottom w:val="none" w:sz="0" w:space="0" w:color="auto"/>
        <w:right w:val="none" w:sz="0" w:space="0" w:color="auto"/>
      </w:divBdr>
    </w:div>
    <w:div w:id="901329178">
      <w:bodyDiv w:val="1"/>
      <w:marLeft w:val="0"/>
      <w:marRight w:val="0"/>
      <w:marTop w:val="0"/>
      <w:marBottom w:val="0"/>
      <w:divBdr>
        <w:top w:val="none" w:sz="0" w:space="0" w:color="auto"/>
        <w:left w:val="none" w:sz="0" w:space="0" w:color="auto"/>
        <w:bottom w:val="none" w:sz="0" w:space="0" w:color="auto"/>
        <w:right w:val="none" w:sz="0" w:space="0" w:color="auto"/>
      </w:divBdr>
    </w:div>
    <w:div w:id="1143502332">
      <w:bodyDiv w:val="1"/>
      <w:marLeft w:val="0"/>
      <w:marRight w:val="0"/>
      <w:marTop w:val="0"/>
      <w:marBottom w:val="0"/>
      <w:divBdr>
        <w:top w:val="none" w:sz="0" w:space="0" w:color="auto"/>
        <w:left w:val="none" w:sz="0" w:space="0" w:color="auto"/>
        <w:bottom w:val="none" w:sz="0" w:space="0" w:color="auto"/>
        <w:right w:val="none" w:sz="0" w:space="0" w:color="auto"/>
      </w:divBdr>
    </w:div>
    <w:div w:id="1255020569">
      <w:bodyDiv w:val="1"/>
      <w:marLeft w:val="0"/>
      <w:marRight w:val="0"/>
      <w:marTop w:val="0"/>
      <w:marBottom w:val="0"/>
      <w:divBdr>
        <w:top w:val="none" w:sz="0" w:space="0" w:color="auto"/>
        <w:left w:val="none" w:sz="0" w:space="0" w:color="auto"/>
        <w:bottom w:val="none" w:sz="0" w:space="0" w:color="auto"/>
        <w:right w:val="none" w:sz="0" w:space="0" w:color="auto"/>
      </w:divBdr>
    </w:div>
    <w:div w:id="1276719917">
      <w:bodyDiv w:val="1"/>
      <w:marLeft w:val="0"/>
      <w:marRight w:val="0"/>
      <w:marTop w:val="0"/>
      <w:marBottom w:val="0"/>
      <w:divBdr>
        <w:top w:val="none" w:sz="0" w:space="0" w:color="auto"/>
        <w:left w:val="none" w:sz="0" w:space="0" w:color="auto"/>
        <w:bottom w:val="none" w:sz="0" w:space="0" w:color="auto"/>
        <w:right w:val="none" w:sz="0" w:space="0" w:color="auto"/>
      </w:divBdr>
    </w:div>
    <w:div w:id="1309550747">
      <w:bodyDiv w:val="1"/>
      <w:marLeft w:val="0"/>
      <w:marRight w:val="0"/>
      <w:marTop w:val="0"/>
      <w:marBottom w:val="0"/>
      <w:divBdr>
        <w:top w:val="none" w:sz="0" w:space="0" w:color="auto"/>
        <w:left w:val="none" w:sz="0" w:space="0" w:color="auto"/>
        <w:bottom w:val="none" w:sz="0" w:space="0" w:color="auto"/>
        <w:right w:val="none" w:sz="0" w:space="0" w:color="auto"/>
      </w:divBdr>
    </w:div>
    <w:div w:id="1428499957">
      <w:bodyDiv w:val="1"/>
      <w:marLeft w:val="0"/>
      <w:marRight w:val="0"/>
      <w:marTop w:val="0"/>
      <w:marBottom w:val="0"/>
      <w:divBdr>
        <w:top w:val="none" w:sz="0" w:space="0" w:color="auto"/>
        <w:left w:val="none" w:sz="0" w:space="0" w:color="auto"/>
        <w:bottom w:val="none" w:sz="0" w:space="0" w:color="auto"/>
        <w:right w:val="none" w:sz="0" w:space="0" w:color="auto"/>
      </w:divBdr>
    </w:div>
    <w:div w:id="1474055447">
      <w:bodyDiv w:val="1"/>
      <w:marLeft w:val="0"/>
      <w:marRight w:val="0"/>
      <w:marTop w:val="0"/>
      <w:marBottom w:val="0"/>
      <w:divBdr>
        <w:top w:val="none" w:sz="0" w:space="0" w:color="auto"/>
        <w:left w:val="none" w:sz="0" w:space="0" w:color="auto"/>
        <w:bottom w:val="none" w:sz="0" w:space="0" w:color="auto"/>
        <w:right w:val="none" w:sz="0" w:space="0" w:color="auto"/>
      </w:divBdr>
    </w:div>
    <w:div w:id="1531188702">
      <w:bodyDiv w:val="1"/>
      <w:marLeft w:val="0"/>
      <w:marRight w:val="0"/>
      <w:marTop w:val="0"/>
      <w:marBottom w:val="0"/>
      <w:divBdr>
        <w:top w:val="none" w:sz="0" w:space="0" w:color="auto"/>
        <w:left w:val="none" w:sz="0" w:space="0" w:color="auto"/>
        <w:bottom w:val="none" w:sz="0" w:space="0" w:color="auto"/>
        <w:right w:val="none" w:sz="0" w:space="0" w:color="auto"/>
      </w:divBdr>
    </w:div>
    <w:div w:id="1581787283">
      <w:bodyDiv w:val="1"/>
      <w:marLeft w:val="0"/>
      <w:marRight w:val="0"/>
      <w:marTop w:val="0"/>
      <w:marBottom w:val="0"/>
      <w:divBdr>
        <w:top w:val="none" w:sz="0" w:space="0" w:color="auto"/>
        <w:left w:val="none" w:sz="0" w:space="0" w:color="auto"/>
        <w:bottom w:val="none" w:sz="0" w:space="0" w:color="auto"/>
        <w:right w:val="none" w:sz="0" w:space="0" w:color="auto"/>
      </w:divBdr>
    </w:div>
    <w:div w:id="1716395321">
      <w:bodyDiv w:val="1"/>
      <w:marLeft w:val="0"/>
      <w:marRight w:val="0"/>
      <w:marTop w:val="0"/>
      <w:marBottom w:val="0"/>
      <w:divBdr>
        <w:top w:val="none" w:sz="0" w:space="0" w:color="auto"/>
        <w:left w:val="none" w:sz="0" w:space="0" w:color="auto"/>
        <w:bottom w:val="none" w:sz="0" w:space="0" w:color="auto"/>
        <w:right w:val="none" w:sz="0" w:space="0" w:color="auto"/>
      </w:divBdr>
    </w:div>
    <w:div w:id="2110536927">
      <w:bodyDiv w:val="1"/>
      <w:marLeft w:val="0"/>
      <w:marRight w:val="0"/>
      <w:marTop w:val="0"/>
      <w:marBottom w:val="0"/>
      <w:divBdr>
        <w:top w:val="none" w:sz="0" w:space="0" w:color="auto"/>
        <w:left w:val="none" w:sz="0" w:space="0" w:color="auto"/>
        <w:bottom w:val="none" w:sz="0" w:space="0" w:color="auto"/>
        <w:right w:val="none" w:sz="0" w:space="0" w:color="auto"/>
      </w:divBdr>
    </w:div>
    <w:div w:id="211170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orteidh.or.cr/docs/casos/articulos/seriec_28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6EEA8-9BF6-4AD5-88FC-CC4E167F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2076</Words>
  <Characters>11422</Characters>
  <Application>Microsoft Office Word</Application>
  <DocSecurity>0</DocSecurity>
  <Lines>95</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13472</CharactersWithSpaces>
  <SharedDoc>false</SharedDoc>
  <HLinks>
    <vt:vector size="6" baseType="variant">
      <vt:variant>
        <vt:i4>5767182</vt:i4>
      </vt:variant>
      <vt:variant>
        <vt:i4>0</vt:i4>
      </vt:variant>
      <vt:variant>
        <vt:i4>0</vt:i4>
      </vt:variant>
      <vt:variant>
        <vt:i4>5</vt:i4>
      </vt:variant>
      <vt:variant>
        <vt:lpwstr>http://corteidh.or.cr/docs/casos/articulos/seriec_281_esp.pdf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2016-12-20T15:03:00Z</cp:lastPrinted>
  <dcterms:created xsi:type="dcterms:W3CDTF">2017-06-30T17:36:00Z</dcterms:created>
  <dcterms:modified xsi:type="dcterms:W3CDTF">2017-06-30T17:36:00Z</dcterms:modified>
</cp:coreProperties>
</file>