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0B8" w:rsidRPr="000E179B" w:rsidRDefault="004340B8" w:rsidP="00F6717E">
      <w:pPr>
        <w:spacing w:after="0"/>
        <w:jc w:val="both"/>
        <w:rPr>
          <w:rFonts w:ascii="Verdana" w:hAnsi="Verdana"/>
          <w:b/>
          <w:sz w:val="20"/>
          <w:szCs w:val="20"/>
          <w:lang w:val="en-US"/>
        </w:rPr>
      </w:pPr>
    </w:p>
    <w:p w:rsidR="001F7318" w:rsidRPr="000E179B" w:rsidRDefault="00936C9E" w:rsidP="00F947D2">
      <w:pPr>
        <w:spacing w:after="0"/>
        <w:jc w:val="center"/>
        <w:rPr>
          <w:rFonts w:ascii="Verdana" w:hAnsi="Verdana"/>
          <w:b/>
          <w:sz w:val="20"/>
          <w:szCs w:val="20"/>
          <w:lang w:val="en-US"/>
        </w:rPr>
      </w:pPr>
      <w:r w:rsidRPr="000E179B">
        <w:rPr>
          <w:rFonts w:ascii="Verdana" w:hAnsi="Verdana"/>
          <w:b/>
          <w:sz w:val="20"/>
          <w:szCs w:val="20"/>
          <w:lang w:val="en-US"/>
        </w:rPr>
        <w:t>CONCURRING OPINION O</w:t>
      </w:r>
      <w:r w:rsidR="00F947D2" w:rsidRPr="000E179B">
        <w:rPr>
          <w:rFonts w:ascii="Verdana" w:hAnsi="Verdana"/>
          <w:b/>
          <w:sz w:val="20"/>
          <w:szCs w:val="20"/>
          <w:lang w:val="en-US"/>
        </w:rPr>
        <w:t>F</w:t>
      </w:r>
      <w:r w:rsidRPr="000E179B">
        <w:rPr>
          <w:rFonts w:ascii="Verdana" w:hAnsi="Verdana"/>
          <w:b/>
          <w:sz w:val="20"/>
          <w:szCs w:val="20"/>
          <w:lang w:val="en-US"/>
        </w:rPr>
        <w:t xml:space="preserve"> JUDGE EDUARDO VIO </w:t>
      </w:r>
      <w:r w:rsidR="001F7318" w:rsidRPr="000E179B">
        <w:rPr>
          <w:rFonts w:ascii="Verdana" w:hAnsi="Verdana"/>
          <w:b/>
          <w:sz w:val="20"/>
          <w:szCs w:val="20"/>
          <w:lang w:val="en-US"/>
        </w:rPr>
        <w:t>GROSSI,</w:t>
      </w:r>
    </w:p>
    <w:p w:rsidR="001F7318" w:rsidRPr="000E179B" w:rsidRDefault="00936C9E" w:rsidP="00F947D2">
      <w:pPr>
        <w:spacing w:after="0"/>
        <w:jc w:val="center"/>
        <w:rPr>
          <w:rFonts w:ascii="Verdana" w:hAnsi="Verdana"/>
          <w:b/>
          <w:sz w:val="20"/>
          <w:szCs w:val="20"/>
          <w:lang w:val="en-US"/>
        </w:rPr>
      </w:pPr>
      <w:r w:rsidRPr="000E179B">
        <w:rPr>
          <w:rFonts w:ascii="Verdana" w:hAnsi="Verdana"/>
          <w:b/>
          <w:sz w:val="20"/>
          <w:szCs w:val="20"/>
          <w:lang w:val="en-US"/>
        </w:rPr>
        <w:t xml:space="preserve">ORDER OF THE </w:t>
      </w:r>
      <w:r w:rsidR="003C06D5" w:rsidRPr="000E179B">
        <w:rPr>
          <w:rFonts w:ascii="Verdana" w:hAnsi="Verdana"/>
          <w:b/>
          <w:sz w:val="20"/>
          <w:szCs w:val="20"/>
          <w:lang w:val="en-US"/>
        </w:rPr>
        <w:t>INTER-AMERICAN</w:t>
      </w:r>
      <w:r w:rsidRPr="000E179B">
        <w:rPr>
          <w:rFonts w:ascii="Verdana" w:hAnsi="Verdana"/>
          <w:b/>
          <w:sz w:val="20"/>
          <w:szCs w:val="20"/>
          <w:lang w:val="en-US"/>
        </w:rPr>
        <w:t xml:space="preserve"> COURT OF HUMAN RIGHTS</w:t>
      </w:r>
    </w:p>
    <w:p w:rsidR="001F7318" w:rsidRPr="000E179B" w:rsidRDefault="00936C9E" w:rsidP="00F947D2">
      <w:pPr>
        <w:spacing w:after="0"/>
        <w:jc w:val="center"/>
        <w:rPr>
          <w:rFonts w:ascii="Verdana" w:hAnsi="Verdana"/>
          <w:b/>
          <w:sz w:val="20"/>
          <w:szCs w:val="20"/>
          <w:lang w:val="en-US"/>
        </w:rPr>
      </w:pPr>
      <w:r w:rsidRPr="000E179B">
        <w:rPr>
          <w:rFonts w:ascii="Verdana" w:hAnsi="Verdana"/>
          <w:b/>
          <w:sz w:val="20"/>
          <w:szCs w:val="20"/>
          <w:lang w:val="en-US"/>
        </w:rPr>
        <w:t>OF MARCH</w:t>
      </w:r>
      <w:r w:rsidR="001F7318" w:rsidRPr="000E179B">
        <w:rPr>
          <w:rFonts w:ascii="Verdana" w:hAnsi="Verdana"/>
          <w:b/>
          <w:sz w:val="20"/>
          <w:szCs w:val="20"/>
          <w:lang w:val="en-US"/>
        </w:rPr>
        <w:t xml:space="preserve"> 31</w:t>
      </w:r>
      <w:r w:rsidRPr="000E179B">
        <w:rPr>
          <w:rFonts w:ascii="Verdana" w:hAnsi="Verdana"/>
          <w:b/>
          <w:sz w:val="20"/>
          <w:szCs w:val="20"/>
          <w:lang w:val="en-US"/>
        </w:rPr>
        <w:t>,</w:t>
      </w:r>
      <w:r w:rsidR="001F7318" w:rsidRPr="000E179B">
        <w:rPr>
          <w:rFonts w:ascii="Verdana" w:hAnsi="Verdana"/>
          <w:b/>
          <w:sz w:val="20"/>
          <w:szCs w:val="20"/>
          <w:lang w:val="en-US"/>
        </w:rPr>
        <w:t xml:space="preserve"> 2014,</w:t>
      </w:r>
    </w:p>
    <w:p w:rsidR="001F7318" w:rsidRPr="000E179B" w:rsidRDefault="00936C9E" w:rsidP="00F947D2">
      <w:pPr>
        <w:spacing w:after="0"/>
        <w:jc w:val="center"/>
        <w:rPr>
          <w:rFonts w:ascii="Verdana" w:hAnsi="Verdana"/>
          <w:b/>
          <w:sz w:val="20"/>
          <w:szCs w:val="20"/>
          <w:lang w:val="en-US"/>
        </w:rPr>
      </w:pPr>
      <w:r w:rsidRPr="000E179B">
        <w:rPr>
          <w:rFonts w:ascii="Verdana" w:hAnsi="Verdana"/>
          <w:b/>
          <w:sz w:val="20"/>
          <w:szCs w:val="20"/>
          <w:lang w:val="en-US"/>
        </w:rPr>
        <w:t>REQUEST FOR PROVISIONAL MEASURES</w:t>
      </w:r>
    </w:p>
    <w:p w:rsidR="000E179B" w:rsidRDefault="001F7318" w:rsidP="00F947D2">
      <w:pPr>
        <w:spacing w:after="0"/>
        <w:jc w:val="center"/>
        <w:rPr>
          <w:rFonts w:ascii="Verdana" w:hAnsi="Verdana"/>
          <w:b/>
          <w:sz w:val="20"/>
          <w:szCs w:val="20"/>
          <w:lang w:val="en-US"/>
        </w:rPr>
      </w:pPr>
      <w:r w:rsidRPr="000E179B">
        <w:rPr>
          <w:rFonts w:ascii="Verdana" w:hAnsi="Verdana"/>
          <w:b/>
          <w:sz w:val="20"/>
          <w:szCs w:val="20"/>
          <w:lang w:val="es-CR"/>
        </w:rPr>
        <w:t>CAS</w:t>
      </w:r>
      <w:r w:rsidR="00936C9E" w:rsidRPr="000E179B">
        <w:rPr>
          <w:rFonts w:ascii="Verdana" w:hAnsi="Verdana"/>
          <w:b/>
          <w:sz w:val="20"/>
          <w:szCs w:val="20"/>
          <w:lang w:val="es-CR"/>
        </w:rPr>
        <w:t xml:space="preserve">E </w:t>
      </w:r>
      <w:r w:rsidRPr="000E179B">
        <w:rPr>
          <w:rFonts w:ascii="Verdana" w:hAnsi="Verdana"/>
          <w:b/>
          <w:sz w:val="20"/>
          <w:szCs w:val="20"/>
          <w:lang w:val="es-CR"/>
        </w:rPr>
        <w:t>O</w:t>
      </w:r>
      <w:r w:rsidR="00936C9E" w:rsidRPr="000E179B">
        <w:rPr>
          <w:rFonts w:ascii="Verdana" w:hAnsi="Verdana"/>
          <w:b/>
          <w:sz w:val="20"/>
          <w:szCs w:val="20"/>
          <w:lang w:val="es-CR"/>
        </w:rPr>
        <w:t>F</w:t>
      </w:r>
      <w:r w:rsidRPr="000E179B">
        <w:rPr>
          <w:rFonts w:ascii="Verdana" w:hAnsi="Verdana"/>
          <w:b/>
          <w:sz w:val="20"/>
          <w:szCs w:val="20"/>
          <w:lang w:val="es-CR"/>
        </w:rPr>
        <w:t xml:space="preserve"> ARTAVIA MURILLO </w:t>
      </w:r>
      <w:r w:rsidR="00936C9E" w:rsidRPr="000E179B">
        <w:rPr>
          <w:rFonts w:ascii="Verdana" w:hAnsi="Verdana"/>
          <w:b/>
          <w:i/>
          <w:sz w:val="20"/>
          <w:szCs w:val="20"/>
          <w:lang w:val="es-CR"/>
        </w:rPr>
        <w:t>ET AL.</w:t>
      </w:r>
      <w:r w:rsidRPr="000E179B">
        <w:rPr>
          <w:rFonts w:ascii="Verdana" w:hAnsi="Verdana"/>
          <w:b/>
          <w:sz w:val="20"/>
          <w:szCs w:val="20"/>
          <w:lang w:val="es-CR"/>
        </w:rPr>
        <w:t xml:space="preserve"> </w:t>
      </w:r>
      <w:r w:rsidRPr="000E179B">
        <w:rPr>
          <w:rFonts w:ascii="Verdana" w:hAnsi="Verdana"/>
          <w:b/>
          <w:sz w:val="20"/>
          <w:szCs w:val="20"/>
          <w:lang w:val="en-US"/>
        </w:rPr>
        <w:t>(“IN VITRO</w:t>
      </w:r>
      <w:r w:rsidR="00936C9E" w:rsidRPr="000E179B">
        <w:rPr>
          <w:rFonts w:ascii="Verdana" w:hAnsi="Verdana"/>
          <w:b/>
          <w:sz w:val="20"/>
          <w:szCs w:val="20"/>
          <w:lang w:val="en-US"/>
        </w:rPr>
        <w:t xml:space="preserve"> FERTILIZATION</w:t>
      </w:r>
      <w:r w:rsidRPr="000E179B">
        <w:rPr>
          <w:rFonts w:ascii="Verdana" w:hAnsi="Verdana"/>
          <w:b/>
          <w:sz w:val="20"/>
          <w:szCs w:val="20"/>
          <w:lang w:val="en-US"/>
        </w:rPr>
        <w:t xml:space="preserve">”) </w:t>
      </w:r>
    </w:p>
    <w:p w:rsidR="001F7318" w:rsidRPr="000E179B" w:rsidRDefault="000E179B" w:rsidP="00F947D2">
      <w:pPr>
        <w:spacing w:after="0"/>
        <w:jc w:val="center"/>
        <w:rPr>
          <w:rFonts w:ascii="Verdana" w:hAnsi="Verdana"/>
          <w:b/>
          <w:sz w:val="20"/>
          <w:szCs w:val="20"/>
          <w:lang w:val="en-US"/>
        </w:rPr>
      </w:pPr>
      <w:r w:rsidRPr="000E179B">
        <w:rPr>
          <w:rFonts w:ascii="Verdana" w:hAnsi="Verdana"/>
          <w:b/>
          <w:i/>
          <w:sz w:val="20"/>
          <w:szCs w:val="20"/>
          <w:lang w:val="en-US"/>
        </w:rPr>
        <w:t>v</w:t>
      </w:r>
      <w:r w:rsidR="00E16EC5">
        <w:rPr>
          <w:rFonts w:ascii="Verdana" w:hAnsi="Verdana"/>
          <w:b/>
          <w:i/>
          <w:sz w:val="20"/>
          <w:szCs w:val="20"/>
          <w:lang w:val="en-US"/>
        </w:rPr>
        <w:t>.</w:t>
      </w:r>
      <w:r w:rsidR="00E16EC5">
        <w:rPr>
          <w:rFonts w:ascii="Verdana" w:hAnsi="Verdana"/>
          <w:b/>
          <w:sz w:val="20"/>
          <w:szCs w:val="20"/>
          <w:lang w:val="en-US"/>
        </w:rPr>
        <w:t xml:space="preserve"> COSTA RICA</w:t>
      </w:r>
    </w:p>
    <w:p w:rsidR="001F7318" w:rsidRPr="000E179B" w:rsidRDefault="001F7318" w:rsidP="00F6717E">
      <w:pPr>
        <w:spacing w:after="0"/>
        <w:jc w:val="both"/>
        <w:rPr>
          <w:rFonts w:ascii="Verdana" w:hAnsi="Verdana"/>
          <w:b/>
          <w:sz w:val="20"/>
          <w:szCs w:val="20"/>
          <w:lang w:val="en-US"/>
        </w:rPr>
      </w:pPr>
    </w:p>
    <w:p w:rsidR="001F7318" w:rsidRPr="000E179B" w:rsidRDefault="00A71508" w:rsidP="00F6717E">
      <w:pPr>
        <w:spacing w:after="0"/>
        <w:jc w:val="both"/>
        <w:rPr>
          <w:rFonts w:ascii="Verdana" w:hAnsi="Verdana"/>
          <w:sz w:val="20"/>
          <w:szCs w:val="20"/>
          <w:lang w:val="en-US"/>
        </w:rPr>
      </w:pPr>
      <w:r w:rsidRPr="000E179B">
        <w:rPr>
          <w:rFonts w:ascii="Verdana" w:hAnsi="Verdana"/>
          <w:sz w:val="20"/>
          <w:szCs w:val="20"/>
          <w:lang w:val="en-US"/>
        </w:rPr>
        <w:t>This concurring opinion to the Order indicated in the abovementioned title is issued</w:t>
      </w:r>
      <w:r w:rsidR="001F7318" w:rsidRPr="000E179B">
        <w:rPr>
          <w:rFonts w:ascii="Verdana" w:hAnsi="Verdana"/>
          <w:sz w:val="20"/>
          <w:szCs w:val="20"/>
          <w:lang w:val="en-US"/>
        </w:rPr>
        <w:t xml:space="preserve"> </w:t>
      </w:r>
      <w:r w:rsidRPr="000E179B">
        <w:rPr>
          <w:rFonts w:ascii="Verdana" w:hAnsi="Verdana"/>
          <w:sz w:val="20"/>
          <w:szCs w:val="20"/>
          <w:lang w:val="en-US"/>
        </w:rPr>
        <w:t>based on the fact that although the decision to dismiss the requested provisional measures is one I share, it is not for the reasons noted therein, which is “</w:t>
      </w:r>
      <w:r w:rsidRPr="000E179B">
        <w:rPr>
          <w:rFonts w:ascii="Verdana" w:hAnsi="Verdana"/>
          <w:i/>
          <w:sz w:val="20"/>
          <w:szCs w:val="20"/>
          <w:lang w:val="en-US"/>
        </w:rPr>
        <w:t>that the matter as filed before the Court is not considerable as a provisional measure pursuant to Article 63(2) of the American Convention on Human Rights, but rather must be assessed within the framework of the monitoring of compliance stage of the Judgment rendered on November 28, 2012 in this case,</w:t>
      </w:r>
      <w:r w:rsidR="001F7318" w:rsidRPr="000E179B">
        <w:rPr>
          <w:rFonts w:ascii="Verdana" w:hAnsi="Verdana"/>
          <w:i/>
          <w:sz w:val="20"/>
          <w:szCs w:val="20"/>
          <w:lang w:val="en-US"/>
        </w:rPr>
        <w:t>”</w:t>
      </w:r>
      <w:r w:rsidRPr="000E179B">
        <w:rPr>
          <w:rFonts w:ascii="Verdana" w:hAnsi="Verdana"/>
          <w:sz w:val="20"/>
          <w:szCs w:val="20"/>
          <w:lang w:val="en-US"/>
        </w:rPr>
        <w:t xml:space="preserve"> but rather because</w:t>
      </w:r>
      <w:r w:rsidR="00CE394B" w:rsidRPr="000E179B">
        <w:rPr>
          <w:rFonts w:ascii="Verdana" w:hAnsi="Verdana"/>
          <w:sz w:val="20"/>
          <w:szCs w:val="20"/>
          <w:lang w:val="en-US"/>
        </w:rPr>
        <w:t>, it is my opinion that in this matter and given that provided in the American Convention on Human Rights, hereinafter the Convention, has</w:t>
      </w:r>
      <w:r w:rsidR="001F7318" w:rsidRPr="000E179B">
        <w:rPr>
          <w:rFonts w:ascii="Verdana" w:hAnsi="Verdana"/>
          <w:sz w:val="20"/>
          <w:szCs w:val="20"/>
          <w:lang w:val="en-US"/>
        </w:rPr>
        <w:t xml:space="preserve"> </w:t>
      </w:r>
      <w:r w:rsidR="00CE394B" w:rsidRPr="000E179B">
        <w:rPr>
          <w:rFonts w:ascii="Verdana" w:hAnsi="Verdana"/>
          <w:sz w:val="20"/>
          <w:szCs w:val="20"/>
          <w:lang w:val="en-US"/>
        </w:rPr>
        <w:t>precluded the power</w:t>
      </w:r>
      <w:r w:rsidR="001F7318" w:rsidRPr="000E179B">
        <w:rPr>
          <w:rFonts w:ascii="Verdana" w:hAnsi="Verdana"/>
          <w:sz w:val="20"/>
          <w:szCs w:val="20"/>
          <w:lang w:val="en-US"/>
        </w:rPr>
        <w:t xml:space="preserve"> </w:t>
      </w:r>
      <w:r w:rsidR="00CE394B" w:rsidRPr="000E179B">
        <w:rPr>
          <w:rFonts w:ascii="Verdana" w:hAnsi="Verdana"/>
          <w:sz w:val="20"/>
          <w:szCs w:val="20"/>
          <w:lang w:val="en-US"/>
        </w:rPr>
        <w:t xml:space="preserve">of the </w:t>
      </w:r>
      <w:r w:rsidR="003C06D5" w:rsidRPr="000E179B">
        <w:rPr>
          <w:rFonts w:ascii="Verdana" w:hAnsi="Verdana"/>
          <w:sz w:val="20"/>
          <w:szCs w:val="20"/>
          <w:lang w:val="en-US"/>
        </w:rPr>
        <w:t>Inter-American</w:t>
      </w:r>
      <w:r w:rsidR="00CE394B" w:rsidRPr="000E179B">
        <w:rPr>
          <w:rFonts w:ascii="Verdana" w:hAnsi="Verdana"/>
          <w:sz w:val="20"/>
          <w:szCs w:val="20"/>
          <w:lang w:val="en-US"/>
        </w:rPr>
        <w:t xml:space="preserve"> Court of Human Rights, hereinafter the Court, to render provisional measures, that is, it was not authorized to </w:t>
      </w:r>
      <w:r w:rsidR="006F02C4" w:rsidRPr="000E179B">
        <w:rPr>
          <w:rFonts w:ascii="Verdana" w:hAnsi="Verdana"/>
          <w:sz w:val="20"/>
          <w:szCs w:val="20"/>
          <w:lang w:val="en-US"/>
        </w:rPr>
        <w:t>render</w:t>
      </w:r>
      <w:r w:rsidR="00CE394B" w:rsidRPr="000E179B">
        <w:rPr>
          <w:rFonts w:ascii="Verdana" w:hAnsi="Verdana"/>
          <w:sz w:val="20"/>
          <w:szCs w:val="20"/>
          <w:lang w:val="en-US"/>
        </w:rPr>
        <w:t xml:space="preserve"> such an order</w:t>
      </w:r>
      <w:r w:rsidR="001F7318" w:rsidRPr="000E179B">
        <w:rPr>
          <w:rFonts w:ascii="Verdana" w:hAnsi="Verdana"/>
          <w:sz w:val="20"/>
          <w:szCs w:val="20"/>
          <w:lang w:val="en-US"/>
        </w:rPr>
        <w:t>.</w:t>
      </w:r>
    </w:p>
    <w:p w:rsidR="001F7318" w:rsidRPr="000E179B" w:rsidRDefault="001F7318" w:rsidP="00F6717E">
      <w:pPr>
        <w:spacing w:after="0"/>
        <w:jc w:val="both"/>
        <w:rPr>
          <w:rFonts w:ascii="Verdana" w:hAnsi="Verdana"/>
          <w:sz w:val="20"/>
          <w:szCs w:val="20"/>
          <w:lang w:val="en-US"/>
        </w:rPr>
      </w:pPr>
    </w:p>
    <w:p w:rsidR="001F7318" w:rsidRPr="000E179B" w:rsidRDefault="00C727FD" w:rsidP="00F6717E">
      <w:pPr>
        <w:spacing w:after="0"/>
        <w:jc w:val="both"/>
        <w:rPr>
          <w:rFonts w:ascii="Verdana" w:hAnsi="Verdana"/>
          <w:sz w:val="20"/>
          <w:szCs w:val="20"/>
          <w:lang w:val="en-US"/>
        </w:rPr>
      </w:pPr>
      <w:r w:rsidRPr="000E179B">
        <w:rPr>
          <w:rFonts w:ascii="Verdana" w:hAnsi="Verdana"/>
          <w:sz w:val="20"/>
          <w:szCs w:val="20"/>
          <w:lang w:val="en-US"/>
        </w:rPr>
        <w:t xml:space="preserve">The </w:t>
      </w:r>
      <w:proofErr w:type="gramStart"/>
      <w:r w:rsidRPr="000E179B">
        <w:rPr>
          <w:rFonts w:ascii="Verdana" w:hAnsi="Verdana"/>
          <w:sz w:val="20"/>
          <w:szCs w:val="20"/>
          <w:lang w:val="en-US"/>
        </w:rPr>
        <w:t>reasons for the stance taken in this opinion has</w:t>
      </w:r>
      <w:proofErr w:type="gramEnd"/>
      <w:r w:rsidRPr="000E179B">
        <w:rPr>
          <w:rFonts w:ascii="Verdana" w:hAnsi="Verdana"/>
          <w:sz w:val="20"/>
          <w:szCs w:val="20"/>
          <w:lang w:val="en-US"/>
        </w:rPr>
        <w:t xml:space="preserve"> been presented in other opinions issued by those mentioned </w:t>
      </w:r>
      <w:r w:rsidR="006F02C4" w:rsidRPr="000E179B">
        <w:rPr>
          <w:rFonts w:ascii="Verdana" w:hAnsi="Verdana"/>
          <w:sz w:val="20"/>
          <w:szCs w:val="20"/>
          <w:lang w:val="en-US"/>
        </w:rPr>
        <w:t>in the footnotes</w:t>
      </w:r>
      <w:r w:rsidR="001F7318" w:rsidRPr="000E179B">
        <w:rPr>
          <w:rStyle w:val="Refdenotaalpie"/>
          <w:rFonts w:ascii="Verdana" w:hAnsi="Verdana"/>
          <w:sz w:val="20"/>
          <w:szCs w:val="20"/>
          <w:lang w:val="en-US"/>
        </w:rPr>
        <w:footnoteReference w:id="1"/>
      </w:r>
      <w:r w:rsidR="001F7318" w:rsidRPr="000E179B">
        <w:rPr>
          <w:rFonts w:ascii="Verdana" w:hAnsi="Verdana"/>
          <w:sz w:val="20"/>
          <w:szCs w:val="20"/>
          <w:lang w:val="en-US"/>
        </w:rPr>
        <w:t xml:space="preserve"> </w:t>
      </w:r>
      <w:r w:rsidRPr="000E179B">
        <w:rPr>
          <w:rFonts w:ascii="Verdana" w:hAnsi="Verdana"/>
          <w:sz w:val="20"/>
          <w:szCs w:val="20"/>
          <w:lang w:val="en-US"/>
        </w:rPr>
        <w:t xml:space="preserve">and they are, among others, the following. </w:t>
      </w:r>
    </w:p>
    <w:p w:rsidR="001F7318" w:rsidRPr="000E179B" w:rsidRDefault="001F7318" w:rsidP="00F6717E">
      <w:pPr>
        <w:spacing w:after="0"/>
        <w:jc w:val="both"/>
        <w:rPr>
          <w:rFonts w:ascii="Verdana" w:hAnsi="Verdana"/>
          <w:sz w:val="20"/>
          <w:szCs w:val="20"/>
          <w:lang w:val="en-US"/>
        </w:rPr>
      </w:pPr>
    </w:p>
    <w:p w:rsidR="001F7318" w:rsidRPr="000E179B" w:rsidRDefault="004F468A" w:rsidP="00F6717E">
      <w:pPr>
        <w:spacing w:after="0"/>
        <w:jc w:val="both"/>
        <w:rPr>
          <w:rFonts w:ascii="Verdana" w:hAnsi="Verdana"/>
          <w:sz w:val="20"/>
          <w:szCs w:val="20"/>
          <w:lang w:val="en-US"/>
        </w:rPr>
      </w:pPr>
      <w:r w:rsidRPr="000E179B">
        <w:rPr>
          <w:rFonts w:ascii="Verdana" w:hAnsi="Verdana"/>
          <w:sz w:val="20"/>
          <w:szCs w:val="20"/>
          <w:lang w:val="en-US"/>
        </w:rPr>
        <w:t>For one thing</w:t>
      </w:r>
      <w:r w:rsidR="001F7318" w:rsidRPr="000E179B">
        <w:rPr>
          <w:rFonts w:ascii="Verdana" w:hAnsi="Verdana"/>
          <w:sz w:val="20"/>
          <w:szCs w:val="20"/>
          <w:lang w:val="en-US"/>
        </w:rPr>
        <w:t>,</w:t>
      </w:r>
      <w:r w:rsidRPr="000E179B">
        <w:rPr>
          <w:rFonts w:ascii="Verdana" w:hAnsi="Verdana"/>
          <w:sz w:val="20"/>
          <w:szCs w:val="20"/>
          <w:lang w:val="en-US"/>
        </w:rPr>
        <w:t xml:space="preserve"> in that provisional measures were created as part of the process by which the Court hears a case, that is, </w:t>
      </w:r>
      <w:r w:rsidR="005C108F" w:rsidRPr="000E179B">
        <w:rPr>
          <w:rFonts w:ascii="Verdana" w:hAnsi="Verdana"/>
          <w:sz w:val="20"/>
          <w:szCs w:val="20"/>
          <w:lang w:val="en-US"/>
        </w:rPr>
        <w:t>when</w:t>
      </w:r>
      <w:r w:rsidRPr="000E179B">
        <w:rPr>
          <w:rFonts w:ascii="Verdana" w:hAnsi="Verdana"/>
          <w:sz w:val="20"/>
          <w:szCs w:val="20"/>
          <w:lang w:val="en-US"/>
        </w:rPr>
        <w:t xml:space="preserve"> the Court hears the case in </w:t>
      </w:r>
      <w:r w:rsidR="00DF6F42" w:rsidRPr="000E179B">
        <w:rPr>
          <w:rFonts w:ascii="Verdana" w:hAnsi="Verdana"/>
          <w:sz w:val="20"/>
          <w:szCs w:val="20"/>
          <w:lang w:val="en-US"/>
        </w:rPr>
        <w:t>exercise</w:t>
      </w:r>
      <w:r w:rsidRPr="000E179B">
        <w:rPr>
          <w:rFonts w:ascii="Verdana" w:hAnsi="Verdana"/>
          <w:sz w:val="20"/>
          <w:szCs w:val="20"/>
          <w:lang w:val="en-US"/>
        </w:rPr>
        <w:t xml:space="preserve"> of its </w:t>
      </w:r>
      <w:proofErr w:type="gramStart"/>
      <w:r w:rsidR="00DF6F42" w:rsidRPr="000E179B">
        <w:rPr>
          <w:rFonts w:ascii="Verdana" w:hAnsi="Verdana"/>
          <w:sz w:val="20"/>
          <w:szCs w:val="20"/>
          <w:lang w:val="en-US"/>
        </w:rPr>
        <w:t>contentious</w:t>
      </w:r>
      <w:proofErr w:type="gramEnd"/>
      <w:r w:rsidRPr="000E179B">
        <w:rPr>
          <w:rFonts w:ascii="Verdana" w:hAnsi="Verdana"/>
          <w:sz w:val="20"/>
          <w:szCs w:val="20"/>
          <w:lang w:val="en-US"/>
        </w:rPr>
        <w:t xml:space="preserve"> jurisdiction.</w:t>
      </w:r>
      <w:r w:rsidR="001F7318" w:rsidRPr="000E179B">
        <w:rPr>
          <w:rStyle w:val="Refdenotaalpie"/>
          <w:rFonts w:ascii="Verdana" w:hAnsi="Verdana"/>
          <w:sz w:val="20"/>
          <w:szCs w:val="20"/>
          <w:lang w:val="en-US"/>
        </w:rPr>
        <w:footnoteReference w:id="2"/>
      </w:r>
      <w:r w:rsidR="001F7318" w:rsidRPr="000E179B">
        <w:rPr>
          <w:rFonts w:ascii="Verdana" w:hAnsi="Verdana"/>
          <w:sz w:val="20"/>
          <w:szCs w:val="20"/>
          <w:lang w:val="en-US"/>
        </w:rPr>
        <w:t xml:space="preserve"> </w:t>
      </w:r>
      <w:r w:rsidR="005C108F" w:rsidRPr="000E179B">
        <w:rPr>
          <w:rFonts w:ascii="Verdana" w:hAnsi="Verdana"/>
          <w:sz w:val="20"/>
          <w:szCs w:val="20"/>
          <w:lang w:val="en-US"/>
        </w:rPr>
        <w:t>Article 63(</w:t>
      </w:r>
      <w:r w:rsidR="001F7318" w:rsidRPr="000E179B">
        <w:rPr>
          <w:rFonts w:ascii="Verdana" w:hAnsi="Verdana"/>
          <w:sz w:val="20"/>
          <w:szCs w:val="20"/>
          <w:lang w:val="en-US"/>
        </w:rPr>
        <w:t>2</w:t>
      </w:r>
      <w:r w:rsidR="005C108F" w:rsidRPr="000E179B">
        <w:rPr>
          <w:rFonts w:ascii="Verdana" w:hAnsi="Verdana"/>
          <w:sz w:val="20"/>
          <w:szCs w:val="20"/>
          <w:lang w:val="en-US"/>
        </w:rPr>
        <w:t>) of the Convention</w:t>
      </w:r>
      <w:r w:rsidR="001F7318" w:rsidRPr="000E179B">
        <w:rPr>
          <w:rStyle w:val="Refdenotaalpie"/>
          <w:rFonts w:ascii="Verdana" w:hAnsi="Verdana"/>
          <w:sz w:val="20"/>
          <w:szCs w:val="20"/>
          <w:lang w:val="en-US"/>
        </w:rPr>
        <w:footnoteReference w:id="3"/>
      </w:r>
      <w:r w:rsidR="001F7318" w:rsidRPr="000E179B">
        <w:rPr>
          <w:rFonts w:ascii="Verdana" w:hAnsi="Verdana"/>
          <w:sz w:val="20"/>
          <w:szCs w:val="20"/>
          <w:lang w:val="en-US"/>
        </w:rPr>
        <w:t>,</w:t>
      </w:r>
      <w:r w:rsidR="005C108F" w:rsidRPr="000E179B">
        <w:rPr>
          <w:rFonts w:ascii="Verdana" w:hAnsi="Verdana"/>
          <w:sz w:val="20"/>
          <w:szCs w:val="20"/>
          <w:lang w:val="en-US"/>
        </w:rPr>
        <w:t xml:space="preserve"> the norm which established provisional measures, distinguishes between those measures which the Court can decree “</w:t>
      </w:r>
      <w:r w:rsidR="00CC24A3" w:rsidRPr="000E179B">
        <w:rPr>
          <w:rFonts w:ascii="Verdana" w:hAnsi="Verdana"/>
          <w:i/>
          <w:sz w:val="20"/>
          <w:szCs w:val="20"/>
          <w:lang w:val="en-US"/>
        </w:rPr>
        <w:t>in the matters it has under consideration</w:t>
      </w:r>
      <w:r w:rsidR="00CC24A3" w:rsidRPr="000E179B">
        <w:rPr>
          <w:rFonts w:ascii="Verdana" w:hAnsi="Verdana"/>
          <w:sz w:val="20"/>
          <w:szCs w:val="20"/>
          <w:lang w:val="en-US"/>
        </w:rPr>
        <w:t>” and in those</w:t>
      </w:r>
      <w:r w:rsidR="00343AAE" w:rsidRPr="000E179B">
        <w:rPr>
          <w:rFonts w:ascii="Verdana" w:hAnsi="Verdana"/>
          <w:sz w:val="20"/>
          <w:szCs w:val="20"/>
          <w:lang w:val="en-US"/>
        </w:rPr>
        <w:t xml:space="preserve"> in which it can decree “</w:t>
      </w:r>
      <w:r w:rsidR="00343AAE" w:rsidRPr="000E179B">
        <w:rPr>
          <w:rFonts w:ascii="Verdana" w:hAnsi="Verdana"/>
          <w:i/>
          <w:sz w:val="20"/>
          <w:szCs w:val="20"/>
          <w:lang w:val="en-US"/>
        </w:rPr>
        <w:t>in matters which have not been submitted to the Court</w:t>
      </w:r>
      <w:r w:rsidR="00343AAE" w:rsidRPr="000E179B">
        <w:rPr>
          <w:rFonts w:ascii="Verdana" w:hAnsi="Verdana"/>
          <w:sz w:val="20"/>
          <w:szCs w:val="20"/>
          <w:lang w:val="en-US"/>
        </w:rPr>
        <w:t>.”</w:t>
      </w:r>
      <w:r w:rsidR="005C108F" w:rsidRPr="000E179B">
        <w:rPr>
          <w:rFonts w:ascii="Verdana" w:hAnsi="Verdana"/>
          <w:sz w:val="20"/>
          <w:szCs w:val="20"/>
          <w:lang w:val="en-US"/>
        </w:rPr>
        <w:t xml:space="preserve"> </w:t>
      </w:r>
      <w:r w:rsidR="000F3A7E" w:rsidRPr="000E179B">
        <w:rPr>
          <w:rFonts w:ascii="Verdana" w:hAnsi="Verdana"/>
          <w:sz w:val="20"/>
          <w:szCs w:val="20"/>
          <w:lang w:val="en-US"/>
        </w:rPr>
        <w:t xml:space="preserve">In fact, in the Rules of Procedure of the Court, adopted by the Court, that distinction is not only made, rather it provides that, regarding the matters under its consideration, provisional measures </w:t>
      </w:r>
      <w:r w:rsidR="000F3A7E" w:rsidRPr="000E179B">
        <w:rPr>
          <w:rFonts w:ascii="Verdana" w:hAnsi="Verdana"/>
          <w:sz w:val="20"/>
          <w:szCs w:val="20"/>
          <w:lang w:val="en-US"/>
        </w:rPr>
        <w:lastRenderedPageBreak/>
        <w:t>can be adopted “</w:t>
      </w:r>
      <w:r w:rsidR="000F3A7E" w:rsidRPr="000E179B">
        <w:rPr>
          <w:rFonts w:ascii="Verdana" w:hAnsi="Verdana"/>
          <w:i/>
          <w:sz w:val="20"/>
          <w:szCs w:val="20"/>
          <w:lang w:val="en-US"/>
        </w:rPr>
        <w:t>in any stage of the proceeding,”</w:t>
      </w:r>
      <w:r w:rsidR="001F7318" w:rsidRPr="000E179B">
        <w:rPr>
          <w:rStyle w:val="Refdenotaalpie"/>
          <w:rFonts w:ascii="Verdana" w:hAnsi="Verdana"/>
          <w:sz w:val="20"/>
          <w:szCs w:val="20"/>
          <w:lang w:val="en-US"/>
        </w:rPr>
        <w:footnoteReference w:id="4"/>
      </w:r>
      <w:r w:rsidR="000F3A7E" w:rsidRPr="000E179B">
        <w:rPr>
          <w:rFonts w:ascii="Verdana" w:hAnsi="Verdana"/>
          <w:sz w:val="20"/>
          <w:szCs w:val="20"/>
          <w:lang w:val="en-US"/>
        </w:rPr>
        <w:t xml:space="preserve"> which, without a doubt and as indicated below, ends in a final judgment.</w:t>
      </w:r>
    </w:p>
    <w:p w:rsidR="001F7318" w:rsidRPr="000E179B" w:rsidRDefault="001F7318" w:rsidP="00F6717E">
      <w:pPr>
        <w:spacing w:after="0"/>
        <w:jc w:val="both"/>
        <w:rPr>
          <w:rFonts w:ascii="Verdana" w:hAnsi="Verdana"/>
          <w:sz w:val="20"/>
          <w:szCs w:val="20"/>
          <w:lang w:val="en-US"/>
        </w:rPr>
      </w:pPr>
      <w:r w:rsidRPr="000E179B">
        <w:rPr>
          <w:rFonts w:ascii="Verdana" w:hAnsi="Verdana"/>
          <w:sz w:val="20"/>
          <w:szCs w:val="20"/>
          <w:lang w:val="en-US"/>
        </w:rPr>
        <w:t xml:space="preserve"> </w:t>
      </w:r>
    </w:p>
    <w:p w:rsidR="001F7318" w:rsidRPr="000E179B" w:rsidRDefault="00AF7D55" w:rsidP="00F6717E">
      <w:pPr>
        <w:spacing w:after="0"/>
        <w:jc w:val="both"/>
        <w:rPr>
          <w:rFonts w:ascii="Verdana" w:hAnsi="Verdana"/>
          <w:sz w:val="20"/>
          <w:szCs w:val="20"/>
          <w:lang w:val="en-US"/>
        </w:rPr>
      </w:pPr>
      <w:r w:rsidRPr="000E179B">
        <w:rPr>
          <w:rFonts w:ascii="Verdana" w:hAnsi="Verdana"/>
          <w:sz w:val="20"/>
          <w:szCs w:val="20"/>
          <w:lang w:val="en-US"/>
        </w:rPr>
        <w:t>It is clear that this case does not involve a matter</w:t>
      </w:r>
      <w:r w:rsidR="001F7318" w:rsidRPr="000E179B">
        <w:rPr>
          <w:rStyle w:val="Refdenotaalpie"/>
          <w:rFonts w:ascii="Verdana" w:hAnsi="Verdana"/>
          <w:sz w:val="20"/>
          <w:szCs w:val="20"/>
          <w:lang w:val="en-US"/>
        </w:rPr>
        <w:footnoteReference w:id="5"/>
      </w:r>
      <w:r w:rsidR="001F7318" w:rsidRPr="000E179B">
        <w:rPr>
          <w:rFonts w:ascii="Verdana" w:hAnsi="Verdana"/>
          <w:sz w:val="20"/>
          <w:szCs w:val="20"/>
          <w:lang w:val="en-US"/>
        </w:rPr>
        <w:t xml:space="preserve"> </w:t>
      </w:r>
      <w:r w:rsidRPr="000E179B">
        <w:rPr>
          <w:rFonts w:ascii="Verdana" w:hAnsi="Verdana"/>
          <w:sz w:val="20"/>
          <w:szCs w:val="20"/>
          <w:lang w:val="en-US"/>
        </w:rPr>
        <w:t xml:space="preserve">that has not yet been filed before the Court. </w:t>
      </w:r>
      <w:r w:rsidR="002A5DAC" w:rsidRPr="000E179B">
        <w:rPr>
          <w:rFonts w:ascii="Verdana" w:hAnsi="Verdana"/>
          <w:sz w:val="20"/>
          <w:szCs w:val="20"/>
          <w:lang w:val="en-US"/>
        </w:rPr>
        <w:t xml:space="preserve">Moreover, under such a hypothesis, for the Court to decree provisional measures, it would be necessary for the </w:t>
      </w:r>
      <w:r w:rsidR="003C06D5" w:rsidRPr="000E179B">
        <w:rPr>
          <w:rFonts w:ascii="Verdana" w:hAnsi="Verdana"/>
          <w:sz w:val="20"/>
          <w:szCs w:val="20"/>
          <w:lang w:val="en-US"/>
        </w:rPr>
        <w:t>Inter-American</w:t>
      </w:r>
      <w:r w:rsidR="002A5DAC" w:rsidRPr="000E179B">
        <w:rPr>
          <w:rFonts w:ascii="Verdana" w:hAnsi="Verdana"/>
          <w:sz w:val="20"/>
          <w:szCs w:val="20"/>
          <w:lang w:val="en-US"/>
        </w:rPr>
        <w:t xml:space="preserve"> Commission on Human Rights, hereinafter the Commission, to request the </w:t>
      </w:r>
      <w:proofErr w:type="gramStart"/>
      <w:r w:rsidR="002A5DAC" w:rsidRPr="000E179B">
        <w:rPr>
          <w:rFonts w:ascii="Verdana" w:hAnsi="Verdana"/>
          <w:sz w:val="20"/>
          <w:szCs w:val="20"/>
          <w:lang w:val="en-US"/>
        </w:rPr>
        <w:t>measures,</w:t>
      </w:r>
      <w:proofErr w:type="gramEnd"/>
      <w:r w:rsidR="002A5DAC" w:rsidRPr="000E179B">
        <w:rPr>
          <w:rFonts w:ascii="Verdana" w:hAnsi="Verdana"/>
          <w:sz w:val="20"/>
          <w:szCs w:val="20"/>
          <w:lang w:val="en-US"/>
        </w:rPr>
        <w:t xml:space="preserve"> and such a request has not been made. To the contrary, it was Mr. </w:t>
      </w:r>
      <w:r w:rsidR="001F7318" w:rsidRPr="000E179B">
        <w:rPr>
          <w:rFonts w:ascii="Verdana" w:hAnsi="Verdana"/>
          <w:sz w:val="20"/>
          <w:szCs w:val="20"/>
          <w:lang w:val="en-US"/>
        </w:rPr>
        <w:t xml:space="preserve">Huberth May Cantillano, </w:t>
      </w:r>
      <w:r w:rsidR="002A5DAC" w:rsidRPr="000E179B">
        <w:rPr>
          <w:rFonts w:ascii="Verdana" w:hAnsi="Verdana"/>
          <w:sz w:val="20"/>
          <w:szCs w:val="20"/>
          <w:lang w:val="en-US"/>
        </w:rPr>
        <w:t>representative of the victims in this case</w:t>
      </w:r>
      <w:proofErr w:type="gramStart"/>
      <w:r w:rsidR="002A5DAC" w:rsidRPr="000E179B">
        <w:rPr>
          <w:rFonts w:ascii="Verdana" w:hAnsi="Verdana"/>
          <w:sz w:val="20"/>
          <w:szCs w:val="20"/>
          <w:lang w:val="en-US"/>
        </w:rPr>
        <w:t xml:space="preserve">, </w:t>
      </w:r>
      <w:r w:rsidR="001F7318" w:rsidRPr="000E179B">
        <w:rPr>
          <w:rFonts w:ascii="Verdana" w:hAnsi="Verdana"/>
          <w:sz w:val="20"/>
          <w:szCs w:val="20"/>
          <w:lang w:val="en-US"/>
        </w:rPr>
        <w:t xml:space="preserve"> </w:t>
      </w:r>
      <w:r w:rsidR="002A5DAC" w:rsidRPr="000E179B">
        <w:rPr>
          <w:rFonts w:ascii="Verdana" w:hAnsi="Verdana"/>
          <w:sz w:val="20"/>
          <w:szCs w:val="20"/>
          <w:lang w:val="en-US"/>
        </w:rPr>
        <w:t>who</w:t>
      </w:r>
      <w:proofErr w:type="gramEnd"/>
      <w:r w:rsidR="002A5DAC" w:rsidRPr="000E179B">
        <w:rPr>
          <w:rFonts w:ascii="Verdana" w:hAnsi="Verdana"/>
          <w:sz w:val="20"/>
          <w:szCs w:val="20"/>
          <w:lang w:val="en-US"/>
        </w:rPr>
        <w:t xml:space="preserve"> made the request, and at that, “</w:t>
      </w:r>
      <w:r w:rsidR="002A5DAC" w:rsidRPr="000E179B">
        <w:rPr>
          <w:rFonts w:ascii="Verdana" w:hAnsi="Verdana"/>
          <w:i/>
          <w:sz w:val="20"/>
          <w:szCs w:val="20"/>
          <w:lang w:val="en-US"/>
        </w:rPr>
        <w:t xml:space="preserve">during the implementation stage of the </w:t>
      </w:r>
      <w:r w:rsidR="00DF6F42" w:rsidRPr="000E179B">
        <w:rPr>
          <w:rFonts w:ascii="Verdana" w:hAnsi="Verdana"/>
          <w:i/>
          <w:sz w:val="20"/>
          <w:szCs w:val="20"/>
          <w:lang w:val="en-US"/>
        </w:rPr>
        <w:t>judgment</w:t>
      </w:r>
      <w:r w:rsidR="002A5DAC" w:rsidRPr="000E179B">
        <w:rPr>
          <w:rFonts w:ascii="Verdana" w:hAnsi="Verdana"/>
          <w:sz w:val="20"/>
          <w:szCs w:val="20"/>
          <w:lang w:val="en-US"/>
        </w:rPr>
        <w:t>.”</w:t>
      </w:r>
    </w:p>
    <w:p w:rsidR="001F7318" w:rsidRPr="000E179B" w:rsidRDefault="001F7318" w:rsidP="00F6717E">
      <w:pPr>
        <w:spacing w:after="0"/>
        <w:jc w:val="both"/>
        <w:rPr>
          <w:rFonts w:ascii="Verdana" w:hAnsi="Verdana"/>
          <w:sz w:val="20"/>
          <w:szCs w:val="20"/>
          <w:lang w:val="en-US"/>
        </w:rPr>
      </w:pPr>
    </w:p>
    <w:p w:rsidR="001F7318" w:rsidRPr="000E179B" w:rsidRDefault="00DE3051" w:rsidP="00F6717E">
      <w:pPr>
        <w:spacing w:after="0"/>
        <w:jc w:val="both"/>
        <w:rPr>
          <w:rFonts w:ascii="Verdana" w:hAnsi="Verdana"/>
          <w:sz w:val="20"/>
          <w:szCs w:val="20"/>
          <w:lang w:val="en-US"/>
        </w:rPr>
      </w:pPr>
      <w:r w:rsidRPr="000E179B">
        <w:rPr>
          <w:rFonts w:ascii="Verdana" w:hAnsi="Verdana"/>
          <w:sz w:val="20"/>
          <w:szCs w:val="20"/>
          <w:lang w:val="en-US"/>
        </w:rPr>
        <w:t xml:space="preserve">What remains irrefutable is that the Court has heard the matter in which a request for provisional measures has been made, and the case has ended in a final and </w:t>
      </w:r>
      <w:r w:rsidR="002F2535" w:rsidRPr="000E179B">
        <w:rPr>
          <w:rFonts w:ascii="Verdana" w:hAnsi="Verdana"/>
          <w:sz w:val="20"/>
          <w:szCs w:val="20"/>
          <w:lang w:val="en-US"/>
        </w:rPr>
        <w:t>not subject to appeal</w:t>
      </w:r>
      <w:r w:rsidRPr="000E179B">
        <w:rPr>
          <w:rFonts w:ascii="Verdana" w:hAnsi="Verdana"/>
          <w:sz w:val="20"/>
          <w:szCs w:val="20"/>
          <w:lang w:val="en-US"/>
        </w:rPr>
        <w:t xml:space="preserve"> judgment</w:t>
      </w:r>
      <w:r w:rsidR="00C14E6D" w:rsidRPr="000E179B">
        <w:rPr>
          <w:rFonts w:ascii="Verdana" w:hAnsi="Verdana"/>
          <w:sz w:val="20"/>
          <w:szCs w:val="20"/>
          <w:lang w:val="en-US"/>
        </w:rPr>
        <w:t>.</w:t>
      </w:r>
      <w:r w:rsidR="001F7318" w:rsidRPr="000E179B">
        <w:rPr>
          <w:rStyle w:val="Refdenotaalpie"/>
          <w:rFonts w:ascii="Verdana" w:hAnsi="Verdana"/>
          <w:sz w:val="20"/>
          <w:szCs w:val="20"/>
          <w:lang w:val="en-US"/>
        </w:rPr>
        <w:footnoteReference w:id="6"/>
      </w:r>
      <w:r w:rsidRPr="000E179B">
        <w:rPr>
          <w:rFonts w:ascii="Verdana" w:hAnsi="Verdana"/>
          <w:sz w:val="20"/>
          <w:szCs w:val="20"/>
          <w:lang w:val="en-US"/>
        </w:rPr>
        <w:t xml:space="preserve"> </w:t>
      </w:r>
      <w:r w:rsidR="00C14E6D" w:rsidRPr="000E179B">
        <w:rPr>
          <w:rFonts w:ascii="Verdana" w:hAnsi="Verdana"/>
          <w:sz w:val="20"/>
          <w:szCs w:val="20"/>
          <w:lang w:val="en-US"/>
        </w:rPr>
        <w:t>T</w:t>
      </w:r>
      <w:r w:rsidRPr="000E179B">
        <w:rPr>
          <w:rFonts w:ascii="Verdana" w:hAnsi="Verdana"/>
          <w:sz w:val="20"/>
          <w:szCs w:val="20"/>
          <w:lang w:val="en-US"/>
        </w:rPr>
        <w:t>hereby lacking the power to modify or complement it</w:t>
      </w:r>
      <w:r w:rsidR="001F7318" w:rsidRPr="000E179B">
        <w:rPr>
          <w:rFonts w:ascii="Verdana" w:hAnsi="Verdana"/>
          <w:sz w:val="20"/>
          <w:szCs w:val="20"/>
          <w:lang w:val="en-US"/>
        </w:rPr>
        <w:t>,</w:t>
      </w:r>
      <w:r w:rsidRPr="000E179B">
        <w:rPr>
          <w:rFonts w:ascii="Verdana" w:hAnsi="Verdana"/>
          <w:sz w:val="20"/>
          <w:szCs w:val="20"/>
          <w:lang w:val="en-US"/>
        </w:rPr>
        <w:t xml:space="preserve"> the Court can only</w:t>
      </w:r>
      <w:r w:rsidR="001F7318" w:rsidRPr="000E179B">
        <w:rPr>
          <w:rFonts w:ascii="Verdana" w:hAnsi="Verdana"/>
          <w:sz w:val="20"/>
          <w:szCs w:val="20"/>
          <w:lang w:val="en-US"/>
        </w:rPr>
        <w:t xml:space="preserve"> </w:t>
      </w:r>
      <w:r w:rsidR="00C14E6D" w:rsidRPr="000E179B">
        <w:rPr>
          <w:rFonts w:ascii="Verdana" w:hAnsi="Verdana"/>
          <w:sz w:val="20"/>
          <w:szCs w:val="20"/>
          <w:lang w:val="en-US"/>
        </w:rPr>
        <w:t xml:space="preserve">render a decree orders in this regard that unequivocally stem from powers </w:t>
      </w:r>
      <w:r w:rsidR="007A38DE" w:rsidRPr="000E179B">
        <w:rPr>
          <w:rFonts w:ascii="Verdana" w:hAnsi="Verdana"/>
          <w:sz w:val="20"/>
          <w:szCs w:val="20"/>
          <w:lang w:val="en-US"/>
        </w:rPr>
        <w:t>specifically</w:t>
      </w:r>
      <w:r w:rsidR="00C14E6D" w:rsidRPr="000E179B">
        <w:rPr>
          <w:rFonts w:ascii="Verdana" w:hAnsi="Verdana"/>
          <w:sz w:val="20"/>
          <w:szCs w:val="20"/>
          <w:lang w:val="en-US"/>
        </w:rPr>
        <w:t xml:space="preserve"> expressed in the Convention, the Statute or Rules of Procedure of the </w:t>
      </w:r>
      <w:proofErr w:type="gramStart"/>
      <w:r w:rsidR="00C14E6D" w:rsidRPr="000E179B">
        <w:rPr>
          <w:rFonts w:ascii="Verdana" w:hAnsi="Verdana"/>
          <w:sz w:val="20"/>
          <w:szCs w:val="20"/>
          <w:lang w:val="en-US"/>
        </w:rPr>
        <w:t>Court.</w:t>
      </w:r>
      <w:proofErr w:type="gramEnd"/>
      <w:r w:rsidR="00C14E6D" w:rsidRPr="000E179B">
        <w:rPr>
          <w:rFonts w:ascii="Verdana" w:hAnsi="Verdana"/>
          <w:sz w:val="20"/>
          <w:szCs w:val="20"/>
          <w:lang w:val="en-US"/>
        </w:rPr>
        <w:t xml:space="preserve"> </w:t>
      </w:r>
    </w:p>
    <w:p w:rsidR="001F7318" w:rsidRPr="000E179B" w:rsidRDefault="001F7318" w:rsidP="00F6717E">
      <w:pPr>
        <w:spacing w:after="0"/>
        <w:jc w:val="both"/>
        <w:rPr>
          <w:rFonts w:ascii="Verdana" w:hAnsi="Verdana"/>
          <w:sz w:val="20"/>
          <w:szCs w:val="20"/>
          <w:lang w:val="en-US"/>
        </w:rPr>
      </w:pPr>
    </w:p>
    <w:p w:rsidR="007900F6" w:rsidRPr="000E179B" w:rsidRDefault="007900F6" w:rsidP="00F6717E">
      <w:pPr>
        <w:spacing w:after="0"/>
        <w:jc w:val="both"/>
        <w:rPr>
          <w:rFonts w:ascii="Verdana" w:hAnsi="Verdana" w:cs="Arial"/>
          <w:sz w:val="20"/>
          <w:szCs w:val="20"/>
          <w:lang w:val="en-US"/>
        </w:rPr>
      </w:pPr>
      <w:r w:rsidRPr="000E179B">
        <w:rPr>
          <w:rFonts w:ascii="Verdana" w:hAnsi="Verdana"/>
          <w:sz w:val="20"/>
          <w:szCs w:val="20"/>
          <w:lang w:val="en-US"/>
        </w:rPr>
        <w:t>Indeed, once the judgment in a case has been rendered, the Court can only, pursuant to that which is stated in the Convention, interpret it if this is so required</w:t>
      </w:r>
      <w:r w:rsidRPr="000E179B">
        <w:rPr>
          <w:rStyle w:val="Refdenotaalpie"/>
          <w:rFonts w:ascii="Verdana" w:hAnsi="Verdana" w:cs="Arial"/>
          <w:sz w:val="20"/>
          <w:szCs w:val="20"/>
          <w:lang w:val="en-US"/>
        </w:rPr>
        <w:footnoteReference w:id="7"/>
      </w:r>
      <w:r w:rsidRPr="000E179B">
        <w:rPr>
          <w:rFonts w:ascii="Verdana" w:hAnsi="Verdana" w:cs="Arial"/>
          <w:sz w:val="20"/>
          <w:szCs w:val="20"/>
          <w:lang w:val="en-US"/>
        </w:rPr>
        <w:t xml:space="preserve"> and inform the General Assembly of the Organization of American States</w:t>
      </w:r>
      <w:proofErr w:type="gramStart"/>
      <w:r w:rsidRPr="000E179B">
        <w:rPr>
          <w:rFonts w:ascii="Verdana" w:hAnsi="Verdana" w:cs="Arial"/>
          <w:sz w:val="20"/>
          <w:szCs w:val="20"/>
          <w:lang w:val="en-US"/>
        </w:rPr>
        <w:t>,  in</w:t>
      </w:r>
      <w:proofErr w:type="gramEnd"/>
      <w:r w:rsidRPr="000E179B">
        <w:rPr>
          <w:rFonts w:ascii="Verdana" w:hAnsi="Verdana" w:cs="Arial"/>
          <w:sz w:val="20"/>
          <w:szCs w:val="20"/>
          <w:lang w:val="en-US"/>
        </w:rPr>
        <w:t xml:space="preserve"> the annual report it must  provide, if it has not been carried out.</w:t>
      </w:r>
      <w:r w:rsidRPr="000E179B">
        <w:rPr>
          <w:rStyle w:val="Refdenotaalpie"/>
          <w:rFonts w:ascii="Verdana" w:hAnsi="Verdana" w:cs="Arial"/>
          <w:sz w:val="20"/>
          <w:szCs w:val="20"/>
          <w:lang w:val="en-US"/>
        </w:rPr>
        <w:footnoteReference w:id="8"/>
      </w:r>
      <w:r w:rsidRPr="000E179B">
        <w:rPr>
          <w:rFonts w:ascii="Verdana" w:hAnsi="Verdana" w:cs="Arial"/>
          <w:sz w:val="20"/>
          <w:szCs w:val="20"/>
          <w:lang w:val="en-US"/>
        </w:rPr>
        <w:t xml:space="preserve"> In turn and under such a hypothesis, the </w:t>
      </w:r>
      <w:r w:rsidRPr="000E179B">
        <w:rPr>
          <w:rFonts w:ascii="Verdana" w:hAnsi="Verdana" w:cs="Arial"/>
          <w:sz w:val="20"/>
          <w:szCs w:val="20"/>
          <w:lang w:val="en-US"/>
        </w:rPr>
        <w:lastRenderedPageBreak/>
        <w:t>Statute only mentions the annual report</w:t>
      </w:r>
      <w:r w:rsidRPr="000E179B">
        <w:rPr>
          <w:rStyle w:val="Refdenotaalpie"/>
          <w:rFonts w:ascii="Verdana" w:hAnsi="Verdana" w:cs="Arial"/>
          <w:sz w:val="20"/>
          <w:szCs w:val="20"/>
          <w:lang w:val="en-US"/>
        </w:rPr>
        <w:footnoteReference w:id="9"/>
      </w:r>
      <w:r w:rsidRPr="000E179B">
        <w:rPr>
          <w:rFonts w:ascii="Verdana" w:hAnsi="Verdana" w:cs="Arial"/>
          <w:sz w:val="20"/>
          <w:szCs w:val="20"/>
          <w:lang w:val="en-US"/>
        </w:rPr>
        <w:t xml:space="preserve"> and, in turn, the Rules of Procedure regulate the judgment on reparations and costs,</w:t>
      </w:r>
      <w:r w:rsidRPr="000E179B">
        <w:rPr>
          <w:rStyle w:val="Refdenotaalpie"/>
          <w:rFonts w:ascii="Verdana" w:hAnsi="Verdana" w:cs="Arial"/>
          <w:sz w:val="20"/>
          <w:szCs w:val="20"/>
          <w:lang w:val="en-US"/>
        </w:rPr>
        <w:footnoteReference w:id="10"/>
      </w:r>
      <w:r w:rsidRPr="000E179B">
        <w:rPr>
          <w:rFonts w:ascii="Verdana" w:hAnsi="Verdana" w:cs="Arial"/>
          <w:sz w:val="20"/>
          <w:szCs w:val="20"/>
          <w:lang w:val="en-US"/>
        </w:rPr>
        <w:t xml:space="preserve"> the interpretation of the judgment,</w:t>
      </w:r>
      <w:r w:rsidRPr="000E179B">
        <w:rPr>
          <w:rStyle w:val="Refdenotaalpie"/>
          <w:rFonts w:ascii="Verdana" w:hAnsi="Verdana" w:cs="Arial"/>
          <w:sz w:val="20"/>
          <w:szCs w:val="20"/>
          <w:lang w:val="en-US"/>
        </w:rPr>
        <w:footnoteReference w:id="11"/>
      </w:r>
      <w:r w:rsidRPr="000E179B">
        <w:rPr>
          <w:rFonts w:ascii="Verdana" w:hAnsi="Verdana" w:cs="Arial"/>
          <w:sz w:val="20"/>
          <w:szCs w:val="20"/>
          <w:lang w:val="en-US"/>
        </w:rPr>
        <w:t xml:space="preserve"> the monitoring of compliance with the judgments and other decisions of the Court</w:t>
      </w:r>
      <w:r w:rsidRPr="000E179B">
        <w:rPr>
          <w:rStyle w:val="Refdenotaalpie"/>
          <w:rFonts w:ascii="Verdana" w:hAnsi="Verdana" w:cs="Arial"/>
          <w:sz w:val="20"/>
          <w:szCs w:val="20"/>
          <w:lang w:val="en-US"/>
        </w:rPr>
        <w:footnoteReference w:id="12"/>
      </w:r>
      <w:r w:rsidRPr="000E179B">
        <w:rPr>
          <w:rFonts w:ascii="Verdana" w:hAnsi="Verdana" w:cs="Arial"/>
          <w:sz w:val="20"/>
          <w:szCs w:val="20"/>
          <w:lang w:val="en-US"/>
        </w:rPr>
        <w:t xml:space="preserve"> and the correction of </w:t>
      </w:r>
      <w:r w:rsidR="00DF6F42" w:rsidRPr="000E179B">
        <w:rPr>
          <w:rFonts w:ascii="Verdana" w:hAnsi="Verdana" w:cs="Arial"/>
          <w:sz w:val="20"/>
          <w:szCs w:val="20"/>
          <w:lang w:val="en-US"/>
        </w:rPr>
        <w:t>notorious</w:t>
      </w:r>
      <w:r w:rsidRPr="000E179B">
        <w:rPr>
          <w:rFonts w:ascii="Verdana" w:hAnsi="Verdana" w:cs="Arial"/>
          <w:sz w:val="20"/>
          <w:szCs w:val="20"/>
          <w:lang w:val="en-US"/>
        </w:rPr>
        <w:t xml:space="preserve"> errors regarding edits or calculations.</w:t>
      </w:r>
      <w:r w:rsidRPr="000E179B">
        <w:rPr>
          <w:rStyle w:val="Refdenotaalpie"/>
          <w:rFonts w:ascii="Verdana" w:hAnsi="Verdana" w:cs="Arial"/>
          <w:sz w:val="20"/>
          <w:szCs w:val="20"/>
          <w:lang w:val="en-US"/>
        </w:rPr>
        <w:footnoteReference w:id="13"/>
      </w:r>
      <w:r w:rsidRPr="000E179B">
        <w:rPr>
          <w:rFonts w:ascii="Verdana" w:hAnsi="Verdana" w:cs="Arial"/>
          <w:sz w:val="20"/>
          <w:szCs w:val="20"/>
          <w:lang w:val="en-US"/>
        </w:rPr>
        <w:t xml:space="preserve"> It must be stated that, particularly given the request made by Mr. May Cantillano that precautionary measure be decreed “</w:t>
      </w:r>
      <w:r w:rsidRPr="000E179B">
        <w:rPr>
          <w:rFonts w:ascii="Verdana" w:hAnsi="Verdana" w:cs="Arial"/>
          <w:i/>
          <w:sz w:val="20"/>
          <w:szCs w:val="20"/>
          <w:lang w:val="en-US"/>
        </w:rPr>
        <w:t>during the implementation stage”</w:t>
      </w:r>
      <w:r w:rsidRPr="000E179B">
        <w:rPr>
          <w:rFonts w:ascii="Verdana" w:hAnsi="Verdana" w:cs="Arial"/>
          <w:sz w:val="20"/>
          <w:szCs w:val="20"/>
          <w:lang w:val="en-US"/>
        </w:rPr>
        <w:t xml:space="preserve"> that in the rules of procedure regarding monitoring of compliance, the possibility of rendering provisional measures is also not established. </w:t>
      </w:r>
    </w:p>
    <w:p w:rsidR="00222FF4" w:rsidRPr="000E179B" w:rsidRDefault="00222FF4" w:rsidP="00F6717E">
      <w:pPr>
        <w:spacing w:after="0"/>
        <w:jc w:val="both"/>
        <w:rPr>
          <w:rFonts w:ascii="Verdana" w:hAnsi="Verdana" w:cs="Arial"/>
          <w:sz w:val="20"/>
          <w:szCs w:val="20"/>
          <w:lang w:val="en-US"/>
        </w:rPr>
      </w:pPr>
    </w:p>
    <w:p w:rsidR="00222FF4" w:rsidRPr="000E179B" w:rsidRDefault="00DF6F42" w:rsidP="00F6717E">
      <w:pPr>
        <w:spacing w:after="0"/>
        <w:jc w:val="both"/>
        <w:rPr>
          <w:rFonts w:ascii="Verdana" w:hAnsi="Verdana" w:cs="Arial"/>
          <w:sz w:val="20"/>
          <w:szCs w:val="20"/>
          <w:lang w:val="en-US"/>
        </w:rPr>
      </w:pPr>
      <w:r w:rsidRPr="000E179B">
        <w:rPr>
          <w:rFonts w:ascii="Verdana" w:hAnsi="Verdana" w:cs="Arial"/>
          <w:sz w:val="20"/>
          <w:szCs w:val="20"/>
          <w:lang w:val="en-US"/>
        </w:rPr>
        <w:t xml:space="preserve">In sum, based on the principle of public law that only what is established by law can be done and considering that the Court does not have the power to render provisional measures once a final and </w:t>
      </w:r>
      <w:r w:rsidR="002F2535" w:rsidRPr="000E179B">
        <w:rPr>
          <w:rFonts w:ascii="Verdana" w:hAnsi="Verdana" w:cs="Arial"/>
          <w:sz w:val="20"/>
          <w:szCs w:val="20"/>
          <w:lang w:val="en-US"/>
        </w:rPr>
        <w:t>not subject to appeal</w:t>
      </w:r>
      <w:r w:rsidRPr="000E179B">
        <w:rPr>
          <w:rFonts w:ascii="Verdana" w:hAnsi="Verdana" w:cs="Arial"/>
          <w:sz w:val="20"/>
          <w:szCs w:val="20"/>
          <w:lang w:val="en-US"/>
        </w:rPr>
        <w:t xml:space="preserve"> ruling has been rendered by the </w:t>
      </w:r>
      <w:r w:rsidRPr="000E179B">
        <w:rPr>
          <w:rFonts w:ascii="Verdana" w:hAnsi="Verdana" w:cs="Arial"/>
          <w:sz w:val="20"/>
          <w:szCs w:val="20"/>
          <w:lang w:val="en-US"/>
        </w:rPr>
        <w:lastRenderedPageBreak/>
        <w:t xml:space="preserve">Court, if it were to grant such measures, this would imply that the case is still under consideration, that the </w:t>
      </w:r>
      <w:proofErr w:type="gramStart"/>
      <w:r w:rsidRPr="000E179B">
        <w:rPr>
          <w:rFonts w:ascii="Verdana" w:hAnsi="Verdana" w:cs="Arial"/>
          <w:sz w:val="20"/>
          <w:szCs w:val="20"/>
          <w:lang w:val="en-US"/>
        </w:rPr>
        <w:t>controversy  it</w:t>
      </w:r>
      <w:proofErr w:type="gramEnd"/>
      <w:r w:rsidRPr="000E179B">
        <w:rPr>
          <w:rFonts w:ascii="Verdana" w:hAnsi="Verdana" w:cs="Arial"/>
          <w:sz w:val="20"/>
          <w:szCs w:val="20"/>
          <w:lang w:val="en-US"/>
        </w:rPr>
        <w:t xml:space="preserve"> has heard and resolved in fact continues. </w:t>
      </w:r>
    </w:p>
    <w:p w:rsidR="001F7318" w:rsidRPr="000E179B" w:rsidRDefault="001F7318" w:rsidP="00F6717E">
      <w:pPr>
        <w:spacing w:after="0"/>
        <w:jc w:val="both"/>
        <w:rPr>
          <w:rFonts w:ascii="Verdana" w:hAnsi="Verdana" w:cs="Arial"/>
          <w:sz w:val="20"/>
          <w:szCs w:val="20"/>
          <w:lang w:val="en-US"/>
        </w:rPr>
      </w:pPr>
    </w:p>
    <w:p w:rsidR="00C8019A" w:rsidRPr="000E179B" w:rsidRDefault="00285D91" w:rsidP="00F6717E">
      <w:pPr>
        <w:jc w:val="both"/>
        <w:rPr>
          <w:rFonts w:ascii="Verdana" w:hAnsi="Verdana" w:cs="Arial"/>
          <w:i/>
          <w:sz w:val="20"/>
          <w:szCs w:val="20"/>
          <w:lang w:val="en-US"/>
        </w:rPr>
      </w:pPr>
      <w:r w:rsidRPr="000E179B">
        <w:rPr>
          <w:rFonts w:ascii="Verdana" w:hAnsi="Verdana" w:cs="Arial"/>
          <w:sz w:val="20"/>
          <w:szCs w:val="20"/>
          <w:lang w:val="en-US"/>
        </w:rPr>
        <w:t>As such, if such measures are rendered it would be important for the Court to recognize that the corresponding judgment, which declared that “</w:t>
      </w:r>
      <w:r w:rsidRPr="000E179B">
        <w:rPr>
          <w:rFonts w:ascii="Verdana" w:hAnsi="Verdana" w:cs="Arial"/>
          <w:i/>
          <w:sz w:val="20"/>
          <w:szCs w:val="20"/>
          <w:lang w:val="en-US"/>
        </w:rPr>
        <w:t xml:space="preserve">there has been a violation of a right or freedom protected” </w:t>
      </w:r>
      <w:r w:rsidRPr="000E179B">
        <w:rPr>
          <w:rFonts w:ascii="Verdana" w:hAnsi="Verdana" w:cs="Arial"/>
          <w:sz w:val="20"/>
          <w:szCs w:val="20"/>
          <w:lang w:val="en-US"/>
        </w:rPr>
        <w:t>in the Convention, and thus, provided “</w:t>
      </w:r>
      <w:r w:rsidRPr="000E179B">
        <w:rPr>
          <w:rFonts w:ascii="Verdana" w:hAnsi="Verdana" w:cs="Arial"/>
          <w:i/>
          <w:sz w:val="20"/>
          <w:szCs w:val="20"/>
          <w:lang w:val="en-US"/>
        </w:rPr>
        <w:t>the injured party be ensured the enjoyment of his right or freedom that was violated”</w:t>
      </w:r>
      <w:r w:rsidR="001F7318" w:rsidRPr="000E179B">
        <w:rPr>
          <w:rStyle w:val="Refdenotaalpie"/>
          <w:rFonts w:ascii="Verdana" w:hAnsi="Verdana" w:cs="Arial"/>
          <w:sz w:val="20"/>
          <w:szCs w:val="20"/>
          <w:lang w:val="en-US"/>
        </w:rPr>
        <w:footnoteReference w:id="14"/>
      </w:r>
      <w:r w:rsidR="001F7318" w:rsidRPr="000E179B">
        <w:rPr>
          <w:rFonts w:ascii="Verdana" w:hAnsi="Verdana" w:cs="Arial"/>
          <w:sz w:val="20"/>
          <w:szCs w:val="20"/>
          <w:lang w:val="en-US"/>
        </w:rPr>
        <w:t xml:space="preserve">, </w:t>
      </w:r>
      <w:r w:rsidRPr="000E179B">
        <w:rPr>
          <w:rFonts w:ascii="Verdana" w:hAnsi="Verdana" w:cs="Arial"/>
          <w:sz w:val="20"/>
          <w:szCs w:val="20"/>
          <w:lang w:val="en-US"/>
        </w:rPr>
        <w:t>has not fulfilled its objective,  has not been sufficient to “</w:t>
      </w:r>
      <w:r w:rsidRPr="000E179B">
        <w:rPr>
          <w:rFonts w:ascii="Verdana" w:hAnsi="Verdana" w:cs="Arial"/>
          <w:i/>
          <w:sz w:val="20"/>
          <w:szCs w:val="20"/>
          <w:lang w:val="en-US"/>
        </w:rPr>
        <w:t>avoid the irreparable harm”</w:t>
      </w:r>
      <w:r w:rsidRPr="000E179B">
        <w:rPr>
          <w:rFonts w:ascii="Verdana" w:hAnsi="Verdana" w:cs="Arial"/>
          <w:sz w:val="20"/>
          <w:szCs w:val="20"/>
          <w:lang w:val="en-US"/>
        </w:rPr>
        <w:t xml:space="preserve"> that the violation caused in each person, that is, </w:t>
      </w:r>
      <w:r w:rsidR="001F7318" w:rsidRPr="000E179B">
        <w:rPr>
          <w:rFonts w:ascii="Verdana" w:hAnsi="Verdana" w:cs="Arial"/>
          <w:sz w:val="20"/>
          <w:szCs w:val="20"/>
          <w:lang w:val="en-US"/>
        </w:rPr>
        <w:t xml:space="preserve"> </w:t>
      </w:r>
      <w:r w:rsidRPr="000E179B">
        <w:rPr>
          <w:rFonts w:ascii="Verdana" w:hAnsi="Verdana" w:cs="Arial"/>
          <w:sz w:val="20"/>
          <w:szCs w:val="20"/>
          <w:lang w:val="en-US"/>
        </w:rPr>
        <w:t xml:space="preserve">that it has not resolved the matter or case that was filed before the Court </w:t>
      </w:r>
      <w:r w:rsidR="008A6C7F" w:rsidRPr="000E179B">
        <w:rPr>
          <w:rFonts w:ascii="Verdana" w:hAnsi="Verdana" w:cs="Arial"/>
          <w:sz w:val="20"/>
          <w:szCs w:val="20"/>
          <w:lang w:val="en-US"/>
        </w:rPr>
        <w:t>and thus it is paramount that such measures be issued.</w:t>
      </w:r>
    </w:p>
    <w:p w:rsidR="00C8019A" w:rsidRPr="000E179B" w:rsidRDefault="00C8019A" w:rsidP="00F6717E">
      <w:pPr>
        <w:jc w:val="both"/>
        <w:rPr>
          <w:rFonts w:ascii="Verdana" w:hAnsi="Verdana" w:cs="Arial"/>
          <w:i/>
          <w:sz w:val="20"/>
          <w:szCs w:val="20"/>
          <w:lang w:val="en-US"/>
        </w:rPr>
      </w:pPr>
    </w:p>
    <w:p w:rsidR="00C8019A" w:rsidRPr="000E179B" w:rsidRDefault="009B18CC" w:rsidP="00F6717E">
      <w:pPr>
        <w:jc w:val="both"/>
        <w:rPr>
          <w:rFonts w:ascii="Verdana" w:hAnsi="Verdana" w:cs="Arial"/>
          <w:i/>
          <w:sz w:val="20"/>
          <w:szCs w:val="20"/>
          <w:lang w:val="en-US"/>
        </w:rPr>
      </w:pPr>
      <w:r w:rsidRPr="000E179B">
        <w:rPr>
          <w:rFonts w:ascii="Verdana" w:hAnsi="Verdana" w:cs="Arial"/>
          <w:sz w:val="20"/>
          <w:szCs w:val="20"/>
          <w:lang w:val="en-US"/>
        </w:rPr>
        <w:t xml:space="preserve">For the abovementioned reasons, </w:t>
      </w:r>
      <w:r w:rsidR="00CB094F" w:rsidRPr="000E179B">
        <w:rPr>
          <w:rFonts w:ascii="Verdana" w:hAnsi="Verdana" w:cs="Arial"/>
          <w:sz w:val="20"/>
          <w:szCs w:val="20"/>
          <w:lang w:val="en-US"/>
        </w:rPr>
        <w:t>I consider</w:t>
      </w:r>
      <w:r w:rsidRPr="000E179B">
        <w:rPr>
          <w:rFonts w:ascii="Verdana" w:hAnsi="Verdana" w:cs="Arial"/>
          <w:sz w:val="20"/>
          <w:szCs w:val="20"/>
          <w:lang w:val="en-US"/>
        </w:rPr>
        <w:t xml:space="preserve"> that perhaps it should be necessary that in judgments where the Court declares a violation of the Convention, the Court expressly recall the State’s general and permanent obligation to “</w:t>
      </w:r>
      <w:r w:rsidRPr="000E179B">
        <w:rPr>
          <w:rFonts w:ascii="Verdana" w:hAnsi="Verdana" w:cs="Arial"/>
          <w:i/>
          <w:sz w:val="20"/>
          <w:szCs w:val="20"/>
          <w:lang w:val="en-US"/>
        </w:rPr>
        <w:t xml:space="preserve">respect the rights and freedoms recognized” </w:t>
      </w:r>
      <w:r w:rsidRPr="000E179B">
        <w:rPr>
          <w:rFonts w:ascii="Verdana" w:hAnsi="Verdana" w:cs="Arial"/>
          <w:sz w:val="20"/>
          <w:szCs w:val="20"/>
          <w:lang w:val="en-US"/>
        </w:rPr>
        <w:t>in the Convention and to “</w:t>
      </w:r>
      <w:r w:rsidRPr="000E179B">
        <w:rPr>
          <w:rFonts w:ascii="Verdana" w:eastAsia="Cambria" w:hAnsi="Verdana"/>
          <w:i/>
          <w:color w:val="000000"/>
          <w:sz w:val="20"/>
          <w:szCs w:val="20"/>
          <w:lang w:val="en-US"/>
        </w:rPr>
        <w:t>ensure to all persons subject to their jurisdiction</w:t>
      </w:r>
      <w:r w:rsidR="003C277F" w:rsidRPr="000E179B">
        <w:rPr>
          <w:rFonts w:ascii="Verdana" w:eastAsia="Cambria" w:hAnsi="Verdana"/>
          <w:i/>
          <w:color w:val="000000"/>
          <w:sz w:val="20"/>
          <w:szCs w:val="20"/>
          <w:lang w:val="en-US"/>
        </w:rPr>
        <w:t xml:space="preserve"> the free and full exercise of those rights</w:t>
      </w:r>
      <w:r w:rsidRPr="000E179B">
        <w:rPr>
          <w:rFonts w:ascii="Verdana" w:hAnsi="Verdana" w:cs="Arial"/>
          <w:i/>
          <w:sz w:val="20"/>
          <w:szCs w:val="20"/>
          <w:lang w:val="en-US"/>
        </w:rPr>
        <w:t>,”</w:t>
      </w:r>
      <w:r w:rsidRPr="000E179B">
        <w:rPr>
          <w:rStyle w:val="Refdenotaalpie"/>
          <w:rFonts w:ascii="Verdana" w:hAnsi="Verdana" w:cs="Arial"/>
          <w:sz w:val="20"/>
          <w:szCs w:val="20"/>
          <w:lang w:val="en-US"/>
        </w:rPr>
        <w:footnoteReference w:id="15"/>
      </w:r>
      <w:r w:rsidRPr="000E179B">
        <w:rPr>
          <w:rFonts w:ascii="Verdana" w:hAnsi="Verdana" w:cs="Arial"/>
          <w:sz w:val="20"/>
          <w:szCs w:val="20"/>
          <w:lang w:val="en-US"/>
        </w:rPr>
        <w:t xml:space="preserve"> and that this specifically includes the obligation to “</w:t>
      </w:r>
      <w:r w:rsidRPr="000E179B">
        <w:rPr>
          <w:rFonts w:ascii="Verdana" w:hAnsi="Verdana" w:cs="Arial"/>
          <w:i/>
          <w:sz w:val="20"/>
          <w:szCs w:val="20"/>
          <w:lang w:val="en-US"/>
        </w:rPr>
        <w:t>avoid irreparable damage to persons”</w:t>
      </w:r>
      <w:r w:rsidRPr="000E179B">
        <w:rPr>
          <w:rStyle w:val="Refdenotaalpie"/>
          <w:rFonts w:ascii="Verdana" w:hAnsi="Verdana" w:cs="Arial"/>
          <w:sz w:val="20"/>
          <w:szCs w:val="20"/>
          <w:lang w:val="en-US"/>
        </w:rPr>
        <w:footnoteReference w:id="16"/>
      </w:r>
      <w:r w:rsidRPr="000E179B">
        <w:rPr>
          <w:rFonts w:ascii="Verdana" w:hAnsi="Verdana" w:cs="Arial"/>
          <w:sz w:val="20"/>
          <w:szCs w:val="20"/>
          <w:lang w:val="en-US"/>
        </w:rPr>
        <w:t xml:space="preserve"> involved in the case and matter at hand. Perhaps, it would be </w:t>
      </w:r>
      <w:r w:rsidR="00C8019A" w:rsidRPr="000E179B">
        <w:rPr>
          <w:rFonts w:ascii="Verdana" w:hAnsi="Verdana" w:cs="Arial"/>
          <w:sz w:val="20"/>
          <w:szCs w:val="20"/>
          <w:lang w:val="en-US"/>
        </w:rPr>
        <w:t xml:space="preserve">similarly </w:t>
      </w:r>
      <w:r w:rsidR="00DF6F42" w:rsidRPr="000E179B">
        <w:rPr>
          <w:rFonts w:ascii="Verdana" w:hAnsi="Verdana" w:cs="Arial"/>
          <w:sz w:val="20"/>
          <w:szCs w:val="20"/>
          <w:lang w:val="en-US"/>
        </w:rPr>
        <w:t>convenient</w:t>
      </w:r>
      <w:r w:rsidR="00C8019A" w:rsidRPr="000E179B">
        <w:rPr>
          <w:rFonts w:ascii="Verdana" w:hAnsi="Verdana" w:cs="Arial"/>
          <w:sz w:val="20"/>
          <w:szCs w:val="20"/>
          <w:lang w:val="en-US"/>
        </w:rPr>
        <w:t xml:space="preserve"> for the Court to order that, as part of the monitoring of compliance with the respective judgment, that it be informed of the measures adopted by the State to </w:t>
      </w:r>
      <w:r w:rsidR="00DF6F42" w:rsidRPr="000E179B">
        <w:rPr>
          <w:rFonts w:ascii="Verdana" w:hAnsi="Verdana" w:cs="Arial"/>
          <w:sz w:val="20"/>
          <w:szCs w:val="20"/>
          <w:lang w:val="en-US"/>
        </w:rPr>
        <w:t>eradicate</w:t>
      </w:r>
      <w:r w:rsidR="00C8019A" w:rsidRPr="000E179B">
        <w:rPr>
          <w:rFonts w:ascii="Verdana" w:hAnsi="Verdana" w:cs="Arial"/>
          <w:sz w:val="20"/>
          <w:szCs w:val="20"/>
          <w:lang w:val="en-US"/>
        </w:rPr>
        <w:t xml:space="preserve"> the situations of extreme gravity or </w:t>
      </w:r>
      <w:proofErr w:type="gramStart"/>
      <w:r w:rsidR="00C8019A" w:rsidRPr="000E179B">
        <w:rPr>
          <w:rFonts w:ascii="Verdana" w:hAnsi="Verdana" w:cs="Arial"/>
          <w:sz w:val="20"/>
          <w:szCs w:val="20"/>
          <w:lang w:val="en-US"/>
        </w:rPr>
        <w:t>urgency  that</w:t>
      </w:r>
      <w:proofErr w:type="gramEnd"/>
      <w:r w:rsidR="00C8019A" w:rsidRPr="000E179B">
        <w:rPr>
          <w:rFonts w:ascii="Verdana" w:hAnsi="Verdana" w:cs="Arial"/>
          <w:sz w:val="20"/>
          <w:szCs w:val="20"/>
          <w:lang w:val="en-US"/>
        </w:rPr>
        <w:t xml:space="preserve"> gave rise to the provisional measures rendered in the case in order to “</w:t>
      </w:r>
      <w:r w:rsidR="00C8019A" w:rsidRPr="000E179B">
        <w:rPr>
          <w:rFonts w:ascii="Verdana" w:hAnsi="Verdana" w:cs="Arial"/>
          <w:i/>
          <w:sz w:val="20"/>
          <w:szCs w:val="20"/>
          <w:lang w:val="en-US"/>
        </w:rPr>
        <w:t>avoid irreparable damage to persons</w:t>
      </w:r>
      <w:r w:rsidR="00431F29" w:rsidRPr="000E179B">
        <w:rPr>
          <w:rFonts w:ascii="Verdana" w:hAnsi="Verdana" w:cs="Arial"/>
          <w:i/>
          <w:sz w:val="20"/>
          <w:szCs w:val="20"/>
          <w:lang w:val="en-US"/>
        </w:rPr>
        <w:t>.</w:t>
      </w:r>
      <w:r w:rsidR="00C8019A" w:rsidRPr="000E179B">
        <w:rPr>
          <w:rFonts w:ascii="Verdana" w:hAnsi="Verdana" w:cs="Arial"/>
          <w:sz w:val="20"/>
          <w:szCs w:val="20"/>
          <w:lang w:val="en-US"/>
        </w:rPr>
        <w:t>”</w:t>
      </w:r>
    </w:p>
    <w:p w:rsidR="009B18CC" w:rsidRPr="000E179B" w:rsidRDefault="009B18CC" w:rsidP="00F6717E">
      <w:pPr>
        <w:jc w:val="both"/>
        <w:rPr>
          <w:rFonts w:ascii="Verdana" w:hAnsi="Verdana" w:cs="Arial"/>
          <w:sz w:val="20"/>
          <w:szCs w:val="20"/>
          <w:lang w:val="en-US"/>
        </w:rPr>
      </w:pPr>
    </w:p>
    <w:p w:rsidR="001F7318" w:rsidRPr="000E179B" w:rsidRDefault="00C8019A" w:rsidP="00F6717E">
      <w:pPr>
        <w:autoSpaceDE w:val="0"/>
        <w:autoSpaceDN w:val="0"/>
        <w:adjustRightInd w:val="0"/>
        <w:jc w:val="both"/>
        <w:rPr>
          <w:rFonts w:ascii="Verdana" w:hAnsi="Verdana" w:cs="Arial"/>
          <w:sz w:val="20"/>
          <w:szCs w:val="20"/>
          <w:lang w:val="en-US"/>
        </w:rPr>
      </w:pPr>
      <w:r w:rsidRPr="000E179B">
        <w:rPr>
          <w:rFonts w:ascii="Verdana" w:hAnsi="Verdana" w:cs="Arial"/>
          <w:sz w:val="20"/>
          <w:szCs w:val="20"/>
          <w:lang w:val="en-US"/>
        </w:rPr>
        <w:t>And, certainly,</w:t>
      </w:r>
      <w:r w:rsidR="002C27CE" w:rsidRPr="000E179B">
        <w:rPr>
          <w:rFonts w:ascii="Verdana" w:hAnsi="Verdana" w:cs="Arial"/>
          <w:sz w:val="20"/>
          <w:szCs w:val="20"/>
          <w:lang w:val="en-US"/>
        </w:rPr>
        <w:t xml:space="preserve"> all this does not prevent the Court from once again ordering provisional measures regarding the same persons named in the case that was previously decided by the Court, either in a new matter filed before the Court or in one that has not yet been filed, if the Commission so requests. </w:t>
      </w:r>
    </w:p>
    <w:p w:rsidR="000E179B" w:rsidRDefault="000E179B" w:rsidP="000E179B">
      <w:pPr>
        <w:tabs>
          <w:tab w:val="center" w:pos="6210"/>
        </w:tabs>
        <w:autoSpaceDE w:val="0"/>
        <w:autoSpaceDN w:val="0"/>
        <w:adjustRightInd w:val="0"/>
        <w:spacing w:after="0" w:line="240" w:lineRule="auto"/>
        <w:jc w:val="both"/>
        <w:rPr>
          <w:rFonts w:ascii="Verdana" w:hAnsi="Verdana" w:cs="Arial"/>
          <w:sz w:val="20"/>
          <w:szCs w:val="20"/>
          <w:lang w:val="es-CR"/>
        </w:rPr>
      </w:pPr>
      <w:r>
        <w:rPr>
          <w:rFonts w:ascii="Verdana" w:hAnsi="Verdana" w:cs="Arial"/>
          <w:sz w:val="20"/>
          <w:szCs w:val="20"/>
          <w:lang w:val="es-CR"/>
        </w:rPr>
        <w:tab/>
      </w:r>
      <w:r w:rsidR="001F7318" w:rsidRPr="000E179B">
        <w:rPr>
          <w:rFonts w:ascii="Verdana" w:hAnsi="Verdana" w:cs="Arial"/>
          <w:sz w:val="20"/>
          <w:szCs w:val="20"/>
          <w:lang w:val="es-CR"/>
        </w:rPr>
        <w:t>EDUARDO VIO GROSSI</w:t>
      </w:r>
    </w:p>
    <w:p w:rsidR="001F7318" w:rsidRPr="000E179B" w:rsidRDefault="000E179B" w:rsidP="000E179B">
      <w:pPr>
        <w:tabs>
          <w:tab w:val="center" w:pos="6210"/>
        </w:tabs>
        <w:autoSpaceDE w:val="0"/>
        <w:autoSpaceDN w:val="0"/>
        <w:adjustRightInd w:val="0"/>
        <w:spacing w:after="0" w:line="240" w:lineRule="auto"/>
        <w:jc w:val="both"/>
        <w:rPr>
          <w:rFonts w:ascii="Verdana" w:hAnsi="Verdana" w:cs="Arial"/>
          <w:sz w:val="20"/>
          <w:szCs w:val="20"/>
          <w:lang w:val="es-CR"/>
        </w:rPr>
      </w:pPr>
      <w:r>
        <w:rPr>
          <w:rFonts w:ascii="Verdana" w:hAnsi="Verdana" w:cs="Arial"/>
          <w:sz w:val="20"/>
          <w:szCs w:val="20"/>
          <w:lang w:val="es-CR"/>
        </w:rPr>
        <w:tab/>
      </w:r>
      <w:r w:rsidR="00847D02" w:rsidRPr="000E179B">
        <w:rPr>
          <w:rFonts w:ascii="Verdana" w:hAnsi="Verdana" w:cs="Arial"/>
          <w:sz w:val="20"/>
          <w:szCs w:val="20"/>
          <w:lang w:val="es-CR"/>
        </w:rPr>
        <w:t>Judge</w:t>
      </w:r>
    </w:p>
    <w:p w:rsidR="001F7318" w:rsidRPr="000E179B" w:rsidRDefault="001F7318" w:rsidP="00F6717E">
      <w:pPr>
        <w:spacing w:after="0" w:line="240" w:lineRule="auto"/>
        <w:jc w:val="both"/>
        <w:rPr>
          <w:rFonts w:ascii="Verdana" w:hAnsi="Verdana"/>
          <w:sz w:val="20"/>
          <w:szCs w:val="20"/>
          <w:lang w:val="es-CR"/>
        </w:rPr>
      </w:pPr>
    </w:p>
    <w:p w:rsidR="001F7318" w:rsidRPr="000E179B" w:rsidRDefault="001F7318" w:rsidP="00F6717E">
      <w:pPr>
        <w:spacing w:after="0" w:line="240" w:lineRule="auto"/>
        <w:jc w:val="both"/>
        <w:rPr>
          <w:rFonts w:ascii="Verdana" w:hAnsi="Verdana"/>
          <w:sz w:val="20"/>
          <w:szCs w:val="20"/>
          <w:lang w:val="es-CR"/>
        </w:rPr>
      </w:pPr>
      <w:r w:rsidRPr="000E179B">
        <w:rPr>
          <w:rFonts w:ascii="Verdana" w:hAnsi="Verdana"/>
          <w:sz w:val="20"/>
          <w:szCs w:val="20"/>
          <w:lang w:val="es-CR"/>
        </w:rPr>
        <w:t xml:space="preserve"> Pablo Saavedra Alessandri</w:t>
      </w:r>
    </w:p>
    <w:p w:rsidR="00DE3051" w:rsidRPr="000E179B" w:rsidRDefault="00847D02" w:rsidP="004340B8">
      <w:pPr>
        <w:spacing w:after="0" w:line="240" w:lineRule="auto"/>
        <w:jc w:val="both"/>
        <w:rPr>
          <w:rFonts w:ascii="Verdana" w:hAnsi="Verdana"/>
          <w:sz w:val="20"/>
          <w:szCs w:val="20"/>
          <w:lang w:val="en-US"/>
        </w:rPr>
      </w:pPr>
      <w:r w:rsidRPr="000E179B">
        <w:rPr>
          <w:rFonts w:ascii="Verdana" w:hAnsi="Verdana"/>
          <w:sz w:val="20"/>
          <w:szCs w:val="20"/>
          <w:lang w:val="es-CR"/>
        </w:rPr>
        <w:t xml:space="preserve">           </w:t>
      </w:r>
      <w:r w:rsidRPr="000E179B">
        <w:rPr>
          <w:rFonts w:ascii="Verdana" w:hAnsi="Verdana"/>
          <w:sz w:val="20"/>
          <w:szCs w:val="20"/>
          <w:lang w:val="en-US"/>
        </w:rPr>
        <w:t>Secretary</w:t>
      </w:r>
      <w:r w:rsidR="001F7318" w:rsidRPr="000E179B">
        <w:rPr>
          <w:rFonts w:ascii="Verdana" w:hAnsi="Verdana"/>
          <w:sz w:val="20"/>
          <w:szCs w:val="20"/>
          <w:lang w:val="en-US"/>
        </w:rPr>
        <w:t xml:space="preserve"> </w:t>
      </w:r>
      <w:bookmarkStart w:id="0" w:name="_GoBack"/>
      <w:bookmarkEnd w:id="0"/>
    </w:p>
    <w:sectPr w:rsidR="00DE3051" w:rsidRPr="000E179B" w:rsidSect="00DE3051">
      <w:footerReference w:type="default" r:id="rId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26" w:rsidRDefault="002B7A26" w:rsidP="008E24A7">
      <w:pPr>
        <w:spacing w:after="0" w:line="240" w:lineRule="auto"/>
      </w:pPr>
      <w:r>
        <w:separator/>
      </w:r>
    </w:p>
  </w:endnote>
  <w:endnote w:type="continuationSeparator" w:id="0">
    <w:p w:rsidR="002B7A26" w:rsidRDefault="002B7A26" w:rsidP="008E2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86D" w:rsidRDefault="00B11803">
    <w:pPr>
      <w:pStyle w:val="Piedepgina"/>
      <w:jc w:val="center"/>
    </w:pPr>
    <w:r w:rsidRPr="00DC686D">
      <w:rPr>
        <w:rFonts w:ascii="Verdana" w:hAnsi="Verdana"/>
        <w:sz w:val="20"/>
        <w:szCs w:val="20"/>
      </w:rPr>
      <w:fldChar w:fldCharType="begin"/>
    </w:r>
    <w:r w:rsidR="00DC686D" w:rsidRPr="00DC686D">
      <w:rPr>
        <w:rFonts w:ascii="Verdana" w:hAnsi="Verdana"/>
        <w:sz w:val="20"/>
        <w:szCs w:val="20"/>
      </w:rPr>
      <w:instrText xml:space="preserve"> PAGE   \* MERGEFORMAT </w:instrText>
    </w:r>
    <w:r w:rsidRPr="00DC686D">
      <w:rPr>
        <w:rFonts w:ascii="Verdana" w:hAnsi="Verdana"/>
        <w:sz w:val="20"/>
        <w:szCs w:val="20"/>
      </w:rPr>
      <w:fldChar w:fldCharType="separate"/>
    </w:r>
    <w:r w:rsidR="004340B8">
      <w:rPr>
        <w:rFonts w:ascii="Verdana" w:hAnsi="Verdana"/>
        <w:noProof/>
        <w:sz w:val="20"/>
        <w:szCs w:val="20"/>
      </w:rPr>
      <w:t>2</w:t>
    </w:r>
    <w:r w:rsidRPr="00DC686D">
      <w:rPr>
        <w:rFonts w:ascii="Verdana" w:hAnsi="Verdana"/>
        <w:sz w:val="20"/>
        <w:szCs w:val="20"/>
      </w:rPr>
      <w:fldChar w:fldCharType="end"/>
    </w:r>
  </w:p>
  <w:p w:rsidR="00DC686D" w:rsidRDefault="00DC68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26" w:rsidRDefault="002B7A26" w:rsidP="008E24A7">
      <w:pPr>
        <w:spacing w:after="0" w:line="240" w:lineRule="auto"/>
      </w:pPr>
      <w:r>
        <w:separator/>
      </w:r>
    </w:p>
  </w:footnote>
  <w:footnote w:type="continuationSeparator" w:id="0">
    <w:p w:rsidR="002B7A26" w:rsidRDefault="002B7A26" w:rsidP="008E24A7">
      <w:pPr>
        <w:spacing w:after="0" w:line="240" w:lineRule="auto"/>
      </w:pPr>
      <w:r>
        <w:continuationSeparator/>
      </w:r>
    </w:p>
  </w:footnote>
  <w:footnote w:id="1">
    <w:p w:rsidR="00AD2866" w:rsidRPr="00062FC3" w:rsidRDefault="00AD2866" w:rsidP="001F7318">
      <w:pPr>
        <w:pStyle w:val="Textonotapie"/>
        <w:spacing w:after="240"/>
        <w:jc w:val="both"/>
        <w:rPr>
          <w:rFonts w:ascii="Verdana" w:hAnsi="Verdana"/>
          <w:sz w:val="16"/>
          <w:lang w:val="en-US"/>
        </w:rPr>
      </w:pPr>
      <w:r w:rsidRPr="00062FC3">
        <w:rPr>
          <w:rStyle w:val="Refdenotaalpie"/>
          <w:rFonts w:ascii="Verdana" w:hAnsi="Verdana"/>
          <w:sz w:val="16"/>
        </w:rPr>
        <w:footnoteRef/>
      </w:r>
      <w:r w:rsidRPr="00062FC3">
        <w:rPr>
          <w:rFonts w:ascii="Verdana" w:hAnsi="Verdana"/>
          <w:sz w:val="16"/>
          <w:lang w:val="en-US"/>
        </w:rPr>
        <w:t xml:space="preserve"> </w:t>
      </w:r>
      <w:r w:rsidRPr="00062FC3">
        <w:rPr>
          <w:rFonts w:ascii="Verdana" w:hAnsi="Verdana" w:cs="Calibri"/>
          <w:sz w:val="16"/>
          <w:lang w:val="en-US"/>
        </w:rPr>
        <w:t xml:space="preserve"> Particularly in the Dissenting opinions of July 15, 2011, regarding the Orders of the Court in “</w:t>
      </w:r>
      <w:r w:rsidRPr="00062FC3">
        <w:rPr>
          <w:rFonts w:ascii="Verdana" w:hAnsi="Verdana" w:cs="Calibri"/>
          <w:i/>
          <w:sz w:val="16"/>
          <w:lang w:val="en-US"/>
        </w:rPr>
        <w:t>Provisional Measures regarding the Republic of Colombia, Case of Gutiérrez Soler V. Colombia,</w:t>
      </w:r>
      <w:r w:rsidRPr="00062FC3">
        <w:rPr>
          <w:rFonts w:ascii="Verdana" w:hAnsi="Verdana" w:cs="Calibri"/>
          <w:sz w:val="16"/>
          <w:lang w:val="en-US"/>
        </w:rPr>
        <w:t>” of June 30, 2011; “</w:t>
      </w:r>
      <w:r w:rsidRPr="00062FC3">
        <w:rPr>
          <w:rFonts w:ascii="Verdana" w:hAnsi="Verdana" w:cs="Calibri"/>
          <w:i/>
          <w:sz w:val="16"/>
          <w:lang w:val="en-US"/>
        </w:rPr>
        <w:t>Provisional Measures regarding the United States of Mexico, Case of Rosendo Cantú et al. V. Mexico,</w:t>
      </w:r>
      <w:r w:rsidRPr="00062FC3">
        <w:rPr>
          <w:rFonts w:ascii="Verdana" w:hAnsi="Verdana" w:cs="Calibri"/>
          <w:sz w:val="16"/>
          <w:lang w:val="en-US"/>
        </w:rPr>
        <w:t>” of July 1, 2011, and “</w:t>
      </w:r>
      <w:r w:rsidRPr="00062FC3">
        <w:rPr>
          <w:rFonts w:ascii="Verdana" w:hAnsi="Verdana" w:cs="Calibri"/>
          <w:i/>
          <w:sz w:val="16"/>
          <w:lang w:val="en-US"/>
        </w:rPr>
        <w:t>Provisional Measures regarding the Republic of Honduras, Case of Kawas Fernández V. Honduras,</w:t>
      </w:r>
      <w:r w:rsidRPr="00062FC3">
        <w:rPr>
          <w:rFonts w:ascii="Verdana" w:hAnsi="Verdana" w:cs="Calibri"/>
          <w:sz w:val="16"/>
          <w:lang w:val="en-US"/>
        </w:rPr>
        <w:t xml:space="preserve">” of July 5, 2011, and the brief  en the </w:t>
      </w:r>
      <w:r w:rsidRPr="00062FC3">
        <w:rPr>
          <w:rFonts w:ascii="Verdana" w:hAnsi="Verdana" w:cs="Calibri"/>
          <w:i/>
          <w:sz w:val="16"/>
          <w:lang w:val="en-US"/>
        </w:rPr>
        <w:t xml:space="preserve">Complaint brief, </w:t>
      </w:r>
      <w:r w:rsidRPr="00062FC3">
        <w:rPr>
          <w:rFonts w:ascii="Verdana" w:hAnsi="Verdana" w:cs="Calibri"/>
          <w:sz w:val="16"/>
          <w:lang w:val="en-US"/>
        </w:rPr>
        <w:t>related to the Orders, filed before the Court on August 17, 2011.</w:t>
      </w:r>
    </w:p>
  </w:footnote>
  <w:footnote w:id="2">
    <w:p w:rsidR="00AD2866" w:rsidRPr="00062FC3" w:rsidRDefault="00AD2866" w:rsidP="0030468C">
      <w:pPr>
        <w:pStyle w:val="Textonotapie"/>
        <w:jc w:val="both"/>
        <w:rPr>
          <w:rFonts w:ascii="Verdana" w:hAnsi="Verdana" w:cs="Tahoma"/>
          <w:i/>
          <w:sz w:val="16"/>
          <w:lang w:val="en-US"/>
        </w:rPr>
      </w:pPr>
      <w:r w:rsidRPr="00062FC3">
        <w:rPr>
          <w:rStyle w:val="Refdenotaalpie"/>
          <w:rFonts w:ascii="Verdana" w:hAnsi="Verdana"/>
          <w:sz w:val="16"/>
        </w:rPr>
        <w:footnoteRef/>
      </w:r>
      <w:r w:rsidRPr="00062FC3">
        <w:rPr>
          <w:rFonts w:ascii="Verdana" w:hAnsi="Verdana"/>
          <w:sz w:val="16"/>
          <w:lang w:val="en-US"/>
        </w:rPr>
        <w:t xml:space="preserve"> </w:t>
      </w:r>
      <w:proofErr w:type="gramStart"/>
      <w:r w:rsidRPr="00062FC3">
        <w:rPr>
          <w:rFonts w:ascii="Verdana" w:hAnsi="Verdana"/>
          <w:sz w:val="16"/>
          <w:lang w:val="en-US"/>
        </w:rPr>
        <w:t>Art.62(</w:t>
      </w:r>
      <w:proofErr w:type="gramEnd"/>
      <w:r w:rsidRPr="00062FC3">
        <w:rPr>
          <w:rFonts w:ascii="Verdana" w:hAnsi="Verdana"/>
          <w:sz w:val="16"/>
          <w:lang w:val="en-US"/>
        </w:rPr>
        <w:t xml:space="preserve">3) of the Convention. </w:t>
      </w:r>
      <w:r w:rsidRPr="00062FC3">
        <w:rPr>
          <w:rFonts w:ascii="Verdana" w:hAnsi="Verdana"/>
          <w:i/>
          <w:sz w:val="16"/>
          <w:lang w:val="en-US"/>
        </w:rPr>
        <w:t>“</w:t>
      </w:r>
      <w:r w:rsidRPr="00062FC3">
        <w:rPr>
          <w:rFonts w:ascii="Verdana" w:eastAsia="Cambria" w:hAnsi="Verdana"/>
          <w:i/>
          <w:color w:val="000000"/>
          <w:sz w:val="16"/>
          <w:szCs w:val="12"/>
          <w:lang w:val="en-US"/>
        </w:rPr>
        <w:t>The jurisdiction of the Court shall comprise all cases concerning the interpretation and application of the provisions of this Convention that are submitted to it, provided that the States Parties to the case recognize or have recognized such jurisdiction, whether by special declaration pursuant to the preceding paragraphs, or by a special agreement</w:t>
      </w:r>
      <w:r w:rsidRPr="00062FC3">
        <w:rPr>
          <w:rFonts w:ascii="Verdana" w:hAnsi="Verdana" w:cs="Tahoma"/>
          <w:i/>
          <w:sz w:val="16"/>
          <w:lang w:val="en-US"/>
        </w:rPr>
        <w:t xml:space="preserve">.” </w:t>
      </w:r>
    </w:p>
    <w:p w:rsidR="00AD2866" w:rsidRPr="00062FC3" w:rsidRDefault="00AD2866" w:rsidP="0030468C">
      <w:pPr>
        <w:pStyle w:val="Textonotapie"/>
        <w:jc w:val="both"/>
        <w:rPr>
          <w:rFonts w:ascii="Verdana" w:hAnsi="Verdana" w:cs="Tahoma"/>
          <w:i/>
          <w:sz w:val="16"/>
          <w:lang w:val="en-US"/>
        </w:rPr>
      </w:pPr>
    </w:p>
  </w:footnote>
  <w:footnote w:id="3">
    <w:p w:rsidR="00AD2866" w:rsidRPr="00062FC3" w:rsidRDefault="00AD2866" w:rsidP="005B5C81">
      <w:pPr>
        <w:spacing w:after="0" w:line="240" w:lineRule="auto"/>
        <w:jc w:val="both"/>
        <w:rPr>
          <w:rFonts w:ascii="Verdana" w:eastAsia="Cambria" w:hAnsi="Verdana"/>
          <w:i/>
          <w:sz w:val="16"/>
          <w:szCs w:val="20"/>
          <w:lang w:val="en-US"/>
        </w:rPr>
      </w:pPr>
      <w:r w:rsidRPr="00826438">
        <w:rPr>
          <w:rStyle w:val="Refdenotaalpie"/>
          <w:rFonts w:ascii="Verdana" w:hAnsi="Verdana"/>
          <w:sz w:val="16"/>
          <w:szCs w:val="20"/>
        </w:rPr>
        <w:footnoteRef/>
      </w:r>
      <w:r w:rsidRPr="00062FC3">
        <w:rPr>
          <w:rFonts w:ascii="Verdana" w:hAnsi="Verdana"/>
          <w:i/>
          <w:sz w:val="16"/>
          <w:szCs w:val="20"/>
          <w:lang w:val="en-US"/>
        </w:rPr>
        <w:t xml:space="preserve"> </w:t>
      </w:r>
      <w:r w:rsidRPr="00062FC3">
        <w:rPr>
          <w:rFonts w:ascii="Verdana" w:hAnsi="Verdana" w:cs="Arial"/>
          <w:i/>
          <w:sz w:val="16"/>
          <w:szCs w:val="20"/>
          <w:lang w:val="en-US"/>
        </w:rPr>
        <w:t> “</w:t>
      </w:r>
      <w:r w:rsidRPr="00062FC3">
        <w:rPr>
          <w:rFonts w:ascii="Verdana" w:eastAsia="Cambria" w:hAnsi="Verdana"/>
          <w:i/>
          <w:color w:val="000000"/>
          <w:sz w:val="16"/>
          <w:szCs w:val="12"/>
          <w:lang w:val="en-US"/>
        </w:rPr>
        <w:t>In cases of extreme gravity and urgency, and when necessary to avoid irreparable damage to persons, the Court shall adopt such provisional measures as it deems pertinent in matters it has under consideration. With respect to a case not yet submitted to the Court, it may act at the request of the Commission.</w:t>
      </w:r>
      <w:r w:rsidRPr="00062FC3">
        <w:rPr>
          <w:rFonts w:ascii="Verdana" w:hAnsi="Verdana" w:cs="Arial"/>
          <w:i/>
          <w:sz w:val="16"/>
          <w:szCs w:val="20"/>
          <w:lang w:val="en-US"/>
        </w:rPr>
        <w:t>”</w:t>
      </w:r>
    </w:p>
    <w:p w:rsidR="00AD2866" w:rsidRPr="00062FC3" w:rsidRDefault="00AD2866" w:rsidP="001F7318">
      <w:pPr>
        <w:pStyle w:val="Textonotapie"/>
        <w:jc w:val="both"/>
        <w:rPr>
          <w:rFonts w:ascii="Verdana" w:hAnsi="Verdana"/>
          <w:sz w:val="16"/>
          <w:lang w:val="en-US"/>
        </w:rPr>
      </w:pPr>
    </w:p>
  </w:footnote>
  <w:footnote w:id="4">
    <w:p w:rsidR="00AD2866" w:rsidRPr="00062FC3" w:rsidRDefault="00AD2866" w:rsidP="00210198">
      <w:pPr>
        <w:pStyle w:val="Textonotapie"/>
        <w:jc w:val="both"/>
        <w:rPr>
          <w:rFonts w:ascii="Verdana" w:hAnsi="Verdana"/>
          <w:i/>
          <w:sz w:val="16"/>
          <w:lang w:val="en-US"/>
        </w:rPr>
      </w:pPr>
      <w:r w:rsidRPr="00826438">
        <w:rPr>
          <w:rStyle w:val="Refdenotaalpie"/>
          <w:rFonts w:ascii="Verdana" w:hAnsi="Verdana"/>
          <w:sz w:val="16"/>
        </w:rPr>
        <w:footnoteRef/>
      </w:r>
      <w:r w:rsidRPr="00062FC3">
        <w:rPr>
          <w:rFonts w:ascii="Verdana" w:hAnsi="Verdana"/>
          <w:i/>
          <w:sz w:val="16"/>
          <w:lang w:val="en-US"/>
        </w:rPr>
        <w:t xml:space="preserve"> </w:t>
      </w:r>
      <w:r w:rsidRPr="00062FC3">
        <w:rPr>
          <w:rFonts w:ascii="Verdana" w:hAnsi="Verdana"/>
          <w:sz w:val="16"/>
          <w:lang w:val="en-US"/>
        </w:rPr>
        <w:t>Art. 27, 1 and 2: “</w:t>
      </w:r>
      <w:r w:rsidRPr="00062FC3">
        <w:rPr>
          <w:rFonts w:ascii="Verdana" w:hAnsi="Verdana"/>
          <w:i/>
          <w:sz w:val="16"/>
          <w:lang w:val="en-US"/>
        </w:rPr>
        <w:t xml:space="preserve">1. At any stage of proceedings involving cases of extreme gravity and urgency, and when necessary to avoid irreparable damage to persons, the Court may, on its own motion, order such provisional measures as it deems appropriate, pursuant to Article 63(2) of the Convention. </w:t>
      </w:r>
    </w:p>
    <w:p w:rsidR="00AD2866" w:rsidRPr="00062FC3" w:rsidRDefault="00AD2866" w:rsidP="00210198">
      <w:pPr>
        <w:pStyle w:val="Textonotapie"/>
        <w:jc w:val="both"/>
        <w:rPr>
          <w:rFonts w:ascii="Verdana" w:hAnsi="Verdana"/>
          <w:i/>
          <w:sz w:val="16"/>
          <w:lang w:val="en-US"/>
        </w:rPr>
      </w:pPr>
      <w:r w:rsidRPr="00062FC3">
        <w:rPr>
          <w:rFonts w:ascii="Verdana" w:hAnsi="Verdana"/>
          <w:i/>
          <w:sz w:val="16"/>
          <w:lang w:val="en-US"/>
        </w:rPr>
        <w:t>2. With respect to matters not yet submitted to it, the Court may act at the request of the Commission”</w:t>
      </w:r>
    </w:p>
    <w:p w:rsidR="00AD2866" w:rsidRPr="00062FC3" w:rsidRDefault="00AD2866" w:rsidP="001F7318">
      <w:pPr>
        <w:pStyle w:val="Textonotapie"/>
        <w:jc w:val="both"/>
        <w:rPr>
          <w:rFonts w:ascii="Verdana" w:hAnsi="Verdana"/>
          <w:sz w:val="16"/>
          <w:lang w:val="en-US"/>
        </w:rPr>
      </w:pPr>
    </w:p>
  </w:footnote>
  <w:footnote w:id="5">
    <w:p w:rsidR="00AD2866" w:rsidRPr="00062FC3" w:rsidRDefault="00AD2866" w:rsidP="001F7318">
      <w:pPr>
        <w:pStyle w:val="Textonotapie"/>
        <w:jc w:val="both"/>
        <w:rPr>
          <w:rFonts w:ascii="Verdana" w:hAnsi="Verdana" w:cs="Arial"/>
          <w:sz w:val="16"/>
          <w:lang w:val="en-US"/>
        </w:rPr>
      </w:pPr>
      <w:r w:rsidRPr="00062FC3">
        <w:rPr>
          <w:rStyle w:val="Refdenotaalpie"/>
          <w:rFonts w:ascii="Verdana" w:hAnsi="Verdana"/>
          <w:sz w:val="16"/>
        </w:rPr>
        <w:footnoteRef/>
      </w:r>
      <w:r w:rsidRPr="00062FC3">
        <w:rPr>
          <w:rFonts w:ascii="Verdana" w:hAnsi="Verdana"/>
          <w:sz w:val="16"/>
          <w:lang w:val="en-US"/>
        </w:rPr>
        <w:t xml:space="preserve"> “Case” and “matter” are, in this regard, synon</w:t>
      </w:r>
      <w:r w:rsidR="00C60E68">
        <w:rPr>
          <w:rFonts w:ascii="Verdana" w:hAnsi="Verdana"/>
          <w:sz w:val="16"/>
          <w:lang w:val="en-US"/>
        </w:rPr>
        <w:t>y</w:t>
      </w:r>
      <w:r w:rsidRPr="00062FC3">
        <w:rPr>
          <w:rFonts w:ascii="Verdana" w:hAnsi="Verdana"/>
          <w:sz w:val="16"/>
          <w:lang w:val="en-US"/>
        </w:rPr>
        <w:t>ms pursuant to the Convention, and it alludes to “</w:t>
      </w:r>
      <w:r w:rsidRPr="00062FC3">
        <w:rPr>
          <w:rFonts w:ascii="Verdana" w:hAnsi="Verdana"/>
          <w:i/>
          <w:sz w:val="16"/>
          <w:lang w:val="en-US"/>
        </w:rPr>
        <w:t xml:space="preserve">matters” </w:t>
      </w:r>
      <w:r w:rsidRPr="00062FC3">
        <w:rPr>
          <w:rFonts w:ascii="Verdana" w:hAnsi="Verdana"/>
          <w:sz w:val="16"/>
          <w:lang w:val="en-US"/>
        </w:rPr>
        <w:t>only in the text of Article 63(2), while in five other provisions it refers to “</w:t>
      </w:r>
      <w:r w:rsidRPr="00062FC3">
        <w:rPr>
          <w:rFonts w:ascii="Verdana" w:hAnsi="Verdana"/>
          <w:i/>
          <w:sz w:val="16"/>
          <w:lang w:val="en-US"/>
        </w:rPr>
        <w:t>cases”</w:t>
      </w:r>
      <w:r w:rsidRPr="00062FC3">
        <w:rPr>
          <w:rFonts w:ascii="Verdana" w:hAnsi="Verdana"/>
          <w:sz w:val="16"/>
          <w:lang w:val="en-US"/>
        </w:rPr>
        <w:t xml:space="preserve"> </w:t>
      </w:r>
      <w:r w:rsidRPr="00062FC3">
        <w:rPr>
          <w:rFonts w:ascii="Verdana" w:hAnsi="Verdana" w:cs="Arial"/>
          <w:sz w:val="16"/>
          <w:lang w:val="en-US"/>
        </w:rPr>
        <w:t xml:space="preserve">(Art.57: power to appear before the Court, Art. 61 its jurisdiction, Art. 65: the obligation to report its work to the General Assembly of American States yearly, Art.68(1):  the obligation to comply with the judgments and Art. 69: provide notification. But, it is also in the Statute of the Court, where in two of its provisions it refers to “matters.” In one, it refers to the powers of the President of the Court, which may apply to the advisory opinions of the Court as well as administrative matters (Art. 12(2)), and in the others, it refers to the contentious jurisdiction (Art. 19(1), (2) and (3)), and impediments and powers of the judges in contentious matters). Also, the Rules of Procedure of the Court, approved by it, uses the text “case” in 32 of its articles (Arts, 2(3), 2(17), 16, </w:t>
      </w:r>
      <w:r w:rsidRPr="00062FC3">
        <w:rPr>
          <w:rFonts w:ascii="Verdana" w:hAnsi="Verdana" w:cs="Arial"/>
          <w:bCs/>
          <w:sz w:val="16"/>
          <w:lang w:val="en-US"/>
        </w:rPr>
        <w:t xml:space="preserve">17, 19, </w:t>
      </w:r>
      <w:r w:rsidRPr="00062FC3">
        <w:rPr>
          <w:rFonts w:ascii="Verdana" w:hAnsi="Verdana" w:cs="Arial"/>
          <w:sz w:val="16"/>
          <w:lang w:val="en-US"/>
        </w:rPr>
        <w:t xml:space="preserve"> </w:t>
      </w:r>
      <w:r w:rsidRPr="00062FC3">
        <w:rPr>
          <w:rFonts w:ascii="Verdana" w:hAnsi="Verdana" w:cs="Arial"/>
          <w:bCs/>
          <w:sz w:val="16"/>
          <w:lang w:val="en-US"/>
        </w:rPr>
        <w:t xml:space="preserve">20, </w:t>
      </w:r>
      <w:r w:rsidRPr="00062FC3">
        <w:rPr>
          <w:rFonts w:ascii="Verdana" w:hAnsi="Verdana" w:cs="Arial"/>
          <w:sz w:val="16"/>
          <w:lang w:val="en-US"/>
        </w:rPr>
        <w:t xml:space="preserve"> </w:t>
      </w:r>
      <w:r w:rsidRPr="00062FC3">
        <w:rPr>
          <w:rFonts w:ascii="Verdana" w:hAnsi="Verdana" w:cs="Arial"/>
          <w:bCs/>
          <w:sz w:val="16"/>
          <w:lang w:val="en-US"/>
        </w:rPr>
        <w:t xml:space="preserve">21, 22, 23, </w:t>
      </w:r>
      <w:r w:rsidRPr="00062FC3">
        <w:rPr>
          <w:rFonts w:ascii="Verdana" w:hAnsi="Verdana" w:cs="Arial"/>
          <w:sz w:val="16"/>
          <w:lang w:val="en-US"/>
        </w:rPr>
        <w:t xml:space="preserve"> </w:t>
      </w:r>
      <w:r w:rsidRPr="00062FC3">
        <w:rPr>
          <w:rFonts w:ascii="Verdana" w:hAnsi="Verdana" w:cs="Arial"/>
          <w:bCs/>
          <w:sz w:val="16"/>
          <w:lang w:val="en-US"/>
        </w:rPr>
        <w:t>25, 26,</w:t>
      </w:r>
      <w:r w:rsidRPr="00062FC3">
        <w:rPr>
          <w:rFonts w:ascii="Verdana" w:hAnsi="Verdana" w:cs="Arial"/>
          <w:sz w:val="16"/>
          <w:lang w:val="en-US"/>
        </w:rPr>
        <w:t xml:space="preserve"> 27(3), </w:t>
      </w:r>
      <w:r w:rsidRPr="00062FC3">
        <w:rPr>
          <w:rFonts w:ascii="Verdana" w:hAnsi="Verdana" w:cs="Arial"/>
          <w:bCs/>
          <w:sz w:val="16"/>
          <w:lang w:val="en-US"/>
        </w:rPr>
        <w:t xml:space="preserve">30, </w:t>
      </w:r>
      <w:r w:rsidRPr="00062FC3">
        <w:rPr>
          <w:rFonts w:ascii="Verdana" w:hAnsi="Verdana" w:cs="Arial"/>
          <w:sz w:val="16"/>
          <w:lang w:val="en-US"/>
        </w:rPr>
        <w:t xml:space="preserve"> </w:t>
      </w:r>
      <w:r w:rsidRPr="00062FC3">
        <w:rPr>
          <w:rFonts w:ascii="Verdana" w:hAnsi="Verdana" w:cs="Arial"/>
          <w:bCs/>
          <w:sz w:val="16"/>
          <w:lang w:val="en-US"/>
        </w:rPr>
        <w:t xml:space="preserve">32, 34, </w:t>
      </w:r>
      <w:r w:rsidRPr="00062FC3">
        <w:rPr>
          <w:rFonts w:ascii="Verdana" w:hAnsi="Verdana" w:cs="Arial"/>
          <w:sz w:val="16"/>
          <w:lang w:val="en-US"/>
        </w:rPr>
        <w:t xml:space="preserve"> </w:t>
      </w:r>
      <w:r w:rsidRPr="00062FC3">
        <w:rPr>
          <w:rFonts w:ascii="Verdana" w:hAnsi="Verdana" w:cs="Arial"/>
          <w:bCs/>
          <w:sz w:val="16"/>
          <w:lang w:val="en-US"/>
        </w:rPr>
        <w:t xml:space="preserve">35, 36, 37, 38, </w:t>
      </w:r>
      <w:r w:rsidRPr="00062FC3">
        <w:rPr>
          <w:rFonts w:ascii="Verdana" w:hAnsi="Verdana" w:cs="Arial"/>
          <w:sz w:val="16"/>
          <w:lang w:val="en-US"/>
        </w:rPr>
        <w:t xml:space="preserve"> </w:t>
      </w:r>
      <w:r w:rsidRPr="00062FC3">
        <w:rPr>
          <w:rFonts w:ascii="Verdana" w:hAnsi="Verdana" w:cs="Arial"/>
          <w:bCs/>
          <w:sz w:val="16"/>
          <w:lang w:val="en-US"/>
        </w:rPr>
        <w:t xml:space="preserve">39(1), 39(2), 39(4), 40(1), 40(2),  41(2), </w:t>
      </w:r>
      <w:r w:rsidRPr="00062FC3">
        <w:rPr>
          <w:rFonts w:ascii="Verdana" w:hAnsi="Verdana" w:cs="Arial"/>
          <w:sz w:val="16"/>
          <w:lang w:val="en-US"/>
        </w:rPr>
        <w:t xml:space="preserve"> </w:t>
      </w:r>
      <w:r w:rsidRPr="00062FC3">
        <w:rPr>
          <w:rFonts w:ascii="Verdana" w:hAnsi="Verdana" w:cs="Arial"/>
          <w:bCs/>
          <w:sz w:val="16"/>
          <w:lang w:val="en-US"/>
        </w:rPr>
        <w:t>42(6), 43, 44(1), 44(3), 48(1)(b),(d),(e), 51(1) and 51(10).</w:t>
      </w:r>
      <w:r w:rsidRPr="00062FC3">
        <w:rPr>
          <w:rFonts w:ascii="Verdana" w:hAnsi="Verdana" w:cs="Arial"/>
          <w:sz w:val="16"/>
          <w:lang w:val="en-US"/>
        </w:rPr>
        <w:t xml:space="preserve"> And only in one article, specifically Article 27(2), regarding provisional measures ordered per request of the Commission, does it use the term “matter”.</w:t>
      </w:r>
    </w:p>
    <w:p w:rsidR="00AD2866" w:rsidRPr="00062FC3" w:rsidRDefault="00AD2866" w:rsidP="001F7318">
      <w:pPr>
        <w:pStyle w:val="Textonotapie"/>
        <w:jc w:val="both"/>
        <w:rPr>
          <w:rFonts w:ascii="Verdana" w:hAnsi="Verdana" w:cs="Arial"/>
          <w:sz w:val="16"/>
          <w:lang w:val="en-US"/>
        </w:rPr>
      </w:pPr>
    </w:p>
  </w:footnote>
  <w:footnote w:id="6">
    <w:p w:rsidR="00AD2866" w:rsidRPr="00062FC3" w:rsidRDefault="00AD2866" w:rsidP="00915D37">
      <w:pPr>
        <w:pStyle w:val="Textonotapie"/>
        <w:jc w:val="both"/>
        <w:rPr>
          <w:rFonts w:ascii="Verdana" w:hAnsi="Verdana" w:cs="Arial"/>
          <w:i/>
          <w:sz w:val="16"/>
          <w:lang w:val="en-US"/>
        </w:rPr>
      </w:pPr>
      <w:r w:rsidRPr="00062FC3">
        <w:rPr>
          <w:rStyle w:val="Refdenotaalpie"/>
          <w:rFonts w:ascii="Verdana" w:hAnsi="Verdana"/>
          <w:sz w:val="16"/>
        </w:rPr>
        <w:footnoteRef/>
      </w:r>
      <w:r w:rsidRPr="00062FC3">
        <w:rPr>
          <w:rFonts w:ascii="Verdana" w:hAnsi="Verdana"/>
          <w:sz w:val="16"/>
          <w:lang w:val="en-US"/>
        </w:rPr>
        <w:t xml:space="preserve"> Art.67, first phrase, of the Convention: </w:t>
      </w:r>
      <w:r w:rsidRPr="00062FC3">
        <w:rPr>
          <w:rFonts w:ascii="Verdana" w:hAnsi="Verdana" w:cs="Arial"/>
          <w:i/>
          <w:sz w:val="16"/>
          <w:lang w:val="en-US"/>
        </w:rPr>
        <w:t xml:space="preserve">“[t]he </w:t>
      </w:r>
      <w:r w:rsidRPr="00062FC3">
        <w:rPr>
          <w:rFonts w:ascii="Verdana" w:eastAsia="Cambria" w:hAnsi="Verdana"/>
          <w:color w:val="000000"/>
          <w:sz w:val="16"/>
          <w:szCs w:val="12"/>
          <w:lang w:val="en-US"/>
        </w:rPr>
        <w:t>judgment of the Court shall be final and not subject to appeal.</w:t>
      </w:r>
      <w:r w:rsidRPr="00062FC3">
        <w:rPr>
          <w:rFonts w:ascii="Verdana" w:eastAsia="Cambria" w:hAnsi="Verdana"/>
          <w:color w:val="000000"/>
          <w:sz w:val="16"/>
          <w:lang w:val="en-US"/>
        </w:rPr>
        <w:t>”</w:t>
      </w:r>
    </w:p>
    <w:p w:rsidR="00AD2866" w:rsidRPr="00062FC3" w:rsidRDefault="00AD2866" w:rsidP="001F7318">
      <w:pPr>
        <w:pStyle w:val="Textonotapie"/>
        <w:jc w:val="both"/>
        <w:rPr>
          <w:rFonts w:ascii="Verdana" w:hAnsi="Verdana"/>
          <w:sz w:val="16"/>
          <w:lang w:val="en-US"/>
        </w:rPr>
      </w:pPr>
    </w:p>
  </w:footnote>
  <w:footnote w:id="7">
    <w:p w:rsidR="00AD2866" w:rsidRPr="00062FC3" w:rsidRDefault="00AD2866" w:rsidP="00915D37">
      <w:pPr>
        <w:pStyle w:val="Textonotapie"/>
        <w:jc w:val="both"/>
        <w:rPr>
          <w:rFonts w:ascii="Verdana" w:hAnsi="Verdana" w:cs="Tahoma"/>
          <w:i/>
          <w:sz w:val="16"/>
          <w:lang w:val="en-US"/>
        </w:rPr>
      </w:pPr>
      <w:r w:rsidRPr="00062FC3">
        <w:rPr>
          <w:rStyle w:val="Refdenotaalpie"/>
          <w:rFonts w:ascii="Verdana" w:hAnsi="Verdana" w:cs="Arial"/>
          <w:sz w:val="16"/>
        </w:rPr>
        <w:footnoteRef/>
      </w:r>
      <w:r w:rsidRPr="00062FC3">
        <w:rPr>
          <w:rFonts w:ascii="Verdana" w:hAnsi="Verdana" w:cs="Arial"/>
          <w:sz w:val="16"/>
          <w:lang w:val="en-US"/>
        </w:rPr>
        <w:t xml:space="preserve"> Art. 67, second phrase</w:t>
      </w:r>
      <w:proofErr w:type="gramStart"/>
      <w:r w:rsidRPr="00062FC3">
        <w:rPr>
          <w:rFonts w:ascii="Verdana" w:hAnsi="Verdana" w:cs="Arial"/>
          <w:sz w:val="16"/>
          <w:lang w:val="en-US"/>
        </w:rPr>
        <w:t>,  of</w:t>
      </w:r>
      <w:proofErr w:type="gramEnd"/>
      <w:r w:rsidRPr="00062FC3">
        <w:rPr>
          <w:rFonts w:ascii="Verdana" w:hAnsi="Verdana" w:cs="Arial"/>
          <w:sz w:val="16"/>
          <w:lang w:val="en-US"/>
        </w:rPr>
        <w:t xml:space="preserve"> the Convention.</w:t>
      </w:r>
      <w:r w:rsidRPr="00062FC3">
        <w:rPr>
          <w:rFonts w:ascii="Verdana" w:hAnsi="Verdana" w:cs="Tahoma"/>
          <w:i/>
          <w:sz w:val="16"/>
          <w:lang w:val="en-US"/>
        </w:rPr>
        <w:t xml:space="preserve"> “</w:t>
      </w:r>
      <w:r w:rsidRPr="00062FC3">
        <w:rPr>
          <w:rFonts w:ascii="Verdana" w:eastAsia="Cambria" w:hAnsi="Verdana"/>
          <w:i/>
          <w:color w:val="000000"/>
          <w:sz w:val="16"/>
          <w:szCs w:val="12"/>
          <w:lang w:val="en-US"/>
        </w:rPr>
        <w:t>In case of disagreement as to the meaning or scope of the judgment, the Court shall interpret it at the request of any of the parties, provided the request is made within ninety days from the date of notification of the judgment.”</w:t>
      </w:r>
    </w:p>
    <w:p w:rsidR="00AD2866" w:rsidRPr="00062FC3" w:rsidRDefault="00AD2866" w:rsidP="007900F6">
      <w:pPr>
        <w:pStyle w:val="Textonotapie"/>
        <w:jc w:val="both"/>
        <w:rPr>
          <w:rFonts w:ascii="Verdana" w:hAnsi="Verdana" w:cs="Arial"/>
          <w:i/>
          <w:sz w:val="16"/>
          <w:lang w:val="en-US"/>
        </w:rPr>
      </w:pPr>
    </w:p>
  </w:footnote>
  <w:footnote w:id="8">
    <w:p w:rsidR="00AD2866" w:rsidRPr="00062FC3" w:rsidRDefault="00AD2866" w:rsidP="005B5C81">
      <w:pPr>
        <w:pStyle w:val="NormalWeb"/>
        <w:spacing w:before="90" w:beforeAutospacing="0" w:after="45" w:afterAutospacing="0"/>
        <w:ind w:right="75"/>
        <w:jc w:val="both"/>
        <w:rPr>
          <w:rFonts w:ascii="Verdana" w:hAnsi="Verdana" w:cs="Tahoma"/>
          <w:i/>
          <w:sz w:val="16"/>
          <w:szCs w:val="20"/>
          <w:lang w:val="en-US"/>
        </w:rPr>
      </w:pPr>
      <w:r w:rsidRPr="00062FC3">
        <w:rPr>
          <w:rStyle w:val="Refdenotaalpie"/>
          <w:rFonts w:ascii="Verdana" w:hAnsi="Verdana" w:cs="Arial"/>
          <w:sz w:val="16"/>
          <w:szCs w:val="20"/>
        </w:rPr>
        <w:footnoteRef/>
      </w:r>
      <w:r w:rsidRPr="00062FC3">
        <w:rPr>
          <w:rFonts w:ascii="Verdana" w:hAnsi="Verdana" w:cs="Arial"/>
          <w:sz w:val="16"/>
          <w:szCs w:val="20"/>
          <w:lang w:val="en-US"/>
        </w:rPr>
        <w:t xml:space="preserve">Art. 65 of the Convention: </w:t>
      </w:r>
      <w:r w:rsidRPr="00062FC3">
        <w:rPr>
          <w:rFonts w:ascii="Verdana" w:hAnsi="Verdana" w:cs="Tahoma"/>
          <w:i/>
          <w:sz w:val="16"/>
          <w:szCs w:val="20"/>
          <w:lang w:val="en-US"/>
        </w:rPr>
        <w:t>“</w:t>
      </w:r>
      <w:r w:rsidRPr="00062FC3">
        <w:rPr>
          <w:rFonts w:ascii="Verdana" w:eastAsia="Cambria" w:hAnsi="Verdana"/>
          <w:i/>
          <w:color w:val="000000"/>
          <w:sz w:val="16"/>
          <w:szCs w:val="12"/>
          <w:lang w:val="en-US"/>
        </w:rPr>
        <w:t>To each regular session of the General Assembly of the Organization of American States the Court shall submit, for the Assembly's consideration, a report on its work during the previous year. It shall specify, in particular, the cases in which a state has not complied with its judgments, making any pertinent recommendations.”</w:t>
      </w:r>
    </w:p>
  </w:footnote>
  <w:footnote w:id="9">
    <w:p w:rsidR="00AD2866" w:rsidRPr="00062FC3" w:rsidRDefault="00AD2866" w:rsidP="00AD2866">
      <w:pPr>
        <w:pStyle w:val="style2"/>
        <w:spacing w:line="240" w:lineRule="auto"/>
        <w:rPr>
          <w:i/>
          <w:sz w:val="16"/>
          <w:szCs w:val="20"/>
          <w:lang w:val="en-US"/>
        </w:rPr>
      </w:pPr>
      <w:r w:rsidRPr="00062FC3">
        <w:rPr>
          <w:rStyle w:val="Refdenotaalpie"/>
          <w:rFonts w:cs="Arial"/>
          <w:sz w:val="16"/>
          <w:szCs w:val="20"/>
        </w:rPr>
        <w:footnoteRef/>
      </w:r>
      <w:r w:rsidRPr="00062FC3">
        <w:rPr>
          <w:rFonts w:cs="Arial"/>
          <w:sz w:val="16"/>
          <w:szCs w:val="20"/>
          <w:lang w:val="en-US"/>
        </w:rPr>
        <w:t xml:space="preserve"> Art. 30 Statute of the Court</w:t>
      </w:r>
      <w:r w:rsidRPr="00062FC3">
        <w:rPr>
          <w:i/>
          <w:sz w:val="16"/>
          <w:szCs w:val="20"/>
          <w:lang w:val="en-US"/>
        </w:rPr>
        <w:t>: “</w:t>
      </w:r>
      <w:r w:rsidRPr="00062FC3">
        <w:rPr>
          <w:rFonts w:eastAsia="Cambria"/>
          <w:i/>
          <w:sz w:val="16"/>
          <w:szCs w:val="27"/>
          <w:shd w:val="clear" w:color="auto" w:fill="FFFFFF"/>
          <w:lang w:val="en-US"/>
        </w:rPr>
        <w:t>The Court shall submit a report on its work of the previous year to each regular session of the OAS General Assembly. It shall indicate those cases in which a State has failed to comply with the Court's ruling. It may also submit to the OAS General Assembly proposals or recommendations on ways to improve the inter-American system of human rights, insofar as they concern the work of the Court.”</w:t>
      </w:r>
    </w:p>
  </w:footnote>
  <w:footnote w:id="10">
    <w:p w:rsidR="00AD2866" w:rsidRPr="00062FC3" w:rsidRDefault="00AD2866" w:rsidP="00AD2866">
      <w:pPr>
        <w:pStyle w:val="Textonotapie"/>
        <w:jc w:val="both"/>
        <w:rPr>
          <w:rFonts w:ascii="Verdana" w:hAnsi="Verdana" w:cs="Arial"/>
          <w:i/>
          <w:sz w:val="16"/>
          <w:lang w:val="en-US"/>
        </w:rPr>
      </w:pPr>
      <w:r w:rsidRPr="00062FC3">
        <w:rPr>
          <w:rStyle w:val="Refdenotaalpie"/>
          <w:rFonts w:ascii="Verdana" w:hAnsi="Verdana" w:cs="Arial"/>
          <w:sz w:val="16"/>
        </w:rPr>
        <w:footnoteRef/>
      </w:r>
      <w:r w:rsidRPr="00062FC3">
        <w:rPr>
          <w:rFonts w:ascii="Verdana" w:hAnsi="Verdana" w:cs="Arial"/>
          <w:sz w:val="16"/>
          <w:lang w:val="en-US"/>
        </w:rPr>
        <w:t xml:space="preserve"> Art. 66</w:t>
      </w:r>
      <w:r w:rsidRPr="00062FC3">
        <w:rPr>
          <w:rFonts w:ascii="Verdana" w:hAnsi="Verdana" w:cs="Arial"/>
          <w:i/>
          <w:sz w:val="16"/>
          <w:lang w:val="en-US"/>
        </w:rPr>
        <w:t xml:space="preserve">: </w:t>
      </w:r>
      <w:r w:rsidRPr="00062FC3">
        <w:rPr>
          <w:rFonts w:ascii="Verdana" w:hAnsi="Verdana" w:cs="Arial"/>
          <w:sz w:val="16"/>
          <w:lang w:val="en-US"/>
        </w:rPr>
        <w:t>“</w:t>
      </w:r>
      <w:r w:rsidRPr="00062FC3">
        <w:rPr>
          <w:rFonts w:ascii="Verdana" w:hAnsi="Verdana" w:cs="Arial"/>
          <w:i/>
          <w:sz w:val="16"/>
          <w:lang w:val="en-US"/>
        </w:rPr>
        <w:t xml:space="preserve">1.When no specific ruling on reparations and costs has been made in the judgment on the merits, the Court shall set the date and determine the procedure for the deferred decision thereon. </w:t>
      </w:r>
    </w:p>
    <w:p w:rsidR="00AD2866" w:rsidRPr="00062FC3" w:rsidRDefault="00AD2866" w:rsidP="00AD2866">
      <w:pPr>
        <w:pStyle w:val="Textonotapie"/>
        <w:jc w:val="both"/>
        <w:rPr>
          <w:rFonts w:ascii="Verdana" w:hAnsi="Verdana" w:cs="Arial"/>
          <w:i/>
          <w:sz w:val="16"/>
          <w:lang w:val="en-US"/>
        </w:rPr>
      </w:pPr>
      <w:r w:rsidRPr="00062FC3">
        <w:rPr>
          <w:rFonts w:ascii="Verdana" w:hAnsi="Verdana" w:cs="Arial"/>
          <w:i/>
          <w:sz w:val="16"/>
          <w:lang w:val="en-US"/>
        </w:rPr>
        <w:t>2. If the Court is informed that the victims or their representatives, the  respondent State, and, if applicable, the petitioning State have reached an agreement with respect to the execution of the judgment on the merits, it shall verify that the agreement accords with the Convention and rule accordingly.”</w:t>
      </w:r>
    </w:p>
    <w:p w:rsidR="00AD2866" w:rsidRPr="00062FC3" w:rsidRDefault="00AD2866" w:rsidP="00AD2866">
      <w:pPr>
        <w:pStyle w:val="Textonotapie"/>
        <w:jc w:val="both"/>
        <w:rPr>
          <w:rFonts w:ascii="Verdana" w:hAnsi="Verdana" w:cs="Arial"/>
          <w:sz w:val="16"/>
          <w:lang w:val="en-US"/>
        </w:rPr>
      </w:pPr>
    </w:p>
  </w:footnote>
  <w:footnote w:id="11">
    <w:p w:rsidR="00AD2866" w:rsidRPr="00062FC3" w:rsidRDefault="00AD2866" w:rsidP="00AD2866">
      <w:pPr>
        <w:pStyle w:val="Textonotapie"/>
        <w:jc w:val="both"/>
        <w:rPr>
          <w:rFonts w:ascii="Verdana" w:hAnsi="Verdana" w:cs="Arial"/>
          <w:sz w:val="16"/>
          <w:lang w:val="en-US"/>
        </w:rPr>
      </w:pPr>
      <w:r w:rsidRPr="00062FC3">
        <w:rPr>
          <w:rStyle w:val="Refdenotaalpie"/>
          <w:rFonts w:ascii="Verdana" w:hAnsi="Verdana" w:cs="Arial"/>
          <w:sz w:val="16"/>
        </w:rPr>
        <w:footnoteRef/>
      </w:r>
      <w:r w:rsidRPr="00062FC3">
        <w:rPr>
          <w:rFonts w:ascii="Verdana" w:hAnsi="Verdana" w:cs="Arial"/>
          <w:sz w:val="16"/>
          <w:lang w:val="en-US"/>
        </w:rPr>
        <w:t xml:space="preserve"> Art. 68: “</w:t>
      </w:r>
      <w:r w:rsidR="00D55215" w:rsidRPr="00062FC3">
        <w:rPr>
          <w:rFonts w:ascii="Verdana" w:hAnsi="Verdana" w:cs="Arial"/>
          <w:i/>
          <w:sz w:val="16"/>
          <w:lang w:val="en-US"/>
        </w:rPr>
        <w:t>“</w:t>
      </w:r>
      <w:r w:rsidRPr="00062FC3">
        <w:rPr>
          <w:rFonts w:ascii="Verdana" w:hAnsi="Verdana" w:cs="Arial"/>
          <w:i/>
          <w:sz w:val="16"/>
          <w:lang w:val="en-US"/>
        </w:rPr>
        <w:t>1. The request for interpretation referred to in Ar</w:t>
      </w:r>
      <w:r w:rsidR="00D55215" w:rsidRPr="00062FC3">
        <w:rPr>
          <w:rFonts w:ascii="Verdana" w:hAnsi="Verdana" w:cs="Arial"/>
          <w:i/>
          <w:sz w:val="16"/>
          <w:lang w:val="en-US"/>
        </w:rPr>
        <w:t xml:space="preserve">ticle 67 of the Convention may </w:t>
      </w:r>
      <w:r w:rsidRPr="00062FC3">
        <w:rPr>
          <w:rFonts w:ascii="Verdana" w:hAnsi="Verdana" w:cs="Arial"/>
          <w:i/>
          <w:sz w:val="16"/>
          <w:lang w:val="en-US"/>
        </w:rPr>
        <w:t>be made in connection with judgments on preliminary</w:t>
      </w:r>
      <w:r w:rsidR="00D55215" w:rsidRPr="00062FC3">
        <w:rPr>
          <w:rFonts w:ascii="Verdana" w:hAnsi="Verdana" w:cs="Arial"/>
          <w:i/>
          <w:sz w:val="16"/>
          <w:lang w:val="en-US"/>
        </w:rPr>
        <w:t xml:space="preserve"> objections, on the merits, or </w:t>
      </w:r>
      <w:r w:rsidRPr="00062FC3">
        <w:rPr>
          <w:rFonts w:ascii="Verdana" w:hAnsi="Verdana" w:cs="Arial"/>
          <w:i/>
          <w:sz w:val="16"/>
          <w:lang w:val="en-US"/>
        </w:rPr>
        <w:t>on reparations and costs, and shall be filed with the Se</w:t>
      </w:r>
      <w:r w:rsidR="00D55215" w:rsidRPr="00062FC3">
        <w:rPr>
          <w:rFonts w:ascii="Verdana" w:hAnsi="Verdana" w:cs="Arial"/>
          <w:i/>
          <w:sz w:val="16"/>
          <w:lang w:val="en-US"/>
        </w:rPr>
        <w:t xml:space="preserve">cretariat. It shall state with </w:t>
      </w:r>
      <w:r w:rsidRPr="00062FC3">
        <w:rPr>
          <w:rFonts w:ascii="Verdana" w:hAnsi="Verdana" w:cs="Arial"/>
          <w:i/>
          <w:sz w:val="16"/>
          <w:lang w:val="en-US"/>
        </w:rPr>
        <w:t xml:space="preserve">precision questions relating to the meaning or </w:t>
      </w:r>
      <w:r w:rsidR="00D55215" w:rsidRPr="00062FC3">
        <w:rPr>
          <w:rFonts w:ascii="Verdana" w:hAnsi="Verdana" w:cs="Arial"/>
          <w:i/>
          <w:sz w:val="16"/>
          <w:lang w:val="en-US"/>
        </w:rPr>
        <w:t xml:space="preserve">scope of the judgment of which </w:t>
      </w:r>
      <w:r w:rsidRPr="00062FC3">
        <w:rPr>
          <w:rFonts w:ascii="Verdana" w:hAnsi="Verdana" w:cs="Arial"/>
          <w:i/>
          <w:sz w:val="16"/>
          <w:lang w:val="en-US"/>
        </w:rPr>
        <w:t xml:space="preserve">interpretation is requested. 2. The Secretary shall transmit the request for interpretation to all those participating in the case and shall invite them to submit any written comments they deem relevant within the time limit established by the Presidency. </w:t>
      </w:r>
    </w:p>
    <w:p w:rsidR="00AD2866" w:rsidRPr="00062FC3" w:rsidRDefault="00AD2866" w:rsidP="00AD2866">
      <w:pPr>
        <w:pStyle w:val="Textonotapie"/>
        <w:jc w:val="both"/>
        <w:rPr>
          <w:rFonts w:ascii="Verdana" w:hAnsi="Verdana" w:cs="Arial"/>
          <w:i/>
          <w:sz w:val="16"/>
          <w:lang w:val="en-US"/>
        </w:rPr>
      </w:pPr>
      <w:r w:rsidRPr="00062FC3">
        <w:rPr>
          <w:rFonts w:ascii="Verdana" w:hAnsi="Verdana" w:cs="Arial"/>
          <w:i/>
          <w:sz w:val="16"/>
          <w:lang w:val="en-US"/>
        </w:rPr>
        <w:t xml:space="preserve">3. When considering a request for interpretation, the Court shall be composed, whenever possible, of the same Judges who delivered the judgment whose interpretation is being sought. However, in the event of death, resignation, impediment, recusal, or disqualification, the judge in question shall be replaced pursuant to Article 17 of these Rules. </w:t>
      </w:r>
    </w:p>
    <w:p w:rsidR="00AD2866" w:rsidRPr="00062FC3" w:rsidRDefault="00AD2866" w:rsidP="00AD2866">
      <w:pPr>
        <w:pStyle w:val="Textonotapie"/>
        <w:jc w:val="both"/>
        <w:rPr>
          <w:rFonts w:ascii="Verdana" w:hAnsi="Verdana" w:cs="Arial"/>
          <w:i/>
          <w:sz w:val="16"/>
          <w:lang w:val="en-US"/>
        </w:rPr>
      </w:pPr>
      <w:r w:rsidRPr="00062FC3">
        <w:rPr>
          <w:rFonts w:ascii="Verdana" w:hAnsi="Verdana" w:cs="Arial"/>
          <w:i/>
          <w:sz w:val="16"/>
          <w:lang w:val="en-US"/>
        </w:rPr>
        <w:t xml:space="preserve">4. A request for interpretation shall not suspend the effect of the judgment. </w:t>
      </w:r>
    </w:p>
    <w:p w:rsidR="00AD2866" w:rsidRPr="00062FC3" w:rsidRDefault="00AD2866" w:rsidP="00AD2866">
      <w:pPr>
        <w:pStyle w:val="Textonotapie"/>
        <w:jc w:val="both"/>
        <w:rPr>
          <w:rFonts w:ascii="Verdana" w:hAnsi="Verdana" w:cs="Arial"/>
          <w:i/>
          <w:sz w:val="16"/>
          <w:lang w:val="en-US"/>
        </w:rPr>
      </w:pPr>
      <w:r w:rsidRPr="00062FC3">
        <w:rPr>
          <w:rFonts w:ascii="Verdana" w:hAnsi="Verdana" w:cs="Arial"/>
          <w:i/>
          <w:sz w:val="16"/>
          <w:lang w:val="en-US"/>
        </w:rPr>
        <w:t>5. The Court shall determine the procedure to be followed and shall render its decision in the form of a judgment.</w:t>
      </w:r>
      <w:r w:rsidR="00D55215" w:rsidRPr="00062FC3">
        <w:rPr>
          <w:rFonts w:ascii="Verdana" w:hAnsi="Verdana" w:cs="Arial"/>
          <w:i/>
          <w:sz w:val="16"/>
          <w:lang w:val="en-US"/>
        </w:rPr>
        <w:t>”</w:t>
      </w:r>
      <w:r w:rsidRPr="00062FC3">
        <w:rPr>
          <w:rFonts w:ascii="Verdana" w:hAnsi="Verdana" w:cs="Arial"/>
          <w:i/>
          <w:sz w:val="16"/>
          <w:lang w:val="en-US"/>
        </w:rPr>
        <w:t xml:space="preserve"> </w:t>
      </w:r>
    </w:p>
    <w:p w:rsidR="00AD2866" w:rsidRPr="00062FC3" w:rsidRDefault="00AD2866" w:rsidP="007900F6">
      <w:pPr>
        <w:pStyle w:val="Textonotapie"/>
        <w:jc w:val="both"/>
        <w:rPr>
          <w:rFonts w:ascii="Verdana" w:hAnsi="Verdana" w:cs="Arial"/>
          <w:i/>
          <w:sz w:val="16"/>
          <w:lang w:val="en-US"/>
        </w:rPr>
      </w:pPr>
    </w:p>
    <w:p w:rsidR="00AD2866" w:rsidRPr="00062FC3" w:rsidRDefault="00AD2866" w:rsidP="007900F6">
      <w:pPr>
        <w:pStyle w:val="Textonotapie"/>
        <w:jc w:val="both"/>
        <w:rPr>
          <w:rFonts w:ascii="Verdana" w:hAnsi="Verdana" w:cs="Arial"/>
          <w:sz w:val="16"/>
          <w:lang w:val="en-US"/>
        </w:rPr>
      </w:pPr>
    </w:p>
  </w:footnote>
  <w:footnote w:id="12">
    <w:p w:rsidR="00980284" w:rsidRPr="00062FC3" w:rsidRDefault="00AD2866" w:rsidP="00980284">
      <w:pPr>
        <w:pStyle w:val="Textonotapie"/>
        <w:jc w:val="both"/>
        <w:rPr>
          <w:rFonts w:ascii="Verdana" w:hAnsi="Verdana" w:cs="Arial"/>
          <w:i/>
          <w:sz w:val="16"/>
          <w:lang w:val="en-US"/>
        </w:rPr>
      </w:pPr>
      <w:r w:rsidRPr="00062FC3">
        <w:rPr>
          <w:rStyle w:val="Refdenotaalpie"/>
          <w:rFonts w:ascii="Verdana" w:hAnsi="Verdana" w:cs="Arial"/>
          <w:sz w:val="16"/>
        </w:rPr>
        <w:footnoteRef/>
      </w:r>
      <w:r w:rsidRPr="00062FC3">
        <w:rPr>
          <w:rFonts w:ascii="Verdana" w:hAnsi="Verdana" w:cs="Arial"/>
          <w:sz w:val="16"/>
          <w:lang w:val="en-US"/>
        </w:rPr>
        <w:t xml:space="preserve"> Art.69: </w:t>
      </w:r>
      <w:proofErr w:type="gramStart"/>
      <w:r w:rsidRPr="00062FC3">
        <w:rPr>
          <w:rFonts w:ascii="Verdana" w:hAnsi="Verdana" w:cs="Arial"/>
          <w:sz w:val="16"/>
          <w:lang w:val="en-US"/>
        </w:rPr>
        <w:t>“</w:t>
      </w:r>
      <w:r w:rsidRPr="00062FC3">
        <w:rPr>
          <w:rFonts w:ascii="Verdana" w:hAnsi="Verdana" w:cs="Arial"/>
          <w:i/>
          <w:sz w:val="16"/>
          <w:lang w:val="en-US"/>
        </w:rPr>
        <w:t xml:space="preserve"> </w:t>
      </w:r>
      <w:r w:rsidR="00980284" w:rsidRPr="00062FC3">
        <w:rPr>
          <w:rFonts w:ascii="Verdana" w:hAnsi="Verdana" w:cs="Arial"/>
          <w:i/>
          <w:sz w:val="16"/>
          <w:lang w:val="en-US"/>
        </w:rPr>
        <w:t>1</w:t>
      </w:r>
      <w:proofErr w:type="gramEnd"/>
      <w:r w:rsidR="00980284" w:rsidRPr="00062FC3">
        <w:rPr>
          <w:rFonts w:ascii="Verdana" w:hAnsi="Verdana" w:cs="Arial"/>
          <w:i/>
          <w:sz w:val="16"/>
          <w:lang w:val="en-US"/>
        </w:rPr>
        <w:t xml:space="preserve">. The procedure for monitoring compliance with the judgments and other decisions of the Court shall be carried out through the submission of reports by the State and observations to those reports by the victims or their legal representatives. The Commission shall present observations to the State’s reports and to the observations of the victims or their representatives. </w:t>
      </w:r>
    </w:p>
    <w:p w:rsidR="00980284" w:rsidRPr="00062FC3" w:rsidRDefault="00980284" w:rsidP="00980284">
      <w:pPr>
        <w:pStyle w:val="Textonotapie"/>
        <w:jc w:val="both"/>
        <w:rPr>
          <w:rFonts w:ascii="Verdana" w:hAnsi="Verdana" w:cs="Arial"/>
          <w:i/>
          <w:sz w:val="16"/>
          <w:lang w:val="en-US"/>
        </w:rPr>
      </w:pPr>
      <w:r w:rsidRPr="00062FC3">
        <w:rPr>
          <w:rFonts w:ascii="Verdana" w:hAnsi="Verdana" w:cs="Arial"/>
          <w:i/>
          <w:sz w:val="16"/>
          <w:lang w:val="en-US"/>
        </w:rPr>
        <w:t xml:space="preserve">2. The Court may require from other sources of information relevant data regarding the case in order to evaluate compliance therewith. To that end, the Tribunal may also request the expert opinions or reports that it considers appropriate. </w:t>
      </w:r>
    </w:p>
    <w:p w:rsidR="00980284" w:rsidRPr="00062FC3" w:rsidRDefault="00980284" w:rsidP="00980284">
      <w:pPr>
        <w:pStyle w:val="Textonotapie"/>
        <w:jc w:val="both"/>
        <w:rPr>
          <w:rFonts w:ascii="Verdana" w:hAnsi="Verdana" w:cs="Arial"/>
          <w:i/>
          <w:sz w:val="16"/>
          <w:lang w:val="en-US"/>
        </w:rPr>
      </w:pPr>
      <w:r w:rsidRPr="00062FC3">
        <w:rPr>
          <w:rFonts w:ascii="Verdana" w:hAnsi="Verdana" w:cs="Arial"/>
          <w:i/>
          <w:sz w:val="16"/>
          <w:lang w:val="en-US"/>
        </w:rPr>
        <w:t xml:space="preserve">3. When it deems it appropriate, the Tribunal may convene the State and the victims’ representatives to a hearing in order to monitor compliance with its decisions; the Court shall hear the opinion of the Commission at that hearing. </w:t>
      </w:r>
    </w:p>
    <w:p w:rsidR="00980284" w:rsidRPr="00062FC3" w:rsidRDefault="00980284" w:rsidP="00980284">
      <w:pPr>
        <w:pStyle w:val="Textonotapie"/>
        <w:jc w:val="both"/>
        <w:rPr>
          <w:rFonts w:ascii="Verdana" w:hAnsi="Verdana" w:cs="Arial"/>
          <w:i/>
          <w:sz w:val="16"/>
          <w:lang w:val="en-US"/>
        </w:rPr>
      </w:pPr>
      <w:r w:rsidRPr="00062FC3">
        <w:rPr>
          <w:rFonts w:ascii="Verdana" w:hAnsi="Verdana" w:cs="Arial"/>
          <w:i/>
          <w:sz w:val="16"/>
          <w:lang w:val="en-US"/>
        </w:rPr>
        <w:t xml:space="preserve">4. Once the Tribunal has obtained all relevant information, it shall determine the state of compliance with its decisions and issue the relevant orders. </w:t>
      </w:r>
    </w:p>
    <w:p w:rsidR="00980284" w:rsidRPr="00062FC3" w:rsidRDefault="00980284" w:rsidP="00980284">
      <w:pPr>
        <w:pStyle w:val="Textonotapie"/>
        <w:jc w:val="both"/>
        <w:rPr>
          <w:rFonts w:ascii="Verdana" w:hAnsi="Verdana" w:cs="Arial"/>
          <w:i/>
          <w:sz w:val="16"/>
          <w:lang w:val="en-US"/>
        </w:rPr>
      </w:pPr>
      <w:r w:rsidRPr="00062FC3">
        <w:rPr>
          <w:rFonts w:ascii="Verdana" w:hAnsi="Verdana" w:cs="Arial"/>
          <w:i/>
          <w:sz w:val="16"/>
          <w:lang w:val="en-US"/>
        </w:rPr>
        <w:t xml:space="preserve">5. These rules also apply to cases that have not been submitted by the Commission.” </w:t>
      </w:r>
    </w:p>
    <w:p w:rsidR="00AD2866" w:rsidRPr="00062FC3" w:rsidRDefault="00AD2866" w:rsidP="00980284">
      <w:pPr>
        <w:pStyle w:val="Textonotapie"/>
        <w:jc w:val="both"/>
        <w:rPr>
          <w:rFonts w:ascii="Verdana" w:hAnsi="Verdana" w:cs="Arial"/>
          <w:i/>
          <w:sz w:val="16"/>
          <w:lang w:val="en-US"/>
        </w:rPr>
      </w:pPr>
    </w:p>
  </w:footnote>
  <w:footnote w:id="13">
    <w:p w:rsidR="00980284" w:rsidRPr="00062FC3" w:rsidRDefault="00AD2866" w:rsidP="003A50EF">
      <w:pPr>
        <w:pStyle w:val="Textonotapie"/>
        <w:jc w:val="both"/>
        <w:rPr>
          <w:rFonts w:ascii="Verdana" w:hAnsi="Verdana" w:cs="Arial"/>
          <w:i/>
          <w:sz w:val="16"/>
          <w:lang w:val="en-US"/>
        </w:rPr>
      </w:pPr>
      <w:r w:rsidRPr="00062FC3">
        <w:rPr>
          <w:rStyle w:val="Refdenotaalpie"/>
          <w:rFonts w:ascii="Verdana" w:hAnsi="Verdana" w:cs="Arial"/>
          <w:sz w:val="16"/>
        </w:rPr>
        <w:footnoteRef/>
      </w:r>
      <w:r w:rsidRPr="00062FC3">
        <w:rPr>
          <w:rFonts w:ascii="Verdana" w:hAnsi="Verdana" w:cs="Arial"/>
          <w:sz w:val="16"/>
          <w:lang w:val="en-US"/>
        </w:rPr>
        <w:t xml:space="preserve"> Art.76:</w:t>
      </w:r>
      <w:r w:rsidR="00980284" w:rsidRPr="00062FC3">
        <w:rPr>
          <w:rFonts w:ascii="Verdana" w:hAnsi="Verdana" w:cs="Arial"/>
          <w:i/>
          <w:sz w:val="16"/>
          <w:lang w:val="en-US"/>
        </w:rPr>
        <w:t xml:space="preserve"> “The Court may, on its own motion or at the request of any of the parties to the case, within one month of the notice of the judgment or order, rectify obvious mistakes, clerical errors, or errors in calculation. The Commission, the victims or their representatives, the respondent State, and, if applicable, the petitioning State shall be notified if an error is rectified.” </w:t>
      </w:r>
    </w:p>
    <w:p w:rsidR="00AD2866" w:rsidRPr="00062FC3" w:rsidRDefault="00AD2866" w:rsidP="007900F6">
      <w:pPr>
        <w:pStyle w:val="Textonotapie"/>
        <w:rPr>
          <w:rFonts w:ascii="Verdana" w:hAnsi="Verdana" w:cs="Arial"/>
          <w:sz w:val="16"/>
          <w:lang w:val="en-US"/>
        </w:rPr>
      </w:pPr>
    </w:p>
  </w:footnote>
  <w:footnote w:id="14">
    <w:p w:rsidR="00AD2866" w:rsidRPr="00062FC3" w:rsidRDefault="00AD2866" w:rsidP="00D329E0">
      <w:pPr>
        <w:pStyle w:val="Textonotapie"/>
        <w:jc w:val="both"/>
        <w:rPr>
          <w:rFonts w:ascii="Verdana" w:hAnsi="Verdana" w:cs="Tahoma"/>
          <w:i/>
          <w:sz w:val="16"/>
          <w:lang w:val="en-US"/>
        </w:rPr>
      </w:pPr>
      <w:r w:rsidRPr="00062FC3">
        <w:rPr>
          <w:rStyle w:val="Refdenotaalpie"/>
          <w:rFonts w:ascii="Verdana" w:hAnsi="Verdana"/>
          <w:sz w:val="16"/>
        </w:rPr>
        <w:footnoteRef/>
      </w:r>
      <w:r w:rsidR="00867EA4">
        <w:rPr>
          <w:rFonts w:ascii="Verdana" w:hAnsi="Verdana"/>
          <w:sz w:val="16"/>
          <w:lang w:val="en-US"/>
        </w:rPr>
        <w:t xml:space="preserve"> Art. 63(</w:t>
      </w:r>
      <w:r w:rsidRPr="00062FC3">
        <w:rPr>
          <w:rFonts w:ascii="Verdana" w:hAnsi="Verdana"/>
          <w:sz w:val="16"/>
          <w:lang w:val="en-US"/>
        </w:rPr>
        <w:t>1</w:t>
      </w:r>
      <w:r w:rsidR="00867EA4">
        <w:rPr>
          <w:rFonts w:ascii="Verdana" w:hAnsi="Verdana"/>
          <w:sz w:val="16"/>
          <w:lang w:val="en-US"/>
        </w:rPr>
        <w:t>)</w:t>
      </w:r>
      <w:r w:rsidRPr="00062FC3">
        <w:rPr>
          <w:rFonts w:ascii="Verdana" w:hAnsi="Verdana"/>
          <w:sz w:val="16"/>
          <w:lang w:val="en-US"/>
        </w:rPr>
        <w:t xml:space="preserve"> of the Convention: </w:t>
      </w:r>
      <w:r w:rsidR="00D329E0" w:rsidRPr="00062FC3">
        <w:rPr>
          <w:rFonts w:ascii="Verdana" w:eastAsia="Cambria" w:hAnsi="Verdana"/>
          <w:color w:val="000000"/>
          <w:sz w:val="16"/>
          <w:lang w:val="en-US"/>
        </w:rPr>
        <w:t>“</w:t>
      </w:r>
      <w:r w:rsidR="00D329E0" w:rsidRPr="00062FC3">
        <w:rPr>
          <w:rFonts w:ascii="Verdana" w:eastAsia="Cambria" w:hAnsi="Verdana"/>
          <w:i/>
          <w:color w:val="000000"/>
          <w:sz w:val="16"/>
          <w:szCs w:val="12"/>
          <w:lang w:val="en-US"/>
        </w:rPr>
        <w:t>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p>
    <w:p w:rsidR="00AD2866" w:rsidRPr="00062FC3" w:rsidRDefault="00AD2866" w:rsidP="001F7318">
      <w:pPr>
        <w:pStyle w:val="Textonotapie"/>
        <w:jc w:val="both"/>
        <w:rPr>
          <w:rFonts w:ascii="Verdana" w:hAnsi="Verdana"/>
          <w:i/>
          <w:sz w:val="16"/>
          <w:lang w:val="en-US"/>
        </w:rPr>
      </w:pPr>
    </w:p>
  </w:footnote>
  <w:footnote w:id="15">
    <w:p w:rsidR="00D329E0" w:rsidRPr="00062FC3" w:rsidRDefault="00AD2866" w:rsidP="00D329E0">
      <w:pPr>
        <w:pStyle w:val="Textonotapie"/>
        <w:spacing w:line="276" w:lineRule="auto"/>
        <w:jc w:val="both"/>
        <w:rPr>
          <w:rFonts w:ascii="Verdana" w:hAnsi="Verdana" w:cs="Tahoma"/>
          <w:i/>
          <w:sz w:val="16"/>
          <w:lang w:val="en-US"/>
        </w:rPr>
      </w:pPr>
      <w:r w:rsidRPr="00062FC3">
        <w:rPr>
          <w:rStyle w:val="Refdenotaalpie"/>
          <w:rFonts w:ascii="Verdana" w:hAnsi="Verdana" w:cs="Arial"/>
          <w:sz w:val="16"/>
        </w:rPr>
        <w:footnoteRef/>
      </w:r>
      <w:r w:rsidR="00867EA4">
        <w:rPr>
          <w:rFonts w:ascii="Verdana" w:hAnsi="Verdana" w:cs="Arial"/>
          <w:sz w:val="16"/>
          <w:lang w:val="en-US"/>
        </w:rPr>
        <w:t xml:space="preserve"> Art. 1(</w:t>
      </w:r>
      <w:r w:rsidRPr="00062FC3">
        <w:rPr>
          <w:rFonts w:ascii="Verdana" w:hAnsi="Verdana" w:cs="Arial"/>
          <w:sz w:val="16"/>
          <w:lang w:val="en-US"/>
        </w:rPr>
        <w:t>1</w:t>
      </w:r>
      <w:r w:rsidR="00867EA4">
        <w:rPr>
          <w:rFonts w:ascii="Verdana" w:hAnsi="Verdana" w:cs="Arial"/>
          <w:sz w:val="16"/>
          <w:lang w:val="en-US"/>
        </w:rPr>
        <w:t>)</w:t>
      </w:r>
      <w:r w:rsidRPr="00062FC3">
        <w:rPr>
          <w:rFonts w:ascii="Verdana" w:hAnsi="Verdana" w:cs="Arial"/>
          <w:sz w:val="16"/>
          <w:lang w:val="en-US"/>
        </w:rPr>
        <w:t xml:space="preserve"> of the Convention</w:t>
      </w:r>
      <w:r w:rsidRPr="00062FC3">
        <w:rPr>
          <w:rFonts w:ascii="Verdana" w:hAnsi="Verdana" w:cs="Tahoma"/>
          <w:sz w:val="16"/>
          <w:lang w:val="en-US"/>
        </w:rPr>
        <w:t>:”</w:t>
      </w:r>
      <w:r w:rsidR="00D329E0" w:rsidRPr="00062FC3">
        <w:rPr>
          <w:rFonts w:ascii="Verdana" w:eastAsia="Cambria" w:hAnsi="Verdana"/>
          <w:color w:val="000000"/>
          <w:sz w:val="16"/>
          <w:szCs w:val="12"/>
          <w:lang w:val="en-US"/>
        </w:rPr>
        <w:t xml:space="preserve"> </w:t>
      </w:r>
      <w:r w:rsidR="00D329E0" w:rsidRPr="00062FC3">
        <w:rPr>
          <w:rFonts w:ascii="Verdana" w:eastAsia="Cambria" w:hAnsi="Verdana"/>
          <w:i/>
          <w:color w:val="000000"/>
          <w:sz w:val="16"/>
          <w:szCs w:val="12"/>
          <w:lang w:val="en-US"/>
        </w:rPr>
        <w: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AD2866" w:rsidRPr="00062FC3" w:rsidRDefault="00AD2866" w:rsidP="009B18CC">
      <w:pPr>
        <w:pStyle w:val="Textonotapie"/>
        <w:spacing w:line="276" w:lineRule="auto"/>
        <w:jc w:val="both"/>
        <w:rPr>
          <w:rFonts w:ascii="Verdana" w:hAnsi="Verdana" w:cs="Arial"/>
          <w:i/>
          <w:sz w:val="16"/>
          <w:lang w:val="en-US"/>
        </w:rPr>
      </w:pPr>
    </w:p>
  </w:footnote>
  <w:footnote w:id="16">
    <w:p w:rsidR="00AD2866" w:rsidRPr="00062FC3" w:rsidRDefault="00AD2866" w:rsidP="009B18CC">
      <w:pPr>
        <w:pStyle w:val="Textonotapie"/>
        <w:rPr>
          <w:rFonts w:ascii="Verdana" w:hAnsi="Verdana"/>
          <w:sz w:val="16"/>
          <w:lang w:val="es-ES"/>
        </w:rPr>
      </w:pPr>
      <w:r w:rsidRPr="00062FC3">
        <w:rPr>
          <w:rStyle w:val="Refdenotaalpie"/>
          <w:rFonts w:ascii="Verdana" w:hAnsi="Verdana"/>
          <w:sz w:val="16"/>
        </w:rPr>
        <w:footnoteRef/>
      </w:r>
      <w:r w:rsidRPr="00062FC3">
        <w:rPr>
          <w:rFonts w:ascii="Verdana" w:hAnsi="Verdana"/>
          <w:sz w:val="16"/>
        </w:rPr>
        <w:t xml:space="preserve"> </w:t>
      </w:r>
      <w:proofErr w:type="gramStart"/>
      <w:r w:rsidRPr="00062FC3">
        <w:rPr>
          <w:rFonts w:ascii="Verdana" w:hAnsi="Verdana"/>
          <w:sz w:val="16"/>
          <w:lang w:val="es-ES"/>
        </w:rPr>
        <w:t>Art.63(</w:t>
      </w:r>
      <w:proofErr w:type="gramEnd"/>
      <w:r w:rsidRPr="00062FC3">
        <w:rPr>
          <w:rFonts w:ascii="Verdana" w:hAnsi="Verdana"/>
          <w:sz w:val="16"/>
          <w:lang w:val="es-ES"/>
        </w:rPr>
        <w:t>2) of the Convention.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7318"/>
    <w:rsid w:val="0004241A"/>
    <w:rsid w:val="00062FC3"/>
    <w:rsid w:val="000E179B"/>
    <w:rsid w:val="000E7D12"/>
    <w:rsid w:val="000F3A7E"/>
    <w:rsid w:val="00150EB5"/>
    <w:rsid w:val="001B1518"/>
    <w:rsid w:val="001F7318"/>
    <w:rsid w:val="00210198"/>
    <w:rsid w:val="00222FF4"/>
    <w:rsid w:val="00243DAF"/>
    <w:rsid w:val="0026239C"/>
    <w:rsid w:val="00285D91"/>
    <w:rsid w:val="002A5DAC"/>
    <w:rsid w:val="002B7A26"/>
    <w:rsid w:val="002C27CE"/>
    <w:rsid w:val="002F2535"/>
    <w:rsid w:val="0030468C"/>
    <w:rsid w:val="0033310A"/>
    <w:rsid w:val="0033384E"/>
    <w:rsid w:val="00343AAE"/>
    <w:rsid w:val="00393C1D"/>
    <w:rsid w:val="003A50EF"/>
    <w:rsid w:val="003C06D5"/>
    <w:rsid w:val="003C277F"/>
    <w:rsid w:val="003C7287"/>
    <w:rsid w:val="003E0143"/>
    <w:rsid w:val="003F1603"/>
    <w:rsid w:val="00431F29"/>
    <w:rsid w:val="004340B8"/>
    <w:rsid w:val="0046432C"/>
    <w:rsid w:val="004B3562"/>
    <w:rsid w:val="004C1EEC"/>
    <w:rsid w:val="004D0551"/>
    <w:rsid w:val="004F468A"/>
    <w:rsid w:val="005B5C81"/>
    <w:rsid w:val="005C108F"/>
    <w:rsid w:val="006608AC"/>
    <w:rsid w:val="00685AE9"/>
    <w:rsid w:val="0069287B"/>
    <w:rsid w:val="006F02C4"/>
    <w:rsid w:val="00733F90"/>
    <w:rsid w:val="007900F6"/>
    <w:rsid w:val="007A38DE"/>
    <w:rsid w:val="007F5209"/>
    <w:rsid w:val="008026BB"/>
    <w:rsid w:val="00826438"/>
    <w:rsid w:val="00847D02"/>
    <w:rsid w:val="00867EA4"/>
    <w:rsid w:val="0088727E"/>
    <w:rsid w:val="008A6C7F"/>
    <w:rsid w:val="008E1DD4"/>
    <w:rsid w:val="008E24A7"/>
    <w:rsid w:val="00915D37"/>
    <w:rsid w:val="00936C9E"/>
    <w:rsid w:val="0093777B"/>
    <w:rsid w:val="00955227"/>
    <w:rsid w:val="00960D9C"/>
    <w:rsid w:val="00980284"/>
    <w:rsid w:val="009A2A66"/>
    <w:rsid w:val="009B18CC"/>
    <w:rsid w:val="00A529BD"/>
    <w:rsid w:val="00A632CD"/>
    <w:rsid w:val="00A67247"/>
    <w:rsid w:val="00A71508"/>
    <w:rsid w:val="00A75D1D"/>
    <w:rsid w:val="00AD2866"/>
    <w:rsid w:val="00AF7D55"/>
    <w:rsid w:val="00B11803"/>
    <w:rsid w:val="00B86670"/>
    <w:rsid w:val="00BB3973"/>
    <w:rsid w:val="00C14E6D"/>
    <w:rsid w:val="00C60E68"/>
    <w:rsid w:val="00C727FD"/>
    <w:rsid w:val="00C8019A"/>
    <w:rsid w:val="00C8576C"/>
    <w:rsid w:val="00C869BA"/>
    <w:rsid w:val="00CA5939"/>
    <w:rsid w:val="00CB094F"/>
    <w:rsid w:val="00CC24A3"/>
    <w:rsid w:val="00CC3F5B"/>
    <w:rsid w:val="00CE394B"/>
    <w:rsid w:val="00D329E0"/>
    <w:rsid w:val="00D45621"/>
    <w:rsid w:val="00D55215"/>
    <w:rsid w:val="00DB0700"/>
    <w:rsid w:val="00DC686D"/>
    <w:rsid w:val="00DD3B29"/>
    <w:rsid w:val="00DE3051"/>
    <w:rsid w:val="00DF6F42"/>
    <w:rsid w:val="00E16EC5"/>
    <w:rsid w:val="00E921B3"/>
    <w:rsid w:val="00EB57F1"/>
    <w:rsid w:val="00F441C0"/>
    <w:rsid w:val="00F6717E"/>
    <w:rsid w:val="00F947D2"/>
  </w:rsids>
  <m:mathPr>
    <m:mathFont m:val="Cambria Math"/>
    <m:brkBin m:val="before"/>
    <m:brkBinSub m:val="--"/>
    <m:smallFrac m:val="0"/>
    <m:dispDef m:val="0"/>
    <m:lMargin m:val="0"/>
    <m:rMargin m:val="0"/>
    <m:defJc m:val="centerGroup"/>
    <m:wrapRight/>
    <m:intLim m:val="subSup"/>
    <m:naryLim m:val="subSup"/>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AR" w:eastAsia="es-AR" w:bidi="ar-SA"/>
      </w:rPr>
    </w:rPrDefault>
    <w:pPrDefault/>
  </w:docDefaults>
  <w:latentStyles w:defLockedState="0" w:defUIPriority="0" w:defSemiHidden="0" w:defUnhideWhenUsed="0" w:defQFormat="0" w:count="267">
    <w:lsdException w:name="footer"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7318"/>
    <w:pPr>
      <w:spacing w:after="200" w:line="276" w:lineRule="auto"/>
    </w:pPr>
    <w:rPr>
      <w:rFonts w:ascii="Calibri" w:eastAsia="Calibri" w:hAnsi="Calibri"/>
      <w:sz w:val="22"/>
      <w:szCs w:val="22"/>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A Fu Car,Footnote Text Char Char Char Char Char Car,Footnote Text Char Char Char Char Car,Footnote reference Car,Footnote Text Char Char Char Car,Footnote Text Cha Car,FA Fußnotentext Car,FA Fuﬂnotentext Car,footnote text Car,Ca Car1"/>
    <w:basedOn w:val="Fuentedeprrafopredeter"/>
    <w:link w:val="Textonotapie"/>
    <w:rsid w:val="001F7318"/>
    <w:rPr>
      <w:rFonts w:ascii="Calibri" w:eastAsia="Calibri" w:hAnsi="Calibri" w:cs="Times New Roman"/>
      <w:sz w:val="20"/>
      <w:szCs w:val="20"/>
      <w:lang w:val="es-CL"/>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ootnote text,Ca,FA Fu Car1,Ca Car,C"/>
    <w:basedOn w:val="Normal"/>
    <w:link w:val="TextonotapieCar"/>
    <w:unhideWhenUsed/>
    <w:rsid w:val="001F7318"/>
    <w:pPr>
      <w:spacing w:after="0" w:line="240" w:lineRule="auto"/>
    </w:pPr>
    <w:rPr>
      <w:sz w:val="20"/>
      <w:szCs w:val="20"/>
    </w:rPr>
  </w:style>
  <w:style w:type="character" w:customStyle="1" w:styleId="EncabezadoCar">
    <w:name w:val="Encabezado Car"/>
    <w:basedOn w:val="Fuentedeprrafopredeter"/>
    <w:link w:val="Encabezado"/>
    <w:uiPriority w:val="99"/>
    <w:semiHidden/>
    <w:rsid w:val="001F7318"/>
    <w:rPr>
      <w:rFonts w:ascii="Calibri" w:eastAsia="Calibri" w:hAnsi="Calibri" w:cs="Times New Roman"/>
      <w:sz w:val="22"/>
      <w:szCs w:val="22"/>
      <w:lang w:val="es-CL"/>
    </w:rPr>
  </w:style>
  <w:style w:type="paragraph" w:styleId="Encabezado">
    <w:name w:val="header"/>
    <w:basedOn w:val="Normal"/>
    <w:link w:val="EncabezadoCar"/>
    <w:uiPriority w:val="99"/>
    <w:semiHidden/>
    <w:unhideWhenUsed/>
    <w:rsid w:val="001F73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318"/>
    <w:rPr>
      <w:rFonts w:ascii="Calibri" w:eastAsia="Calibri" w:hAnsi="Calibri" w:cs="Times New Roman"/>
      <w:sz w:val="22"/>
      <w:szCs w:val="22"/>
      <w:lang w:val="es-CL"/>
    </w:rPr>
  </w:style>
  <w:style w:type="paragraph" w:styleId="Piedepgina">
    <w:name w:val="footer"/>
    <w:basedOn w:val="Normal"/>
    <w:link w:val="PiedepginaCar"/>
    <w:uiPriority w:val="99"/>
    <w:unhideWhenUsed/>
    <w:rsid w:val="001F7318"/>
    <w:pPr>
      <w:tabs>
        <w:tab w:val="center" w:pos="4419"/>
        <w:tab w:val="right" w:pos="8838"/>
      </w:tabs>
      <w:spacing w:after="0" w:line="240" w:lineRule="auto"/>
    </w:pPr>
  </w:style>
  <w:style w:type="character" w:styleId="Refdenotaalpie">
    <w:name w:val="footnote reference"/>
    <w:aliases w:val="Footnotes refss,Texto de nota al pie,Appel note de bas de page,Footnote number,referencia nota al pie,BVI fnr,f"/>
    <w:basedOn w:val="Fuentedeprrafopredeter"/>
    <w:unhideWhenUsed/>
    <w:rsid w:val="001F7318"/>
    <w:rPr>
      <w:vertAlign w:val="superscript"/>
    </w:rPr>
  </w:style>
  <w:style w:type="paragraph" w:styleId="NormalWeb">
    <w:name w:val="Normal (Web)"/>
    <w:basedOn w:val="Normal"/>
    <w:uiPriority w:val="99"/>
    <w:rsid w:val="001F7318"/>
    <w:pPr>
      <w:spacing w:before="100" w:beforeAutospacing="1" w:after="100" w:afterAutospacing="1" w:line="240" w:lineRule="auto"/>
    </w:pPr>
    <w:rPr>
      <w:rFonts w:ascii="Times New Roman" w:eastAsia="Times New Roman" w:hAnsi="Times New Roman"/>
      <w:sz w:val="24"/>
      <w:szCs w:val="24"/>
      <w:lang w:eastAsia="es-CL"/>
    </w:rPr>
  </w:style>
  <w:style w:type="paragraph" w:customStyle="1" w:styleId="style2">
    <w:name w:val="style2"/>
    <w:basedOn w:val="Normal"/>
    <w:rsid w:val="001F7318"/>
    <w:pPr>
      <w:spacing w:before="100" w:beforeAutospacing="1" w:after="100" w:afterAutospacing="1" w:line="204" w:lineRule="atLeast"/>
      <w:jc w:val="both"/>
    </w:pPr>
    <w:rPr>
      <w:rFonts w:ascii="Verdana" w:eastAsia="Times New Roman" w:hAnsi="Verdana"/>
      <w:color w:val="000000"/>
      <w:sz w:val="15"/>
      <w:szCs w:val="15"/>
      <w:lang w:eastAsia="es-CL"/>
    </w:rPr>
  </w:style>
  <w:style w:type="character" w:customStyle="1" w:styleId="apple-converted-space">
    <w:name w:val="apple-converted-space"/>
    <w:basedOn w:val="Fuentedeprrafopredeter"/>
    <w:rsid w:val="00915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4634">
      <w:bodyDiv w:val="1"/>
      <w:marLeft w:val="0"/>
      <w:marRight w:val="0"/>
      <w:marTop w:val="0"/>
      <w:marBottom w:val="0"/>
      <w:divBdr>
        <w:top w:val="none" w:sz="0" w:space="0" w:color="auto"/>
        <w:left w:val="none" w:sz="0" w:space="0" w:color="auto"/>
        <w:bottom w:val="none" w:sz="0" w:space="0" w:color="auto"/>
        <w:right w:val="none" w:sz="0" w:space="0" w:color="auto"/>
      </w:divBdr>
    </w:div>
    <w:div w:id="511142419">
      <w:bodyDiv w:val="1"/>
      <w:marLeft w:val="0"/>
      <w:marRight w:val="0"/>
      <w:marTop w:val="0"/>
      <w:marBottom w:val="0"/>
      <w:divBdr>
        <w:top w:val="none" w:sz="0" w:space="0" w:color="auto"/>
        <w:left w:val="none" w:sz="0" w:space="0" w:color="auto"/>
        <w:bottom w:val="none" w:sz="0" w:space="0" w:color="auto"/>
        <w:right w:val="none" w:sz="0" w:space="0" w:color="auto"/>
      </w:divBdr>
    </w:div>
    <w:div w:id="1174221746">
      <w:bodyDiv w:val="1"/>
      <w:marLeft w:val="0"/>
      <w:marRight w:val="0"/>
      <w:marTop w:val="0"/>
      <w:marBottom w:val="0"/>
      <w:divBdr>
        <w:top w:val="none" w:sz="0" w:space="0" w:color="auto"/>
        <w:left w:val="none" w:sz="0" w:space="0" w:color="auto"/>
        <w:bottom w:val="none" w:sz="0" w:space="0" w:color="auto"/>
        <w:right w:val="none" w:sz="0" w:space="0" w:color="auto"/>
      </w:divBdr>
    </w:div>
    <w:div w:id="1230337497">
      <w:bodyDiv w:val="1"/>
      <w:marLeft w:val="0"/>
      <w:marRight w:val="0"/>
      <w:marTop w:val="0"/>
      <w:marBottom w:val="0"/>
      <w:divBdr>
        <w:top w:val="none" w:sz="0" w:space="0" w:color="auto"/>
        <w:left w:val="none" w:sz="0" w:space="0" w:color="auto"/>
        <w:bottom w:val="none" w:sz="0" w:space="0" w:color="auto"/>
        <w:right w:val="none" w:sz="0" w:space="0" w:color="auto"/>
      </w:divBdr>
    </w:div>
    <w:div w:id="1445418313">
      <w:bodyDiv w:val="1"/>
      <w:marLeft w:val="0"/>
      <w:marRight w:val="0"/>
      <w:marTop w:val="0"/>
      <w:marBottom w:val="0"/>
      <w:divBdr>
        <w:top w:val="none" w:sz="0" w:space="0" w:color="auto"/>
        <w:left w:val="none" w:sz="0" w:space="0" w:color="auto"/>
        <w:bottom w:val="none" w:sz="0" w:space="0" w:color="auto"/>
        <w:right w:val="none" w:sz="0" w:space="0" w:color="auto"/>
      </w:divBdr>
    </w:div>
    <w:div w:id="1463302845">
      <w:bodyDiv w:val="1"/>
      <w:marLeft w:val="0"/>
      <w:marRight w:val="0"/>
      <w:marTop w:val="0"/>
      <w:marBottom w:val="0"/>
      <w:divBdr>
        <w:top w:val="none" w:sz="0" w:space="0" w:color="auto"/>
        <w:left w:val="none" w:sz="0" w:space="0" w:color="auto"/>
        <w:bottom w:val="none" w:sz="0" w:space="0" w:color="auto"/>
        <w:right w:val="none" w:sz="0" w:space="0" w:color="auto"/>
      </w:divBdr>
    </w:div>
    <w:div w:id="1468669986">
      <w:bodyDiv w:val="1"/>
      <w:marLeft w:val="0"/>
      <w:marRight w:val="0"/>
      <w:marTop w:val="0"/>
      <w:marBottom w:val="0"/>
      <w:divBdr>
        <w:top w:val="none" w:sz="0" w:space="0" w:color="auto"/>
        <w:left w:val="none" w:sz="0" w:space="0" w:color="auto"/>
        <w:bottom w:val="none" w:sz="0" w:space="0" w:color="auto"/>
        <w:right w:val="none" w:sz="0" w:space="0" w:color="auto"/>
      </w:divBdr>
    </w:div>
    <w:div w:id="1538816600">
      <w:bodyDiv w:val="1"/>
      <w:marLeft w:val="0"/>
      <w:marRight w:val="0"/>
      <w:marTop w:val="0"/>
      <w:marBottom w:val="0"/>
      <w:divBdr>
        <w:top w:val="none" w:sz="0" w:space="0" w:color="auto"/>
        <w:left w:val="none" w:sz="0" w:space="0" w:color="auto"/>
        <w:bottom w:val="none" w:sz="0" w:space="0" w:color="auto"/>
        <w:right w:val="none" w:sz="0" w:space="0" w:color="auto"/>
      </w:divBdr>
    </w:div>
    <w:div w:id="1653172179">
      <w:bodyDiv w:val="1"/>
      <w:marLeft w:val="0"/>
      <w:marRight w:val="0"/>
      <w:marTop w:val="0"/>
      <w:marBottom w:val="0"/>
      <w:divBdr>
        <w:top w:val="none" w:sz="0" w:space="0" w:color="auto"/>
        <w:left w:val="none" w:sz="0" w:space="0" w:color="auto"/>
        <w:bottom w:val="none" w:sz="0" w:space="0" w:color="auto"/>
        <w:right w:val="none" w:sz="0" w:space="0" w:color="auto"/>
      </w:divBdr>
    </w:div>
    <w:div w:id="1826965910">
      <w:bodyDiv w:val="1"/>
      <w:marLeft w:val="0"/>
      <w:marRight w:val="0"/>
      <w:marTop w:val="0"/>
      <w:marBottom w:val="0"/>
      <w:divBdr>
        <w:top w:val="none" w:sz="0" w:space="0" w:color="auto"/>
        <w:left w:val="none" w:sz="0" w:space="0" w:color="auto"/>
        <w:bottom w:val="none" w:sz="0" w:space="0" w:color="auto"/>
        <w:right w:val="none" w:sz="0" w:space="0" w:color="auto"/>
      </w:divBdr>
    </w:div>
    <w:div w:id="1863321136">
      <w:bodyDiv w:val="1"/>
      <w:marLeft w:val="0"/>
      <w:marRight w:val="0"/>
      <w:marTop w:val="0"/>
      <w:marBottom w:val="0"/>
      <w:divBdr>
        <w:top w:val="none" w:sz="0" w:space="0" w:color="auto"/>
        <w:left w:val="none" w:sz="0" w:space="0" w:color="auto"/>
        <w:bottom w:val="none" w:sz="0" w:space="0" w:color="auto"/>
        <w:right w:val="none" w:sz="0" w:space="0" w:color="auto"/>
      </w:divBdr>
    </w:div>
    <w:div w:id="1908804527">
      <w:bodyDiv w:val="1"/>
      <w:marLeft w:val="0"/>
      <w:marRight w:val="0"/>
      <w:marTop w:val="0"/>
      <w:marBottom w:val="0"/>
      <w:divBdr>
        <w:top w:val="none" w:sz="0" w:space="0" w:color="auto"/>
        <w:left w:val="none" w:sz="0" w:space="0" w:color="auto"/>
        <w:bottom w:val="none" w:sz="0" w:space="0" w:color="auto"/>
        <w:right w:val="none" w:sz="0" w:space="0" w:color="auto"/>
      </w:divBdr>
    </w:div>
    <w:div w:id="1918972855">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5353</Characters>
  <Application>Microsoft Office Word</Application>
  <DocSecurity>4</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2014-09-12T16:45:00Z</cp:lastPrinted>
  <dcterms:created xsi:type="dcterms:W3CDTF">2017-06-30T20:29:00Z</dcterms:created>
  <dcterms:modified xsi:type="dcterms:W3CDTF">2017-06-30T20:29:00Z</dcterms:modified>
</cp:coreProperties>
</file>