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CB7" w:rsidRDefault="00A65CB7" w:rsidP="005D26C4">
      <w:pPr>
        <w:spacing w:after="0"/>
        <w:jc w:val="center"/>
        <w:rPr>
          <w:b/>
          <w:sz w:val="24"/>
          <w:szCs w:val="24"/>
          <w:lang w:val="es-ES"/>
        </w:rPr>
      </w:pPr>
      <w:bookmarkStart w:id="0" w:name="_GoBack"/>
      <w:bookmarkEnd w:id="0"/>
    </w:p>
    <w:p w:rsidR="00033F6F" w:rsidRPr="00531358" w:rsidRDefault="00033F6F" w:rsidP="005D26C4">
      <w:pPr>
        <w:spacing w:after="0"/>
        <w:jc w:val="center"/>
        <w:rPr>
          <w:b/>
          <w:sz w:val="24"/>
          <w:szCs w:val="24"/>
          <w:lang w:val="es-ES"/>
        </w:rPr>
      </w:pPr>
      <w:r w:rsidRPr="00531358">
        <w:rPr>
          <w:b/>
          <w:sz w:val="24"/>
          <w:szCs w:val="24"/>
          <w:lang w:val="es-ES"/>
        </w:rPr>
        <w:t>VOTO CONCURRENTE DEL JUEZ EDUARDO VIO GROSSI,</w:t>
      </w:r>
    </w:p>
    <w:p w:rsidR="00033F6F" w:rsidRPr="00531358" w:rsidRDefault="0098776F" w:rsidP="005D26C4">
      <w:pPr>
        <w:spacing w:after="0"/>
        <w:jc w:val="center"/>
        <w:rPr>
          <w:b/>
          <w:sz w:val="24"/>
          <w:szCs w:val="24"/>
          <w:lang w:val="es-ES"/>
        </w:rPr>
      </w:pPr>
      <w:r>
        <w:rPr>
          <w:b/>
          <w:sz w:val="24"/>
          <w:szCs w:val="24"/>
          <w:lang w:val="es-ES"/>
        </w:rPr>
        <w:t>RESOLUCIÓ</w:t>
      </w:r>
      <w:r w:rsidR="00033F6F" w:rsidRPr="00531358">
        <w:rPr>
          <w:b/>
          <w:sz w:val="24"/>
          <w:szCs w:val="24"/>
          <w:lang w:val="es-ES"/>
        </w:rPr>
        <w:t>N DE LA CORTE INTERAMERICANA DE DERECHOS HUMANOS</w:t>
      </w:r>
    </w:p>
    <w:p w:rsidR="00033F6F" w:rsidRPr="00531358" w:rsidRDefault="0098776F" w:rsidP="005D26C4">
      <w:pPr>
        <w:spacing w:after="0"/>
        <w:jc w:val="center"/>
        <w:rPr>
          <w:b/>
          <w:sz w:val="24"/>
          <w:szCs w:val="24"/>
          <w:lang w:val="es-ES"/>
        </w:rPr>
      </w:pPr>
      <w:r>
        <w:rPr>
          <w:b/>
          <w:sz w:val="24"/>
          <w:szCs w:val="24"/>
          <w:lang w:val="es-ES"/>
        </w:rPr>
        <w:t>DE 31 DE MARZO</w:t>
      </w:r>
      <w:r w:rsidR="00033F6F" w:rsidRPr="00531358">
        <w:rPr>
          <w:b/>
          <w:sz w:val="24"/>
          <w:szCs w:val="24"/>
          <w:lang w:val="es-ES"/>
        </w:rPr>
        <w:t xml:space="preserve"> 2014,</w:t>
      </w:r>
    </w:p>
    <w:p w:rsidR="00033F6F" w:rsidRPr="00531358" w:rsidRDefault="00033F6F" w:rsidP="005D26C4">
      <w:pPr>
        <w:spacing w:after="0"/>
        <w:jc w:val="center"/>
        <w:rPr>
          <w:b/>
          <w:sz w:val="24"/>
          <w:szCs w:val="24"/>
          <w:lang w:val="es-ES"/>
        </w:rPr>
      </w:pPr>
      <w:r w:rsidRPr="00531358">
        <w:rPr>
          <w:b/>
          <w:sz w:val="24"/>
          <w:szCs w:val="24"/>
          <w:lang w:val="es-ES"/>
        </w:rPr>
        <w:t>SOLICITUD DE MEDIDAS PROVISIONALES</w:t>
      </w:r>
    </w:p>
    <w:p w:rsidR="001069AB" w:rsidRPr="00531358" w:rsidRDefault="00033F6F" w:rsidP="005D26C4">
      <w:pPr>
        <w:spacing w:after="0"/>
        <w:jc w:val="center"/>
        <w:rPr>
          <w:b/>
          <w:sz w:val="24"/>
          <w:szCs w:val="24"/>
          <w:lang w:val="es-ES"/>
        </w:rPr>
      </w:pPr>
      <w:r w:rsidRPr="00531358">
        <w:rPr>
          <w:b/>
          <w:sz w:val="24"/>
          <w:szCs w:val="24"/>
          <w:lang w:val="es-ES"/>
        </w:rPr>
        <w:t>CASO ARTA</w:t>
      </w:r>
      <w:r w:rsidR="005D26C4" w:rsidRPr="00531358">
        <w:rPr>
          <w:b/>
          <w:sz w:val="24"/>
          <w:szCs w:val="24"/>
          <w:lang w:val="es-ES"/>
        </w:rPr>
        <w:t>VIA MURILLO Y OTROS (“FECUNDACIÓ</w:t>
      </w:r>
      <w:r w:rsidRPr="00531358">
        <w:rPr>
          <w:b/>
          <w:sz w:val="24"/>
          <w:szCs w:val="24"/>
          <w:lang w:val="es-ES"/>
        </w:rPr>
        <w:t xml:space="preserve">N IN VITRO”) </w:t>
      </w:r>
      <w:r w:rsidRPr="00531358">
        <w:rPr>
          <w:b/>
          <w:i/>
          <w:sz w:val="24"/>
          <w:szCs w:val="24"/>
          <w:lang w:val="es-ES"/>
        </w:rPr>
        <w:t>VS</w:t>
      </w:r>
      <w:r w:rsidRPr="00531358">
        <w:rPr>
          <w:b/>
          <w:sz w:val="24"/>
          <w:szCs w:val="24"/>
          <w:lang w:val="es-ES"/>
        </w:rPr>
        <w:t xml:space="preserve"> COSTA RICA.</w:t>
      </w:r>
    </w:p>
    <w:p w:rsidR="00033F6F" w:rsidRPr="00531358" w:rsidRDefault="00033F6F" w:rsidP="00203404">
      <w:pPr>
        <w:spacing w:after="0"/>
        <w:jc w:val="both"/>
        <w:rPr>
          <w:b/>
          <w:sz w:val="24"/>
          <w:szCs w:val="24"/>
          <w:lang w:val="es-ES"/>
        </w:rPr>
      </w:pPr>
    </w:p>
    <w:p w:rsidR="00033F6F" w:rsidRPr="00531358" w:rsidRDefault="00033F6F" w:rsidP="00203404">
      <w:pPr>
        <w:spacing w:after="0"/>
        <w:jc w:val="both"/>
        <w:rPr>
          <w:sz w:val="24"/>
          <w:szCs w:val="24"/>
          <w:lang w:val="es-ES"/>
        </w:rPr>
      </w:pPr>
      <w:r w:rsidRPr="00531358">
        <w:rPr>
          <w:sz w:val="24"/>
          <w:szCs w:val="24"/>
          <w:lang w:val="es-ES"/>
        </w:rPr>
        <w:t>Se emite el presente voto concurrente con la Resolución indica</w:t>
      </w:r>
      <w:r w:rsidR="0067499D">
        <w:rPr>
          <w:sz w:val="24"/>
          <w:szCs w:val="24"/>
          <w:lang w:val="es-ES"/>
        </w:rPr>
        <w:t>da</w:t>
      </w:r>
      <w:r w:rsidRPr="00531358">
        <w:rPr>
          <w:sz w:val="24"/>
          <w:szCs w:val="24"/>
          <w:lang w:val="es-ES"/>
        </w:rPr>
        <w:t xml:space="preserve"> en el rótulo en mérito de que si bien se comparte la decisión de desestimar las medida provisionales solicitadas, no lo es por la razón señalada en la misma</w:t>
      </w:r>
      <w:r w:rsidR="00574596" w:rsidRPr="00531358">
        <w:rPr>
          <w:sz w:val="24"/>
          <w:szCs w:val="24"/>
          <w:lang w:val="es-ES"/>
        </w:rPr>
        <w:t xml:space="preserve">, esto es, </w:t>
      </w:r>
      <w:r w:rsidR="00574596" w:rsidRPr="00531358">
        <w:rPr>
          <w:i/>
          <w:sz w:val="24"/>
          <w:szCs w:val="24"/>
          <w:lang w:val="es-ES"/>
        </w:rPr>
        <w:t>“porque el asunto planteado ante el Tribunal no es materia de medidas provisionales en los términos del artículo 63.2 de la Convención, sino que será evaluado en el marco de la supervisión del cumplimiento de la Sentencia dictada el 28 de noviembre de 2012 en el presente caso”</w:t>
      </w:r>
      <w:r w:rsidR="00574596" w:rsidRPr="00531358">
        <w:rPr>
          <w:sz w:val="24"/>
          <w:szCs w:val="24"/>
          <w:lang w:val="es-ES"/>
        </w:rPr>
        <w:t xml:space="preserve">, sino porque, a juicio del suscrito, </w:t>
      </w:r>
      <w:r w:rsidR="00EC7C06" w:rsidRPr="00531358">
        <w:rPr>
          <w:sz w:val="24"/>
          <w:szCs w:val="24"/>
          <w:lang w:val="es-ES"/>
        </w:rPr>
        <w:t>en esta causa</w:t>
      </w:r>
      <w:r w:rsidR="00574596" w:rsidRPr="00531358">
        <w:rPr>
          <w:sz w:val="24"/>
          <w:szCs w:val="24"/>
          <w:lang w:val="es-ES"/>
        </w:rPr>
        <w:t xml:space="preserve"> </w:t>
      </w:r>
      <w:r w:rsidR="00EC7C06" w:rsidRPr="00531358">
        <w:rPr>
          <w:sz w:val="24"/>
          <w:szCs w:val="24"/>
          <w:lang w:val="es-ES"/>
        </w:rPr>
        <w:t xml:space="preserve">y en razón de lo dispuesto en la Convención Americana sobre Derechos Humanos, </w:t>
      </w:r>
      <w:r w:rsidR="002A7361" w:rsidRPr="00531358">
        <w:rPr>
          <w:sz w:val="24"/>
          <w:szCs w:val="24"/>
          <w:lang w:val="es-ES"/>
        </w:rPr>
        <w:t xml:space="preserve">en adelante la Convención, </w:t>
      </w:r>
      <w:r w:rsidR="00EC7C06" w:rsidRPr="00531358">
        <w:rPr>
          <w:sz w:val="24"/>
          <w:szCs w:val="24"/>
          <w:lang w:val="es-ES"/>
        </w:rPr>
        <w:t xml:space="preserve">ha precluido </w:t>
      </w:r>
      <w:r w:rsidR="00574596" w:rsidRPr="00531358">
        <w:rPr>
          <w:sz w:val="24"/>
          <w:szCs w:val="24"/>
          <w:lang w:val="es-ES"/>
        </w:rPr>
        <w:t xml:space="preserve">la facultad de la Corte </w:t>
      </w:r>
      <w:r w:rsidR="002A7361" w:rsidRPr="00531358">
        <w:rPr>
          <w:sz w:val="24"/>
          <w:szCs w:val="24"/>
          <w:lang w:val="es-ES"/>
        </w:rPr>
        <w:t xml:space="preserve">Interamericana de Derechos Humanos, en adelante la Corte, </w:t>
      </w:r>
      <w:r w:rsidR="00574596" w:rsidRPr="00531358">
        <w:rPr>
          <w:sz w:val="24"/>
          <w:szCs w:val="24"/>
          <w:lang w:val="es-ES"/>
        </w:rPr>
        <w:t>de dictar medidas provisionales</w:t>
      </w:r>
      <w:r w:rsidR="00EC7C06" w:rsidRPr="00531358">
        <w:rPr>
          <w:sz w:val="24"/>
          <w:szCs w:val="24"/>
          <w:lang w:val="es-ES"/>
        </w:rPr>
        <w:t>, es decir, no estaba autorizada para decretarla en autos</w:t>
      </w:r>
      <w:r w:rsidR="00574596" w:rsidRPr="00531358">
        <w:rPr>
          <w:sz w:val="24"/>
          <w:szCs w:val="24"/>
          <w:lang w:val="es-ES"/>
        </w:rPr>
        <w:t>.</w:t>
      </w:r>
    </w:p>
    <w:p w:rsidR="00EC7C06" w:rsidRPr="00531358" w:rsidRDefault="00EC7C06" w:rsidP="00203404">
      <w:pPr>
        <w:spacing w:after="0"/>
        <w:jc w:val="both"/>
        <w:rPr>
          <w:sz w:val="24"/>
          <w:szCs w:val="24"/>
          <w:lang w:val="es-ES"/>
        </w:rPr>
      </w:pPr>
    </w:p>
    <w:p w:rsidR="00EC7C06" w:rsidRPr="00531358" w:rsidRDefault="00EC7C06" w:rsidP="00203404">
      <w:pPr>
        <w:spacing w:after="0"/>
        <w:jc w:val="both"/>
        <w:rPr>
          <w:sz w:val="24"/>
          <w:szCs w:val="24"/>
          <w:lang w:val="es-ES"/>
        </w:rPr>
      </w:pPr>
      <w:r w:rsidRPr="00531358">
        <w:rPr>
          <w:sz w:val="24"/>
          <w:szCs w:val="24"/>
          <w:lang w:val="es-ES"/>
        </w:rPr>
        <w:t>Las razones de la posición que se sostiene en el presente voto han sido expuestas en otros votos emitidos por el infrascrito</w:t>
      </w:r>
      <w:r w:rsidRPr="00531358">
        <w:rPr>
          <w:rStyle w:val="Refdenotaalpie"/>
          <w:sz w:val="24"/>
          <w:szCs w:val="24"/>
          <w:lang w:val="es-ES"/>
        </w:rPr>
        <w:footnoteReference w:id="1"/>
      </w:r>
      <w:r w:rsidR="00DB5B37">
        <w:rPr>
          <w:sz w:val="24"/>
          <w:szCs w:val="24"/>
          <w:lang w:val="es-ES"/>
        </w:rPr>
        <w:t xml:space="preserve"> y son, entre otras, las que siguen</w:t>
      </w:r>
      <w:r w:rsidRPr="00531358">
        <w:rPr>
          <w:sz w:val="24"/>
          <w:szCs w:val="24"/>
          <w:lang w:val="es-ES"/>
        </w:rPr>
        <w:t>.</w:t>
      </w:r>
    </w:p>
    <w:p w:rsidR="00EC7C06" w:rsidRPr="00531358" w:rsidRDefault="00EC7C06" w:rsidP="00203404">
      <w:pPr>
        <w:spacing w:after="0"/>
        <w:jc w:val="both"/>
        <w:rPr>
          <w:sz w:val="24"/>
          <w:szCs w:val="24"/>
          <w:lang w:val="es-ES"/>
        </w:rPr>
      </w:pPr>
    </w:p>
    <w:p w:rsidR="00EC7C06" w:rsidRPr="00531358" w:rsidRDefault="00125F23" w:rsidP="00203404">
      <w:pPr>
        <w:spacing w:after="0"/>
        <w:jc w:val="both"/>
        <w:rPr>
          <w:sz w:val="24"/>
          <w:szCs w:val="24"/>
          <w:lang w:val="es-ES"/>
        </w:rPr>
      </w:pPr>
      <w:r w:rsidRPr="00531358">
        <w:rPr>
          <w:sz w:val="24"/>
          <w:szCs w:val="24"/>
          <w:lang w:val="es-ES"/>
        </w:rPr>
        <w:t>Por de pronto, en</w:t>
      </w:r>
      <w:r w:rsidR="00064AE8" w:rsidRPr="00531358">
        <w:rPr>
          <w:sz w:val="24"/>
          <w:szCs w:val="24"/>
          <w:lang w:val="es-ES"/>
        </w:rPr>
        <w:t xml:space="preserve"> que las medidas provisionales fueron concebidas como parte del proceso por el cual la Corte conoce de un caso, es decir, mientras ella esté conociendo de ést</w:t>
      </w:r>
      <w:r w:rsidRPr="00531358">
        <w:rPr>
          <w:sz w:val="24"/>
          <w:szCs w:val="24"/>
          <w:lang w:val="es-ES"/>
        </w:rPr>
        <w:t>e en ejercicio de su competencia contenciosa</w:t>
      </w:r>
      <w:r w:rsidRPr="00531358">
        <w:rPr>
          <w:rStyle w:val="Refdenotaalpie"/>
          <w:sz w:val="24"/>
          <w:szCs w:val="24"/>
          <w:lang w:val="es-ES"/>
        </w:rPr>
        <w:footnoteReference w:id="2"/>
      </w:r>
      <w:r w:rsidR="00064AE8" w:rsidRPr="00531358">
        <w:rPr>
          <w:sz w:val="24"/>
          <w:szCs w:val="24"/>
          <w:lang w:val="es-ES"/>
        </w:rPr>
        <w:t>. El propio artículo 63.2 de la Convención</w:t>
      </w:r>
      <w:r w:rsidR="00064AE8" w:rsidRPr="00531358">
        <w:rPr>
          <w:rStyle w:val="Refdenotaalpie"/>
          <w:sz w:val="24"/>
          <w:szCs w:val="24"/>
          <w:lang w:val="es-ES"/>
        </w:rPr>
        <w:footnoteReference w:id="3"/>
      </w:r>
      <w:r w:rsidR="00064AE8" w:rsidRPr="00531358">
        <w:rPr>
          <w:sz w:val="24"/>
          <w:szCs w:val="24"/>
          <w:lang w:val="es-ES"/>
        </w:rPr>
        <w:t>, que es el que el que c</w:t>
      </w:r>
      <w:r w:rsidR="00A01B89" w:rsidRPr="00531358">
        <w:rPr>
          <w:sz w:val="24"/>
          <w:szCs w:val="24"/>
          <w:lang w:val="es-ES"/>
        </w:rPr>
        <w:t xml:space="preserve">onsagra </w:t>
      </w:r>
      <w:r w:rsidR="00064AE8" w:rsidRPr="00531358">
        <w:rPr>
          <w:sz w:val="24"/>
          <w:szCs w:val="24"/>
          <w:lang w:val="es-ES"/>
        </w:rPr>
        <w:t xml:space="preserve">las medidas provisionales, distingue entre las </w:t>
      </w:r>
      <w:r w:rsidR="00064AE8" w:rsidRPr="00531358">
        <w:rPr>
          <w:sz w:val="24"/>
          <w:szCs w:val="24"/>
          <w:lang w:val="es-ES"/>
        </w:rPr>
        <w:lastRenderedPageBreak/>
        <w:t xml:space="preserve">que </w:t>
      </w:r>
      <w:r w:rsidR="005D26C4" w:rsidRPr="00531358">
        <w:rPr>
          <w:sz w:val="24"/>
          <w:szCs w:val="24"/>
          <w:lang w:val="es-ES"/>
        </w:rPr>
        <w:t xml:space="preserve">la Corte </w:t>
      </w:r>
      <w:r w:rsidR="00064AE8" w:rsidRPr="00531358">
        <w:rPr>
          <w:sz w:val="24"/>
          <w:szCs w:val="24"/>
          <w:lang w:val="es-ES"/>
        </w:rPr>
        <w:t xml:space="preserve">puede decretar </w:t>
      </w:r>
      <w:r w:rsidR="00064AE8" w:rsidRPr="00531358">
        <w:rPr>
          <w:i/>
          <w:sz w:val="24"/>
          <w:szCs w:val="24"/>
          <w:lang w:val="es-ES"/>
        </w:rPr>
        <w:t>“en los asuntos que esté conociendo”</w:t>
      </w:r>
      <w:r w:rsidR="00064AE8" w:rsidRPr="00531358">
        <w:rPr>
          <w:sz w:val="24"/>
          <w:szCs w:val="24"/>
          <w:lang w:val="es-ES"/>
        </w:rPr>
        <w:t xml:space="preserve"> y </w:t>
      </w:r>
      <w:r w:rsidR="008439D5" w:rsidRPr="00531358">
        <w:rPr>
          <w:sz w:val="24"/>
          <w:szCs w:val="24"/>
          <w:lang w:val="es-ES"/>
        </w:rPr>
        <w:t xml:space="preserve">las que puede ordenar en </w:t>
      </w:r>
      <w:r w:rsidR="00064AE8" w:rsidRPr="00531358">
        <w:rPr>
          <w:sz w:val="24"/>
          <w:szCs w:val="24"/>
          <w:lang w:val="es-ES"/>
        </w:rPr>
        <w:t xml:space="preserve">los </w:t>
      </w:r>
      <w:r w:rsidR="00064AE8" w:rsidRPr="00531358">
        <w:rPr>
          <w:i/>
          <w:sz w:val="24"/>
          <w:szCs w:val="24"/>
          <w:lang w:val="es-ES"/>
        </w:rPr>
        <w:t>“</w:t>
      </w:r>
      <w:r w:rsidR="008439D5" w:rsidRPr="00531358">
        <w:rPr>
          <w:i/>
          <w:sz w:val="24"/>
          <w:szCs w:val="24"/>
          <w:lang w:val="es-ES"/>
        </w:rPr>
        <w:t xml:space="preserve">asuntos </w:t>
      </w:r>
      <w:r w:rsidR="00064AE8" w:rsidRPr="00531358">
        <w:rPr>
          <w:i/>
          <w:sz w:val="24"/>
          <w:szCs w:val="24"/>
          <w:lang w:val="es-ES"/>
        </w:rPr>
        <w:t>que aún no estén sometidos a su conocimiento”</w:t>
      </w:r>
      <w:r w:rsidR="008439D5" w:rsidRPr="00531358">
        <w:rPr>
          <w:sz w:val="24"/>
          <w:szCs w:val="24"/>
          <w:lang w:val="es-ES"/>
        </w:rPr>
        <w:t>.</w:t>
      </w:r>
      <w:r w:rsidR="00FD1BC0">
        <w:rPr>
          <w:sz w:val="24"/>
          <w:szCs w:val="24"/>
          <w:lang w:val="es-ES"/>
        </w:rPr>
        <w:t xml:space="preserve"> Incluso, en el Reglamento de la Corte, ad</w:t>
      </w:r>
      <w:r w:rsidR="006E03C3">
        <w:rPr>
          <w:sz w:val="24"/>
          <w:szCs w:val="24"/>
          <w:lang w:val="es-ES"/>
        </w:rPr>
        <w:t>optado por ella</w:t>
      </w:r>
      <w:r w:rsidR="00FD1BC0">
        <w:rPr>
          <w:sz w:val="24"/>
          <w:szCs w:val="24"/>
          <w:lang w:val="es-ES"/>
        </w:rPr>
        <w:t xml:space="preserve">, no solo se sigue esa misma distinción, sino que dispone que, respecto de los asuntos que esté conociendo, las medidas provisionales se pueden adoptar </w:t>
      </w:r>
      <w:r w:rsidR="006E03C3">
        <w:rPr>
          <w:sz w:val="24"/>
          <w:szCs w:val="24"/>
          <w:lang w:val="es-ES"/>
        </w:rPr>
        <w:t>“</w:t>
      </w:r>
      <w:r w:rsidR="00FD1BC0" w:rsidRPr="006E03C3">
        <w:rPr>
          <w:i/>
          <w:sz w:val="24"/>
          <w:szCs w:val="24"/>
          <w:lang w:val="es-ES"/>
        </w:rPr>
        <w:t>en cu</w:t>
      </w:r>
      <w:r w:rsidR="006E03C3" w:rsidRPr="006E03C3">
        <w:rPr>
          <w:i/>
          <w:sz w:val="24"/>
          <w:szCs w:val="24"/>
          <w:lang w:val="es-ES"/>
        </w:rPr>
        <w:t>alquier estado del procedimiento</w:t>
      </w:r>
      <w:r w:rsidR="006E03C3">
        <w:rPr>
          <w:sz w:val="24"/>
          <w:szCs w:val="24"/>
          <w:lang w:val="es-ES"/>
        </w:rPr>
        <w:t>”</w:t>
      </w:r>
      <w:r w:rsidR="00FD1BC0">
        <w:rPr>
          <w:rStyle w:val="Refdenotaalpie"/>
          <w:sz w:val="24"/>
          <w:szCs w:val="24"/>
          <w:lang w:val="es-ES"/>
        </w:rPr>
        <w:footnoteReference w:id="4"/>
      </w:r>
      <w:r w:rsidR="006E03C3">
        <w:rPr>
          <w:sz w:val="24"/>
          <w:szCs w:val="24"/>
          <w:lang w:val="es-ES"/>
        </w:rPr>
        <w:t>, el que, sin duda</w:t>
      </w:r>
      <w:r w:rsidR="00B1394F">
        <w:rPr>
          <w:sz w:val="24"/>
          <w:szCs w:val="24"/>
          <w:lang w:val="es-ES"/>
        </w:rPr>
        <w:t xml:space="preserve"> y como se indica seguidamente,</w:t>
      </w:r>
      <w:r w:rsidR="006E03C3">
        <w:rPr>
          <w:sz w:val="24"/>
          <w:szCs w:val="24"/>
          <w:lang w:val="es-ES"/>
        </w:rPr>
        <w:t xml:space="preserve"> finaliza con la sentencia definitiva</w:t>
      </w:r>
    </w:p>
    <w:p w:rsidR="008439D5" w:rsidRPr="00531358" w:rsidRDefault="00A01B89" w:rsidP="00203404">
      <w:pPr>
        <w:spacing w:after="0"/>
        <w:jc w:val="both"/>
        <w:rPr>
          <w:sz w:val="24"/>
          <w:szCs w:val="24"/>
          <w:lang w:val="es-ES"/>
        </w:rPr>
      </w:pPr>
      <w:r w:rsidRPr="00531358">
        <w:rPr>
          <w:sz w:val="24"/>
          <w:szCs w:val="24"/>
          <w:lang w:val="es-ES"/>
        </w:rPr>
        <w:t xml:space="preserve"> </w:t>
      </w:r>
    </w:p>
    <w:p w:rsidR="005C518F" w:rsidRPr="00531358" w:rsidRDefault="008439D5" w:rsidP="00203404">
      <w:pPr>
        <w:spacing w:after="0"/>
        <w:jc w:val="both"/>
        <w:rPr>
          <w:sz w:val="24"/>
          <w:szCs w:val="24"/>
          <w:lang w:val="es-ES"/>
        </w:rPr>
      </w:pPr>
      <w:r w:rsidRPr="00531358">
        <w:rPr>
          <w:sz w:val="24"/>
          <w:szCs w:val="24"/>
          <w:lang w:val="es-ES"/>
        </w:rPr>
        <w:t xml:space="preserve">Es evidente, que en el caso en comento </w:t>
      </w:r>
      <w:r w:rsidR="005C518F" w:rsidRPr="00531358">
        <w:rPr>
          <w:sz w:val="24"/>
          <w:szCs w:val="24"/>
          <w:lang w:val="es-ES"/>
        </w:rPr>
        <w:t xml:space="preserve">no </w:t>
      </w:r>
      <w:r w:rsidRPr="00531358">
        <w:rPr>
          <w:sz w:val="24"/>
          <w:szCs w:val="24"/>
          <w:lang w:val="es-ES"/>
        </w:rPr>
        <w:t>se trata de un asunto</w:t>
      </w:r>
      <w:r w:rsidR="00207BEF" w:rsidRPr="00531358">
        <w:rPr>
          <w:rStyle w:val="Refdenotaalpie"/>
          <w:sz w:val="24"/>
          <w:szCs w:val="24"/>
          <w:lang w:val="es-ES"/>
        </w:rPr>
        <w:footnoteReference w:id="5"/>
      </w:r>
      <w:r w:rsidRPr="00531358">
        <w:rPr>
          <w:sz w:val="24"/>
          <w:szCs w:val="24"/>
          <w:lang w:val="es-ES"/>
        </w:rPr>
        <w:t xml:space="preserve"> que</w:t>
      </w:r>
      <w:r w:rsidR="005D26C4" w:rsidRPr="00531358">
        <w:rPr>
          <w:sz w:val="24"/>
          <w:szCs w:val="24"/>
          <w:lang w:val="es-ES"/>
        </w:rPr>
        <w:t xml:space="preserve"> aún no esté sometido a </w:t>
      </w:r>
      <w:r w:rsidR="005C518F" w:rsidRPr="00531358">
        <w:rPr>
          <w:sz w:val="24"/>
          <w:szCs w:val="24"/>
          <w:lang w:val="es-ES"/>
        </w:rPr>
        <w:t>conocimiento</w:t>
      </w:r>
      <w:r w:rsidR="005D26C4" w:rsidRPr="00531358">
        <w:rPr>
          <w:sz w:val="24"/>
          <w:szCs w:val="24"/>
          <w:lang w:val="es-ES"/>
        </w:rPr>
        <w:t xml:space="preserve"> de la Corte</w:t>
      </w:r>
      <w:r w:rsidR="005C518F" w:rsidRPr="00531358">
        <w:rPr>
          <w:sz w:val="24"/>
          <w:szCs w:val="24"/>
          <w:lang w:val="es-ES"/>
        </w:rPr>
        <w:t>. Por lo demás, en tal hipótesis, para que la Corte pudiera decretar medidas provisionales, sería menester que la Comisión Interamericana de Derechos Humanos</w:t>
      </w:r>
      <w:r w:rsidR="00207BEF" w:rsidRPr="00531358">
        <w:rPr>
          <w:sz w:val="24"/>
          <w:szCs w:val="24"/>
          <w:lang w:val="es-ES"/>
        </w:rPr>
        <w:t>, en adelante la Comisión,</w:t>
      </w:r>
      <w:r w:rsidR="005C518F" w:rsidRPr="00531358">
        <w:rPr>
          <w:sz w:val="24"/>
          <w:szCs w:val="24"/>
          <w:lang w:val="es-ES"/>
        </w:rPr>
        <w:t xml:space="preserve"> se lo solicitara, lo que no ha acontecido</w:t>
      </w:r>
      <w:r w:rsidR="002A7361" w:rsidRPr="00531358">
        <w:rPr>
          <w:sz w:val="24"/>
          <w:szCs w:val="24"/>
          <w:lang w:val="es-ES"/>
        </w:rPr>
        <w:t>, habiendo sido, en cambio, el señor Huberth May Cantillano, representante de seis de las víctimas</w:t>
      </w:r>
      <w:r w:rsidR="008E748B" w:rsidRPr="00531358">
        <w:rPr>
          <w:sz w:val="24"/>
          <w:szCs w:val="24"/>
          <w:lang w:val="es-ES"/>
        </w:rPr>
        <w:t xml:space="preserve"> en el caso </w:t>
      </w:r>
      <w:r w:rsidR="00A01B89" w:rsidRPr="00531358">
        <w:rPr>
          <w:sz w:val="24"/>
          <w:szCs w:val="24"/>
          <w:lang w:val="es-ES"/>
        </w:rPr>
        <w:t>en cuestión</w:t>
      </w:r>
      <w:r w:rsidR="002A7361" w:rsidRPr="00531358">
        <w:rPr>
          <w:sz w:val="24"/>
          <w:szCs w:val="24"/>
          <w:lang w:val="es-ES"/>
        </w:rPr>
        <w:t>, el que lo hizo</w:t>
      </w:r>
      <w:r w:rsidR="00C3585E" w:rsidRPr="00531358">
        <w:rPr>
          <w:sz w:val="24"/>
          <w:szCs w:val="24"/>
          <w:lang w:val="es-ES"/>
        </w:rPr>
        <w:t xml:space="preserve">, además, </w:t>
      </w:r>
      <w:r w:rsidR="00C3585E" w:rsidRPr="00531358">
        <w:rPr>
          <w:i/>
          <w:sz w:val="24"/>
          <w:szCs w:val="24"/>
          <w:lang w:val="es-ES"/>
        </w:rPr>
        <w:t>“en fase de ejecución de sentencia”</w:t>
      </w:r>
      <w:r w:rsidR="002A7361" w:rsidRPr="00531358">
        <w:rPr>
          <w:sz w:val="24"/>
          <w:szCs w:val="24"/>
          <w:lang w:val="es-ES"/>
        </w:rPr>
        <w:t>.</w:t>
      </w:r>
    </w:p>
    <w:p w:rsidR="005C518F" w:rsidRPr="00531358" w:rsidRDefault="005C518F" w:rsidP="00203404">
      <w:pPr>
        <w:spacing w:after="0"/>
        <w:jc w:val="both"/>
        <w:rPr>
          <w:sz w:val="24"/>
          <w:szCs w:val="24"/>
          <w:lang w:val="es-ES"/>
        </w:rPr>
      </w:pPr>
    </w:p>
    <w:p w:rsidR="008E748B" w:rsidRPr="00531358" w:rsidRDefault="005C518F" w:rsidP="00203404">
      <w:pPr>
        <w:spacing w:after="0"/>
        <w:jc w:val="both"/>
        <w:rPr>
          <w:sz w:val="24"/>
          <w:szCs w:val="24"/>
          <w:lang w:val="es-ES"/>
        </w:rPr>
      </w:pPr>
      <w:r w:rsidRPr="00531358">
        <w:rPr>
          <w:sz w:val="24"/>
          <w:szCs w:val="24"/>
          <w:lang w:val="es-ES"/>
        </w:rPr>
        <w:t>Lo que asimismo es irrefutable es que la Corte ya ha conocido el asunto en el que se solicitan las medidas provisionales y que el mismo ha finalizado por sentencia definitiva e inapelable</w:t>
      </w:r>
      <w:r w:rsidRPr="00531358">
        <w:rPr>
          <w:rStyle w:val="Refdenotaalpie"/>
          <w:sz w:val="24"/>
          <w:szCs w:val="24"/>
          <w:lang w:val="es-ES"/>
        </w:rPr>
        <w:footnoteReference w:id="6"/>
      </w:r>
      <w:r w:rsidR="002A7361" w:rsidRPr="00531358">
        <w:rPr>
          <w:sz w:val="24"/>
          <w:szCs w:val="24"/>
          <w:lang w:val="es-ES"/>
        </w:rPr>
        <w:t>, por lo que</w:t>
      </w:r>
      <w:r w:rsidR="00FB0A24" w:rsidRPr="00531358">
        <w:rPr>
          <w:sz w:val="24"/>
          <w:szCs w:val="24"/>
          <w:lang w:val="es-ES"/>
        </w:rPr>
        <w:t>, careciendo</w:t>
      </w:r>
      <w:r w:rsidR="002A7361" w:rsidRPr="00531358">
        <w:rPr>
          <w:sz w:val="24"/>
          <w:szCs w:val="24"/>
          <w:lang w:val="es-ES"/>
        </w:rPr>
        <w:t>, en consecuencia,</w:t>
      </w:r>
      <w:r w:rsidR="00A01B89" w:rsidRPr="00531358">
        <w:rPr>
          <w:sz w:val="24"/>
          <w:szCs w:val="24"/>
          <w:lang w:val="es-ES"/>
        </w:rPr>
        <w:t xml:space="preserve"> </w:t>
      </w:r>
      <w:r w:rsidR="002A7361" w:rsidRPr="00531358">
        <w:rPr>
          <w:sz w:val="24"/>
          <w:szCs w:val="24"/>
          <w:lang w:val="es-ES"/>
        </w:rPr>
        <w:t>de facultades para modificarla o complementar</w:t>
      </w:r>
      <w:r w:rsidR="00A01B89" w:rsidRPr="00531358">
        <w:rPr>
          <w:sz w:val="24"/>
          <w:szCs w:val="24"/>
          <w:lang w:val="es-ES"/>
        </w:rPr>
        <w:t>la</w:t>
      </w:r>
      <w:r w:rsidR="00FB0A24" w:rsidRPr="00531358">
        <w:rPr>
          <w:sz w:val="24"/>
          <w:szCs w:val="24"/>
          <w:lang w:val="es-ES"/>
        </w:rPr>
        <w:t xml:space="preserve">, la Corte únicamente puede </w:t>
      </w:r>
      <w:r w:rsidR="00A01B89" w:rsidRPr="00531358">
        <w:rPr>
          <w:sz w:val="24"/>
          <w:szCs w:val="24"/>
          <w:lang w:val="es-ES"/>
        </w:rPr>
        <w:t xml:space="preserve">decretar </w:t>
      </w:r>
      <w:r w:rsidR="002A7361" w:rsidRPr="00531358">
        <w:rPr>
          <w:sz w:val="24"/>
          <w:szCs w:val="24"/>
          <w:lang w:val="es-ES"/>
        </w:rPr>
        <w:t xml:space="preserve">a su respecto </w:t>
      </w:r>
      <w:r w:rsidR="00A01B89" w:rsidRPr="00531358">
        <w:rPr>
          <w:sz w:val="24"/>
          <w:szCs w:val="24"/>
          <w:lang w:val="es-ES"/>
        </w:rPr>
        <w:t xml:space="preserve">alguna de las resoluciones que </w:t>
      </w:r>
      <w:r w:rsidR="00FB0A24" w:rsidRPr="00531358">
        <w:rPr>
          <w:sz w:val="24"/>
          <w:szCs w:val="24"/>
          <w:lang w:val="es-ES"/>
        </w:rPr>
        <w:t>inequ</w:t>
      </w:r>
      <w:r w:rsidR="006E03C3">
        <w:rPr>
          <w:sz w:val="24"/>
          <w:szCs w:val="24"/>
          <w:lang w:val="es-ES"/>
        </w:rPr>
        <w:t>ívocamente se desprende</w:t>
      </w:r>
      <w:r w:rsidR="00FB0A24" w:rsidRPr="00531358">
        <w:rPr>
          <w:sz w:val="24"/>
          <w:szCs w:val="24"/>
          <w:lang w:val="es-ES"/>
        </w:rPr>
        <w:t xml:space="preserve">n de las facultades que </w:t>
      </w:r>
      <w:r w:rsidR="006E03C3">
        <w:rPr>
          <w:sz w:val="24"/>
          <w:szCs w:val="24"/>
          <w:lang w:val="es-ES"/>
        </w:rPr>
        <w:t>expresa t</w:t>
      </w:r>
      <w:r w:rsidR="00FB0A24" w:rsidRPr="00531358">
        <w:rPr>
          <w:sz w:val="24"/>
          <w:szCs w:val="24"/>
          <w:lang w:val="es-ES"/>
        </w:rPr>
        <w:t>axativamente</w:t>
      </w:r>
      <w:r w:rsidR="002A7361" w:rsidRPr="00531358">
        <w:rPr>
          <w:sz w:val="24"/>
          <w:szCs w:val="24"/>
          <w:lang w:val="es-ES"/>
        </w:rPr>
        <w:t xml:space="preserve"> la Convenció</w:t>
      </w:r>
      <w:r w:rsidR="00FB0A24" w:rsidRPr="00531358">
        <w:rPr>
          <w:sz w:val="24"/>
          <w:szCs w:val="24"/>
          <w:lang w:val="es-ES"/>
        </w:rPr>
        <w:t>n, su Estatuto o su Reglamento le han conferido.</w:t>
      </w:r>
      <w:r w:rsidR="008E748B" w:rsidRPr="00531358">
        <w:rPr>
          <w:sz w:val="24"/>
          <w:szCs w:val="24"/>
          <w:lang w:val="es-ES"/>
        </w:rPr>
        <w:t xml:space="preserve"> </w:t>
      </w:r>
    </w:p>
    <w:p w:rsidR="008E748B" w:rsidRPr="00531358" w:rsidRDefault="008E748B" w:rsidP="00203404">
      <w:pPr>
        <w:spacing w:after="0"/>
        <w:jc w:val="both"/>
        <w:rPr>
          <w:sz w:val="24"/>
          <w:szCs w:val="24"/>
          <w:lang w:val="es-ES"/>
        </w:rPr>
      </w:pPr>
    </w:p>
    <w:p w:rsidR="008439D5" w:rsidRPr="00531358" w:rsidRDefault="008E748B" w:rsidP="00203404">
      <w:pPr>
        <w:spacing w:after="0"/>
        <w:jc w:val="both"/>
        <w:rPr>
          <w:rFonts w:cs="Arial"/>
          <w:sz w:val="24"/>
          <w:szCs w:val="24"/>
        </w:rPr>
      </w:pPr>
      <w:r w:rsidRPr="00531358">
        <w:rPr>
          <w:sz w:val="24"/>
          <w:szCs w:val="24"/>
          <w:lang w:val="es-ES"/>
        </w:rPr>
        <w:t>Efectivamente, dictada la sentencia en un caso, la Corte</w:t>
      </w:r>
      <w:r w:rsidR="002A7361" w:rsidRPr="00531358">
        <w:rPr>
          <w:sz w:val="24"/>
          <w:szCs w:val="24"/>
          <w:lang w:val="es-ES"/>
        </w:rPr>
        <w:t xml:space="preserve"> </w:t>
      </w:r>
      <w:r w:rsidRPr="00531358">
        <w:rPr>
          <w:sz w:val="24"/>
          <w:szCs w:val="24"/>
          <w:lang w:val="es-ES"/>
        </w:rPr>
        <w:t>solo puede, conforme a lo prescrito en la Convención,</w:t>
      </w:r>
      <w:r w:rsidR="00A86B77">
        <w:rPr>
          <w:rFonts w:cs="Arial"/>
          <w:sz w:val="24"/>
          <w:szCs w:val="24"/>
        </w:rPr>
        <w:t xml:space="preserve"> i</w:t>
      </w:r>
      <w:r w:rsidRPr="00531358">
        <w:rPr>
          <w:rFonts w:cs="Arial"/>
          <w:sz w:val="24"/>
          <w:szCs w:val="24"/>
        </w:rPr>
        <w:t>nterpretarla si así es requerida</w:t>
      </w:r>
      <w:r w:rsidRPr="00531358">
        <w:rPr>
          <w:rStyle w:val="Refdenotaalpie"/>
          <w:rFonts w:cs="Arial"/>
          <w:sz w:val="24"/>
          <w:szCs w:val="24"/>
        </w:rPr>
        <w:footnoteReference w:id="7"/>
      </w:r>
      <w:r w:rsidRPr="00531358">
        <w:rPr>
          <w:rFonts w:cs="Arial"/>
          <w:sz w:val="24"/>
          <w:szCs w:val="24"/>
        </w:rPr>
        <w:t xml:space="preserve"> e informar a la Asamblea General de la Organización de los Estados Americanos, en el informe anual que debe re</w:t>
      </w:r>
      <w:r w:rsidR="009756B4" w:rsidRPr="00531358">
        <w:rPr>
          <w:rFonts w:cs="Arial"/>
          <w:sz w:val="24"/>
          <w:szCs w:val="24"/>
        </w:rPr>
        <w:t xml:space="preserve">mitirle, si no </w:t>
      </w:r>
      <w:r w:rsidRPr="00531358">
        <w:rPr>
          <w:rFonts w:cs="Arial"/>
          <w:sz w:val="24"/>
          <w:szCs w:val="24"/>
        </w:rPr>
        <w:t>ha sido cumplida</w:t>
      </w:r>
      <w:r w:rsidRPr="00531358">
        <w:rPr>
          <w:rStyle w:val="Refdenotaalpie"/>
          <w:rFonts w:cs="Arial"/>
          <w:sz w:val="24"/>
          <w:szCs w:val="24"/>
        </w:rPr>
        <w:footnoteReference w:id="8"/>
      </w:r>
      <w:r w:rsidRPr="00531358">
        <w:rPr>
          <w:rFonts w:cs="Arial"/>
          <w:sz w:val="24"/>
          <w:szCs w:val="24"/>
        </w:rPr>
        <w:t>. A su vez y en esa hip</w:t>
      </w:r>
      <w:r w:rsidR="00FB0A24" w:rsidRPr="00531358">
        <w:rPr>
          <w:rFonts w:cs="Arial"/>
          <w:sz w:val="24"/>
          <w:szCs w:val="24"/>
        </w:rPr>
        <w:t xml:space="preserve">ótesis, el Estatuto </w:t>
      </w:r>
      <w:r w:rsidRPr="00531358">
        <w:rPr>
          <w:rFonts w:cs="Arial"/>
          <w:sz w:val="24"/>
          <w:szCs w:val="24"/>
        </w:rPr>
        <w:t>solo contempla el mencionado informe a</w:t>
      </w:r>
      <w:r w:rsidR="009756B4" w:rsidRPr="00531358">
        <w:rPr>
          <w:rFonts w:cs="Arial"/>
          <w:sz w:val="24"/>
          <w:szCs w:val="24"/>
        </w:rPr>
        <w:t>nual</w:t>
      </w:r>
      <w:r w:rsidRPr="00531358">
        <w:rPr>
          <w:rStyle w:val="Refdenotaalpie"/>
          <w:rFonts w:cs="Arial"/>
          <w:sz w:val="24"/>
          <w:szCs w:val="24"/>
        </w:rPr>
        <w:footnoteReference w:id="9"/>
      </w:r>
      <w:r w:rsidRPr="00531358">
        <w:rPr>
          <w:rFonts w:cs="Arial"/>
          <w:sz w:val="24"/>
          <w:szCs w:val="24"/>
        </w:rPr>
        <w:t xml:space="preserve"> y</w:t>
      </w:r>
      <w:r w:rsidR="00A86B77">
        <w:rPr>
          <w:rFonts w:cs="Arial"/>
          <w:sz w:val="24"/>
          <w:szCs w:val="24"/>
        </w:rPr>
        <w:t>,</w:t>
      </w:r>
      <w:r w:rsidRPr="00531358">
        <w:rPr>
          <w:rFonts w:cs="Arial"/>
          <w:sz w:val="24"/>
          <w:szCs w:val="24"/>
        </w:rPr>
        <w:t xml:space="preserve"> a su t</w:t>
      </w:r>
      <w:r w:rsidR="00FB0A24" w:rsidRPr="00531358">
        <w:rPr>
          <w:rFonts w:cs="Arial"/>
          <w:sz w:val="24"/>
          <w:szCs w:val="24"/>
        </w:rPr>
        <w:t xml:space="preserve">urno, el Reglamento </w:t>
      </w:r>
      <w:r w:rsidRPr="00531358">
        <w:rPr>
          <w:rFonts w:cs="Arial"/>
          <w:sz w:val="24"/>
          <w:szCs w:val="24"/>
        </w:rPr>
        <w:t>regula la sentencia de reparaciones y costas</w:t>
      </w:r>
      <w:r w:rsidRPr="00531358">
        <w:rPr>
          <w:rStyle w:val="Refdenotaalpie"/>
          <w:rFonts w:cs="Arial"/>
          <w:sz w:val="24"/>
          <w:szCs w:val="24"/>
        </w:rPr>
        <w:footnoteReference w:id="10"/>
      </w:r>
      <w:r w:rsidRPr="00531358">
        <w:rPr>
          <w:rFonts w:cs="Arial"/>
          <w:sz w:val="24"/>
          <w:szCs w:val="24"/>
        </w:rPr>
        <w:t>, el recurso de interpretación</w:t>
      </w:r>
      <w:r w:rsidRPr="00531358">
        <w:rPr>
          <w:rStyle w:val="Refdenotaalpie"/>
          <w:rFonts w:cs="Arial"/>
          <w:sz w:val="24"/>
          <w:szCs w:val="24"/>
        </w:rPr>
        <w:footnoteReference w:id="11"/>
      </w:r>
      <w:r w:rsidRPr="00531358">
        <w:rPr>
          <w:rFonts w:cs="Arial"/>
          <w:sz w:val="24"/>
          <w:szCs w:val="24"/>
        </w:rPr>
        <w:t>, la supervisión del cumplimiento de sentencias y otras decisiones del Tribunal</w:t>
      </w:r>
      <w:r w:rsidRPr="00531358">
        <w:rPr>
          <w:rStyle w:val="Refdenotaalpie"/>
          <w:rFonts w:cs="Arial"/>
          <w:sz w:val="24"/>
          <w:szCs w:val="24"/>
        </w:rPr>
        <w:footnoteReference w:id="12"/>
      </w:r>
      <w:r w:rsidRPr="00531358">
        <w:rPr>
          <w:rFonts w:cs="Arial"/>
          <w:sz w:val="24"/>
          <w:szCs w:val="24"/>
        </w:rPr>
        <w:t xml:space="preserve"> y la enmienda de errores notorios, de edición </w:t>
      </w:r>
      <w:r w:rsidRPr="00531358">
        <w:rPr>
          <w:rFonts w:cs="Arial"/>
          <w:sz w:val="24"/>
          <w:szCs w:val="24"/>
        </w:rPr>
        <w:lastRenderedPageBreak/>
        <w:t>o de cálculo</w:t>
      </w:r>
      <w:r w:rsidRPr="00531358">
        <w:rPr>
          <w:rStyle w:val="Refdenotaalpie"/>
          <w:rFonts w:cs="Arial"/>
          <w:sz w:val="24"/>
          <w:szCs w:val="24"/>
        </w:rPr>
        <w:footnoteReference w:id="13"/>
      </w:r>
      <w:r w:rsidR="009756B4" w:rsidRPr="00531358">
        <w:rPr>
          <w:rFonts w:cs="Arial"/>
          <w:sz w:val="24"/>
          <w:szCs w:val="24"/>
        </w:rPr>
        <w:t>.</w:t>
      </w:r>
      <w:r w:rsidR="00C3585E" w:rsidRPr="00531358">
        <w:rPr>
          <w:rFonts w:cs="Arial"/>
          <w:sz w:val="24"/>
          <w:szCs w:val="24"/>
        </w:rPr>
        <w:t xml:space="preserve"> Cabe advertir, especialmente en vista de la so</w:t>
      </w:r>
      <w:r w:rsidR="00A86B77">
        <w:rPr>
          <w:rFonts w:cs="Arial"/>
          <w:sz w:val="24"/>
          <w:szCs w:val="24"/>
        </w:rPr>
        <w:t>licitud del señor May Cantillano</w:t>
      </w:r>
      <w:r w:rsidR="00C3585E" w:rsidRPr="00531358">
        <w:rPr>
          <w:rFonts w:cs="Arial"/>
          <w:sz w:val="24"/>
          <w:szCs w:val="24"/>
        </w:rPr>
        <w:t xml:space="preserve"> de que se decreten medidas cautelares en “</w:t>
      </w:r>
      <w:r w:rsidR="00C3585E" w:rsidRPr="00531358">
        <w:rPr>
          <w:rFonts w:cs="Arial"/>
          <w:i/>
          <w:sz w:val="24"/>
          <w:szCs w:val="24"/>
        </w:rPr>
        <w:t>fase de ejecución de sentencia</w:t>
      </w:r>
      <w:r w:rsidR="00C3585E" w:rsidRPr="00531358">
        <w:rPr>
          <w:rFonts w:cs="Arial"/>
          <w:sz w:val="24"/>
          <w:szCs w:val="24"/>
        </w:rPr>
        <w:t>”</w:t>
      </w:r>
      <w:r w:rsidR="00FB0A24" w:rsidRPr="00531358">
        <w:rPr>
          <w:rFonts w:cs="Arial"/>
          <w:sz w:val="24"/>
          <w:szCs w:val="24"/>
        </w:rPr>
        <w:t>, que</w:t>
      </w:r>
      <w:r w:rsidR="00A86B77">
        <w:rPr>
          <w:rFonts w:cs="Arial"/>
          <w:sz w:val="24"/>
          <w:szCs w:val="24"/>
        </w:rPr>
        <w:t xml:space="preserve"> en</w:t>
      </w:r>
      <w:r w:rsidR="00FB0A24" w:rsidRPr="00531358">
        <w:rPr>
          <w:rFonts w:cs="Arial"/>
          <w:sz w:val="24"/>
          <w:szCs w:val="24"/>
        </w:rPr>
        <w:t xml:space="preserve"> el procedimiento reglamentario de supervisió</w:t>
      </w:r>
      <w:r w:rsidR="00A86B77">
        <w:rPr>
          <w:rFonts w:cs="Arial"/>
          <w:sz w:val="24"/>
          <w:szCs w:val="24"/>
        </w:rPr>
        <w:t>n de cumplimiento de sentencias</w:t>
      </w:r>
      <w:r w:rsidR="00FB0A24" w:rsidRPr="00531358">
        <w:rPr>
          <w:rFonts w:cs="Arial"/>
          <w:sz w:val="24"/>
          <w:szCs w:val="24"/>
        </w:rPr>
        <w:t xml:space="preserve"> tampoco se contempla la posibilidad de dictar medidas provisionales.</w:t>
      </w:r>
    </w:p>
    <w:p w:rsidR="00D607BF" w:rsidRPr="00531358" w:rsidRDefault="00D607BF" w:rsidP="00203404">
      <w:pPr>
        <w:spacing w:after="0"/>
        <w:jc w:val="both"/>
        <w:rPr>
          <w:rFonts w:cs="Arial"/>
          <w:sz w:val="24"/>
          <w:szCs w:val="24"/>
        </w:rPr>
      </w:pPr>
    </w:p>
    <w:p w:rsidR="00D607BF" w:rsidRPr="00531358" w:rsidRDefault="00D607BF" w:rsidP="00203404">
      <w:pPr>
        <w:spacing w:after="0"/>
        <w:jc w:val="both"/>
        <w:rPr>
          <w:rFonts w:cs="Arial"/>
          <w:sz w:val="24"/>
          <w:szCs w:val="24"/>
        </w:rPr>
      </w:pPr>
      <w:r w:rsidRPr="00531358">
        <w:rPr>
          <w:rFonts w:cs="Arial"/>
          <w:sz w:val="24"/>
          <w:szCs w:val="24"/>
        </w:rPr>
        <w:t>En suma, en razón del principio de derecho público de que solo se puede hacer lo que la norma dispone y consideran</w:t>
      </w:r>
      <w:r w:rsidR="00125F23" w:rsidRPr="00531358">
        <w:rPr>
          <w:rFonts w:cs="Arial"/>
          <w:sz w:val="24"/>
          <w:szCs w:val="24"/>
        </w:rPr>
        <w:t>do que disposición</w:t>
      </w:r>
      <w:r w:rsidRPr="00531358">
        <w:rPr>
          <w:rFonts w:cs="Arial"/>
          <w:sz w:val="24"/>
          <w:szCs w:val="24"/>
        </w:rPr>
        <w:t xml:space="preserve"> alguna faculta a la Corte para dictar medidas provisionales una vez que ha emitido el fallo definitivo e inapelable en el caso de que se trate, si las emitiese</w:t>
      </w:r>
      <w:r w:rsidR="00125F23" w:rsidRPr="00531358">
        <w:rPr>
          <w:rFonts w:cs="Arial"/>
          <w:sz w:val="24"/>
          <w:szCs w:val="24"/>
        </w:rPr>
        <w:t>,</w:t>
      </w:r>
      <w:r w:rsidRPr="00531358">
        <w:rPr>
          <w:rFonts w:cs="Arial"/>
          <w:sz w:val="24"/>
          <w:szCs w:val="24"/>
        </w:rPr>
        <w:t xml:space="preserve"> implicaría que continuaría conociendo o juzgando este </w:t>
      </w:r>
      <w:r w:rsidR="00125F23" w:rsidRPr="00531358">
        <w:rPr>
          <w:rFonts w:cs="Arial"/>
          <w:sz w:val="24"/>
          <w:szCs w:val="24"/>
        </w:rPr>
        <w:t>último</w:t>
      </w:r>
      <w:r w:rsidR="00FE0C46">
        <w:rPr>
          <w:rFonts w:cs="Arial"/>
          <w:sz w:val="24"/>
          <w:szCs w:val="24"/>
        </w:rPr>
        <w:t>, que la controversia que ha conocido y resuelto continuaría</w:t>
      </w:r>
      <w:r w:rsidR="00125F23" w:rsidRPr="00531358">
        <w:rPr>
          <w:rFonts w:cs="Arial"/>
          <w:sz w:val="24"/>
          <w:szCs w:val="24"/>
        </w:rPr>
        <w:t>.</w:t>
      </w:r>
    </w:p>
    <w:p w:rsidR="00125F23" w:rsidRPr="00531358" w:rsidRDefault="00125F23" w:rsidP="00203404">
      <w:pPr>
        <w:spacing w:after="0"/>
        <w:jc w:val="both"/>
        <w:rPr>
          <w:rFonts w:cs="Arial"/>
          <w:sz w:val="24"/>
          <w:szCs w:val="24"/>
        </w:rPr>
      </w:pPr>
    </w:p>
    <w:p w:rsidR="00125F23" w:rsidRPr="00531358" w:rsidRDefault="00FE0C46" w:rsidP="00203404">
      <w:pPr>
        <w:spacing w:after="0"/>
        <w:jc w:val="both"/>
        <w:rPr>
          <w:rFonts w:cs="Arial"/>
          <w:sz w:val="24"/>
          <w:szCs w:val="24"/>
        </w:rPr>
      </w:pPr>
      <w:r>
        <w:rPr>
          <w:rFonts w:cs="Arial"/>
          <w:sz w:val="24"/>
          <w:szCs w:val="24"/>
        </w:rPr>
        <w:t>Es decir</w:t>
      </w:r>
      <w:r w:rsidR="00125F23" w:rsidRPr="00531358">
        <w:rPr>
          <w:rFonts w:cs="Arial"/>
          <w:sz w:val="24"/>
          <w:szCs w:val="24"/>
        </w:rPr>
        <w:t xml:space="preserve">, si </w:t>
      </w:r>
      <w:r w:rsidR="008451D2" w:rsidRPr="00531358">
        <w:rPr>
          <w:rFonts w:cs="Arial"/>
          <w:sz w:val="24"/>
          <w:szCs w:val="24"/>
        </w:rPr>
        <w:t xml:space="preserve">se </w:t>
      </w:r>
      <w:r w:rsidR="00125F23" w:rsidRPr="00531358">
        <w:rPr>
          <w:rFonts w:cs="Arial"/>
          <w:sz w:val="24"/>
          <w:szCs w:val="24"/>
        </w:rPr>
        <w:t>decretara</w:t>
      </w:r>
      <w:r w:rsidR="008451D2" w:rsidRPr="00531358">
        <w:rPr>
          <w:rFonts w:cs="Arial"/>
          <w:sz w:val="24"/>
          <w:szCs w:val="24"/>
        </w:rPr>
        <w:t>n</w:t>
      </w:r>
      <w:r w:rsidR="00125F23" w:rsidRPr="00531358">
        <w:rPr>
          <w:rFonts w:cs="Arial"/>
          <w:sz w:val="24"/>
          <w:szCs w:val="24"/>
        </w:rPr>
        <w:t xml:space="preserve"> tales medidas importaría </w:t>
      </w:r>
      <w:r w:rsidR="008451D2" w:rsidRPr="00531358">
        <w:rPr>
          <w:rFonts w:cs="Arial"/>
          <w:sz w:val="24"/>
          <w:szCs w:val="24"/>
        </w:rPr>
        <w:t xml:space="preserve">que la Corte reconocería </w:t>
      </w:r>
      <w:r w:rsidR="00125F23" w:rsidRPr="00531358">
        <w:rPr>
          <w:rFonts w:cs="Arial"/>
          <w:sz w:val="24"/>
          <w:szCs w:val="24"/>
        </w:rPr>
        <w:t>que la sentencia correspondiente, en la que</w:t>
      </w:r>
      <w:r w:rsidR="00306622" w:rsidRPr="00531358">
        <w:rPr>
          <w:rFonts w:cs="Arial"/>
          <w:sz w:val="24"/>
          <w:szCs w:val="24"/>
        </w:rPr>
        <w:t xml:space="preserve"> </w:t>
      </w:r>
      <w:r w:rsidR="008451D2" w:rsidRPr="00531358">
        <w:rPr>
          <w:rFonts w:cs="Arial"/>
          <w:sz w:val="24"/>
          <w:szCs w:val="24"/>
        </w:rPr>
        <w:t xml:space="preserve">se </w:t>
      </w:r>
      <w:r w:rsidR="00306622" w:rsidRPr="00531358">
        <w:rPr>
          <w:rFonts w:cs="Arial"/>
          <w:sz w:val="24"/>
          <w:szCs w:val="24"/>
        </w:rPr>
        <w:t xml:space="preserve">haya decidido </w:t>
      </w:r>
      <w:r w:rsidR="00306622" w:rsidRPr="00531358">
        <w:rPr>
          <w:rFonts w:cs="Tahoma"/>
          <w:sz w:val="24"/>
          <w:szCs w:val="24"/>
        </w:rPr>
        <w:t xml:space="preserve">que </w:t>
      </w:r>
      <w:r w:rsidR="00FB0A24" w:rsidRPr="00531358">
        <w:rPr>
          <w:rFonts w:cs="Tahoma"/>
          <w:sz w:val="24"/>
          <w:szCs w:val="24"/>
        </w:rPr>
        <w:t>“</w:t>
      </w:r>
      <w:r w:rsidR="00306622" w:rsidRPr="00531358">
        <w:rPr>
          <w:rFonts w:cs="Tahoma"/>
          <w:i/>
          <w:sz w:val="24"/>
          <w:szCs w:val="24"/>
        </w:rPr>
        <w:t>hubo violación de un derecho o libertad protegidos en</w:t>
      </w:r>
      <w:r w:rsidR="00FB0A24" w:rsidRPr="00531358">
        <w:rPr>
          <w:rFonts w:cs="Tahoma"/>
          <w:i/>
          <w:sz w:val="24"/>
          <w:szCs w:val="24"/>
        </w:rPr>
        <w:t>”</w:t>
      </w:r>
      <w:r w:rsidR="00306622" w:rsidRPr="00531358">
        <w:rPr>
          <w:rFonts w:cs="Tahoma"/>
          <w:sz w:val="24"/>
          <w:szCs w:val="24"/>
        </w:rPr>
        <w:t xml:space="preserve"> la Convención y, por ende, dispuesto </w:t>
      </w:r>
      <w:r w:rsidR="00B32A63" w:rsidRPr="00531358">
        <w:rPr>
          <w:rFonts w:cs="Tahoma"/>
          <w:i/>
          <w:sz w:val="24"/>
          <w:szCs w:val="24"/>
        </w:rPr>
        <w:t xml:space="preserve">“que </w:t>
      </w:r>
      <w:r w:rsidR="00306622" w:rsidRPr="00531358">
        <w:rPr>
          <w:rFonts w:cs="Tahoma"/>
          <w:i/>
          <w:sz w:val="24"/>
          <w:szCs w:val="24"/>
        </w:rPr>
        <w:t>se garantice al lesionado en el goce de su derecho o libertad conculcados</w:t>
      </w:r>
      <w:r w:rsidR="00B32A63" w:rsidRPr="00531358">
        <w:rPr>
          <w:rFonts w:cs="Arial"/>
          <w:i/>
          <w:sz w:val="24"/>
          <w:szCs w:val="24"/>
        </w:rPr>
        <w:t>“</w:t>
      </w:r>
      <w:r w:rsidR="00306622" w:rsidRPr="00531358">
        <w:rPr>
          <w:rStyle w:val="Refdenotaalpie"/>
          <w:rFonts w:cs="Arial"/>
          <w:sz w:val="24"/>
          <w:szCs w:val="24"/>
        </w:rPr>
        <w:footnoteReference w:id="14"/>
      </w:r>
      <w:r w:rsidR="00306622" w:rsidRPr="00531358">
        <w:rPr>
          <w:rFonts w:cs="Arial"/>
          <w:sz w:val="24"/>
          <w:szCs w:val="24"/>
        </w:rPr>
        <w:t xml:space="preserve">, </w:t>
      </w:r>
      <w:r w:rsidR="008451D2" w:rsidRPr="00531358">
        <w:rPr>
          <w:rFonts w:cs="Arial"/>
          <w:sz w:val="24"/>
          <w:szCs w:val="24"/>
        </w:rPr>
        <w:t>no ha cumplido con su cometido, no ha sido</w:t>
      </w:r>
      <w:r w:rsidR="00306622" w:rsidRPr="00531358">
        <w:rPr>
          <w:rFonts w:cs="Arial"/>
          <w:sz w:val="24"/>
          <w:szCs w:val="24"/>
        </w:rPr>
        <w:t xml:space="preserve"> suficiente para </w:t>
      </w:r>
      <w:r w:rsidR="00A01B89" w:rsidRPr="00531358">
        <w:rPr>
          <w:rFonts w:cs="Arial"/>
          <w:sz w:val="24"/>
          <w:szCs w:val="24"/>
        </w:rPr>
        <w:t>“</w:t>
      </w:r>
      <w:r w:rsidR="00306622" w:rsidRPr="00531358">
        <w:rPr>
          <w:rFonts w:cs="Arial"/>
          <w:i/>
          <w:sz w:val="24"/>
          <w:szCs w:val="24"/>
        </w:rPr>
        <w:t>evitar daños irreparables</w:t>
      </w:r>
      <w:r w:rsidR="00A01B89" w:rsidRPr="00531358">
        <w:rPr>
          <w:rFonts w:cs="Arial"/>
          <w:sz w:val="24"/>
          <w:szCs w:val="24"/>
        </w:rPr>
        <w:t>”</w:t>
      </w:r>
      <w:r w:rsidR="00306622" w:rsidRPr="00531358">
        <w:rPr>
          <w:rFonts w:cs="Arial"/>
          <w:sz w:val="24"/>
          <w:szCs w:val="24"/>
        </w:rPr>
        <w:t xml:space="preserve"> que tal violación </w:t>
      </w:r>
      <w:r w:rsidR="008451D2" w:rsidRPr="00531358">
        <w:rPr>
          <w:rFonts w:cs="Arial"/>
          <w:sz w:val="24"/>
          <w:szCs w:val="24"/>
        </w:rPr>
        <w:t xml:space="preserve">genera en dicha persona, es decir, no ha sido en realidad definitiva, no ha resuelto el asunto o caso que le fue sometido y </w:t>
      </w:r>
      <w:r w:rsidR="00A01B89" w:rsidRPr="00531358">
        <w:rPr>
          <w:rFonts w:cs="Arial"/>
          <w:sz w:val="24"/>
          <w:szCs w:val="24"/>
        </w:rPr>
        <w:t xml:space="preserve">que </w:t>
      </w:r>
      <w:r w:rsidR="008451D2" w:rsidRPr="00531358">
        <w:rPr>
          <w:rFonts w:cs="Arial"/>
          <w:sz w:val="24"/>
          <w:szCs w:val="24"/>
        </w:rPr>
        <w:t>por ello sería menester</w:t>
      </w:r>
      <w:r w:rsidR="00306622" w:rsidRPr="00531358">
        <w:rPr>
          <w:rFonts w:cs="Arial"/>
          <w:sz w:val="24"/>
          <w:szCs w:val="24"/>
        </w:rPr>
        <w:t xml:space="preserve"> </w:t>
      </w:r>
      <w:r w:rsidR="008451D2" w:rsidRPr="00531358">
        <w:rPr>
          <w:rFonts w:cs="Arial"/>
          <w:sz w:val="24"/>
          <w:szCs w:val="24"/>
        </w:rPr>
        <w:t>dictar aquellas.</w:t>
      </w:r>
    </w:p>
    <w:p w:rsidR="00A01B89" w:rsidRPr="00531358" w:rsidRDefault="00A01B89" w:rsidP="00203404">
      <w:pPr>
        <w:spacing w:after="0"/>
        <w:jc w:val="both"/>
        <w:rPr>
          <w:rFonts w:cs="Arial"/>
          <w:sz w:val="24"/>
          <w:szCs w:val="24"/>
        </w:rPr>
      </w:pPr>
    </w:p>
    <w:p w:rsidR="00C17250" w:rsidRPr="00531358" w:rsidRDefault="008451D2" w:rsidP="00203404">
      <w:pPr>
        <w:autoSpaceDE w:val="0"/>
        <w:autoSpaceDN w:val="0"/>
        <w:adjustRightInd w:val="0"/>
        <w:jc w:val="both"/>
        <w:rPr>
          <w:rFonts w:cs="Arial"/>
          <w:sz w:val="24"/>
          <w:szCs w:val="24"/>
        </w:rPr>
      </w:pPr>
      <w:r w:rsidRPr="00531358">
        <w:rPr>
          <w:rFonts w:cs="Arial"/>
          <w:sz w:val="24"/>
          <w:szCs w:val="24"/>
        </w:rPr>
        <w:t>Es por</w:t>
      </w:r>
      <w:r w:rsidR="006E03C3">
        <w:rPr>
          <w:rFonts w:cs="Arial"/>
          <w:sz w:val="24"/>
          <w:szCs w:val="24"/>
        </w:rPr>
        <w:t xml:space="preserve"> todo </w:t>
      </w:r>
      <w:r w:rsidRPr="00531358">
        <w:rPr>
          <w:rFonts w:cs="Arial"/>
          <w:sz w:val="24"/>
          <w:szCs w:val="24"/>
        </w:rPr>
        <w:t>lo anterior, que el suscrito ha sostenido que tal vez sería necesario que en las sentencias en que declara la violación de la Convención, la Corte recordara más expresamente aún la obligación</w:t>
      </w:r>
      <w:r w:rsidR="00C17250" w:rsidRPr="00531358">
        <w:rPr>
          <w:rFonts w:cs="Arial"/>
          <w:sz w:val="24"/>
          <w:szCs w:val="24"/>
        </w:rPr>
        <w:t xml:space="preserve"> general y permanente</w:t>
      </w:r>
      <w:r w:rsidRPr="00531358">
        <w:rPr>
          <w:rFonts w:cs="Arial"/>
          <w:sz w:val="24"/>
          <w:szCs w:val="24"/>
        </w:rPr>
        <w:t xml:space="preserve"> de los Estados</w:t>
      </w:r>
      <w:r w:rsidR="00C17250" w:rsidRPr="00531358">
        <w:rPr>
          <w:rFonts w:cs="Arial"/>
          <w:sz w:val="24"/>
          <w:szCs w:val="24"/>
        </w:rPr>
        <w:t xml:space="preserve"> </w:t>
      </w:r>
      <w:r w:rsidR="00F65FF4" w:rsidRPr="00531358">
        <w:rPr>
          <w:rFonts w:cs="Arial"/>
          <w:sz w:val="24"/>
          <w:szCs w:val="24"/>
        </w:rPr>
        <w:t>d</w:t>
      </w:r>
      <w:r w:rsidR="00C17250" w:rsidRPr="00531358">
        <w:rPr>
          <w:rFonts w:cs="Arial"/>
          <w:sz w:val="24"/>
          <w:szCs w:val="24"/>
        </w:rPr>
        <w:t xml:space="preserve">e </w:t>
      </w:r>
      <w:r w:rsidR="00F65FF4" w:rsidRPr="00531358">
        <w:rPr>
          <w:rFonts w:cs="Arial"/>
          <w:i/>
          <w:sz w:val="24"/>
          <w:szCs w:val="24"/>
        </w:rPr>
        <w:t>“</w:t>
      </w:r>
      <w:r w:rsidR="00C17250" w:rsidRPr="00531358">
        <w:rPr>
          <w:rFonts w:cs="Arial"/>
          <w:i/>
          <w:sz w:val="24"/>
          <w:szCs w:val="24"/>
        </w:rPr>
        <w:t>respetar los derechos y libertades reconocidos en</w:t>
      </w:r>
      <w:r w:rsidR="00F65FF4" w:rsidRPr="00531358">
        <w:rPr>
          <w:rFonts w:cs="Arial"/>
          <w:i/>
          <w:sz w:val="24"/>
          <w:szCs w:val="24"/>
        </w:rPr>
        <w:t>”</w:t>
      </w:r>
      <w:r w:rsidR="00C17250" w:rsidRPr="00531358">
        <w:rPr>
          <w:rFonts w:cs="Arial"/>
          <w:sz w:val="24"/>
          <w:szCs w:val="24"/>
        </w:rPr>
        <w:t xml:space="preserve"> la Convención</w:t>
      </w:r>
      <w:r w:rsidR="00F65FF4" w:rsidRPr="00531358">
        <w:rPr>
          <w:rFonts w:cs="Arial"/>
          <w:sz w:val="24"/>
          <w:szCs w:val="24"/>
        </w:rPr>
        <w:t xml:space="preserve"> y de </w:t>
      </w:r>
      <w:r w:rsidR="00F65FF4" w:rsidRPr="00531358">
        <w:rPr>
          <w:rFonts w:cs="Arial"/>
          <w:i/>
          <w:sz w:val="24"/>
          <w:szCs w:val="24"/>
        </w:rPr>
        <w:t>“</w:t>
      </w:r>
      <w:r w:rsidR="00C17250" w:rsidRPr="00531358">
        <w:rPr>
          <w:rFonts w:cs="Arial"/>
          <w:i/>
          <w:sz w:val="24"/>
          <w:szCs w:val="24"/>
        </w:rPr>
        <w:t xml:space="preserve">garantizar su libre y pleno </w:t>
      </w:r>
      <w:r w:rsidR="00C17250" w:rsidRPr="00531358">
        <w:rPr>
          <w:rFonts w:cs="Arial"/>
          <w:i/>
          <w:sz w:val="24"/>
          <w:szCs w:val="24"/>
        </w:rPr>
        <w:lastRenderedPageBreak/>
        <w:t>ejercicio a toda persona que esté sujeta a su jurisdicción</w:t>
      </w:r>
      <w:r w:rsidR="00F65FF4" w:rsidRPr="00531358">
        <w:rPr>
          <w:rFonts w:cs="Arial"/>
          <w:i/>
          <w:sz w:val="24"/>
          <w:szCs w:val="24"/>
        </w:rPr>
        <w:t>”</w:t>
      </w:r>
      <w:r w:rsidR="00C17250" w:rsidRPr="00531358">
        <w:rPr>
          <w:rStyle w:val="Refdenotaalpie"/>
          <w:rFonts w:cs="Arial"/>
          <w:sz w:val="24"/>
          <w:szCs w:val="24"/>
        </w:rPr>
        <w:footnoteReference w:id="15"/>
      </w:r>
      <w:r w:rsidR="008E6DC5" w:rsidRPr="00531358">
        <w:rPr>
          <w:rFonts w:cs="Arial"/>
          <w:sz w:val="24"/>
          <w:szCs w:val="24"/>
        </w:rPr>
        <w:t xml:space="preserve">, y </w:t>
      </w:r>
      <w:r w:rsidR="00203404" w:rsidRPr="00531358">
        <w:rPr>
          <w:rFonts w:cs="Arial"/>
          <w:sz w:val="24"/>
          <w:szCs w:val="24"/>
        </w:rPr>
        <w:t>que ciertamente</w:t>
      </w:r>
      <w:r w:rsidR="008E6DC5" w:rsidRPr="00531358">
        <w:rPr>
          <w:rFonts w:cs="Arial"/>
          <w:sz w:val="24"/>
          <w:szCs w:val="24"/>
        </w:rPr>
        <w:t xml:space="preserve"> ella </w:t>
      </w:r>
      <w:r w:rsidR="00203404" w:rsidRPr="00531358">
        <w:rPr>
          <w:rFonts w:cs="Arial"/>
          <w:sz w:val="24"/>
          <w:szCs w:val="24"/>
        </w:rPr>
        <w:t>incluye</w:t>
      </w:r>
      <w:r w:rsidR="00F65FF4" w:rsidRPr="00531358">
        <w:rPr>
          <w:rFonts w:cs="Arial"/>
          <w:sz w:val="24"/>
          <w:szCs w:val="24"/>
        </w:rPr>
        <w:t xml:space="preserve"> particularmente</w:t>
      </w:r>
      <w:r w:rsidR="00203404" w:rsidRPr="00531358">
        <w:rPr>
          <w:rFonts w:cs="Arial"/>
          <w:sz w:val="24"/>
          <w:szCs w:val="24"/>
        </w:rPr>
        <w:t xml:space="preserve"> la obligación de </w:t>
      </w:r>
      <w:r w:rsidR="00F65FF4" w:rsidRPr="00531358">
        <w:rPr>
          <w:rFonts w:cs="Arial"/>
          <w:i/>
          <w:sz w:val="24"/>
          <w:szCs w:val="24"/>
        </w:rPr>
        <w:t>“</w:t>
      </w:r>
      <w:r w:rsidR="00203404" w:rsidRPr="00531358">
        <w:rPr>
          <w:rFonts w:cs="Arial"/>
          <w:i/>
          <w:sz w:val="24"/>
          <w:szCs w:val="24"/>
        </w:rPr>
        <w:t>evitar daños irreparables a las personas</w:t>
      </w:r>
      <w:r w:rsidR="00F65FF4" w:rsidRPr="00531358">
        <w:rPr>
          <w:rFonts w:cs="Arial"/>
          <w:i/>
          <w:sz w:val="24"/>
          <w:szCs w:val="24"/>
        </w:rPr>
        <w:t>”</w:t>
      </w:r>
      <w:r w:rsidR="00F65FF4" w:rsidRPr="00531358">
        <w:rPr>
          <w:rStyle w:val="Refdenotaalpie"/>
          <w:rFonts w:cs="Arial"/>
          <w:sz w:val="24"/>
          <w:szCs w:val="24"/>
        </w:rPr>
        <w:footnoteReference w:id="16"/>
      </w:r>
      <w:r w:rsidR="009178DC" w:rsidRPr="00531358">
        <w:rPr>
          <w:rFonts w:cs="Arial"/>
          <w:sz w:val="24"/>
          <w:szCs w:val="24"/>
        </w:rPr>
        <w:t xml:space="preserve"> </w:t>
      </w:r>
      <w:r w:rsidR="00203404" w:rsidRPr="00531358">
        <w:rPr>
          <w:rFonts w:cs="Arial"/>
          <w:sz w:val="24"/>
          <w:szCs w:val="24"/>
        </w:rPr>
        <w:t>involucradas en el caso o asunto de que se trate</w:t>
      </w:r>
      <w:r w:rsidR="00C02F48">
        <w:rPr>
          <w:rFonts w:cs="Arial"/>
          <w:sz w:val="24"/>
          <w:szCs w:val="24"/>
        </w:rPr>
        <w:t>. Q</w:t>
      </w:r>
      <w:r w:rsidR="008E6DC5" w:rsidRPr="00531358">
        <w:rPr>
          <w:rFonts w:cs="Arial"/>
          <w:sz w:val="24"/>
          <w:szCs w:val="24"/>
        </w:rPr>
        <w:t xml:space="preserve">uizá sería igualmente conveniente que </w:t>
      </w:r>
      <w:r w:rsidR="00B32A63" w:rsidRPr="00531358">
        <w:rPr>
          <w:rFonts w:cs="Arial"/>
          <w:sz w:val="24"/>
          <w:szCs w:val="24"/>
        </w:rPr>
        <w:t>dispusiera que, como parte del procedimiento de supervisión del cumplimiento de la respectiva sentencia</w:t>
      </w:r>
      <w:r w:rsidR="008E6DC5" w:rsidRPr="00531358">
        <w:rPr>
          <w:rFonts w:cs="Arial"/>
          <w:sz w:val="24"/>
          <w:szCs w:val="24"/>
        </w:rPr>
        <w:t>, que se le informara sobre las medidas adoptadas por el correspondiente Estado para erradicar la situación de extrema gravedad y urg</w:t>
      </w:r>
      <w:r w:rsidR="00C02F48">
        <w:rPr>
          <w:rFonts w:cs="Arial"/>
          <w:sz w:val="24"/>
          <w:szCs w:val="24"/>
        </w:rPr>
        <w:t xml:space="preserve">encia </w:t>
      </w:r>
      <w:r w:rsidR="008E6DC5" w:rsidRPr="00531358">
        <w:rPr>
          <w:rFonts w:cs="Arial"/>
          <w:sz w:val="24"/>
          <w:szCs w:val="24"/>
        </w:rPr>
        <w:t xml:space="preserve">que dieron origen a las medidas provisionales que se dictaron en la respectiva causa </w:t>
      </w:r>
      <w:r w:rsidR="00531358" w:rsidRPr="00531358">
        <w:rPr>
          <w:rFonts w:cs="Arial"/>
          <w:sz w:val="24"/>
          <w:szCs w:val="24"/>
        </w:rPr>
        <w:t xml:space="preserve">en vista de la necesidad de </w:t>
      </w:r>
      <w:r w:rsidR="008E6DC5" w:rsidRPr="00531358">
        <w:rPr>
          <w:rFonts w:cs="Arial"/>
          <w:i/>
          <w:sz w:val="24"/>
          <w:szCs w:val="24"/>
        </w:rPr>
        <w:t>“evitar daños irreparables a las personas</w:t>
      </w:r>
      <w:r w:rsidR="00531358" w:rsidRPr="00531358">
        <w:rPr>
          <w:rFonts w:cs="Arial"/>
          <w:i/>
          <w:sz w:val="24"/>
          <w:szCs w:val="24"/>
        </w:rPr>
        <w:t xml:space="preserve">” </w:t>
      </w:r>
      <w:r w:rsidR="00531358" w:rsidRPr="00531358">
        <w:rPr>
          <w:rFonts w:cs="Arial"/>
          <w:sz w:val="24"/>
          <w:szCs w:val="24"/>
        </w:rPr>
        <w:t>involucradas en la misma.</w:t>
      </w:r>
    </w:p>
    <w:p w:rsidR="00D607BF" w:rsidRPr="00531358" w:rsidRDefault="00D607BF" w:rsidP="00203404">
      <w:pPr>
        <w:autoSpaceDE w:val="0"/>
        <w:autoSpaceDN w:val="0"/>
        <w:adjustRightInd w:val="0"/>
        <w:jc w:val="both"/>
        <w:rPr>
          <w:rFonts w:cs="Arial"/>
          <w:sz w:val="24"/>
          <w:szCs w:val="24"/>
        </w:rPr>
      </w:pPr>
      <w:r w:rsidRPr="00531358">
        <w:rPr>
          <w:rFonts w:cs="Arial"/>
          <w:sz w:val="24"/>
          <w:szCs w:val="24"/>
        </w:rPr>
        <w:t>Y, cierta</w:t>
      </w:r>
      <w:r w:rsidR="0049545C" w:rsidRPr="00531358">
        <w:rPr>
          <w:rFonts w:cs="Arial"/>
          <w:sz w:val="24"/>
          <w:szCs w:val="24"/>
        </w:rPr>
        <w:t>mente, todo ello no es óbice</w:t>
      </w:r>
      <w:r w:rsidRPr="00531358">
        <w:rPr>
          <w:rFonts w:cs="Arial"/>
          <w:sz w:val="24"/>
          <w:szCs w:val="24"/>
        </w:rPr>
        <w:t xml:space="preserve"> para que la Corte pueda</w:t>
      </w:r>
      <w:r w:rsidR="0049545C" w:rsidRPr="00531358">
        <w:rPr>
          <w:rFonts w:cs="Arial"/>
          <w:sz w:val="24"/>
          <w:szCs w:val="24"/>
        </w:rPr>
        <w:t xml:space="preserve"> ordenar</w:t>
      </w:r>
      <w:r w:rsidR="00122F27" w:rsidRPr="00531358">
        <w:rPr>
          <w:rFonts w:cs="Arial"/>
          <w:sz w:val="24"/>
          <w:szCs w:val="24"/>
        </w:rPr>
        <w:t xml:space="preserve"> nuevamente medidas provisionales </w:t>
      </w:r>
      <w:r w:rsidRPr="00531358">
        <w:rPr>
          <w:rFonts w:cs="Arial"/>
          <w:sz w:val="24"/>
          <w:szCs w:val="24"/>
        </w:rPr>
        <w:t xml:space="preserve">referidas a las mismas personas respecto de las que se dictaron en el caso ya </w:t>
      </w:r>
      <w:r w:rsidR="00B32A63" w:rsidRPr="00531358">
        <w:rPr>
          <w:rFonts w:cs="Arial"/>
          <w:sz w:val="24"/>
          <w:szCs w:val="24"/>
        </w:rPr>
        <w:t>resuelto, tanto en un nuevo asunto</w:t>
      </w:r>
      <w:r w:rsidRPr="00531358">
        <w:rPr>
          <w:rFonts w:cs="Arial"/>
          <w:sz w:val="24"/>
          <w:szCs w:val="24"/>
        </w:rPr>
        <w:t xml:space="preserve"> some</w:t>
      </w:r>
      <w:r w:rsidR="00122F27" w:rsidRPr="00531358">
        <w:rPr>
          <w:rFonts w:cs="Arial"/>
          <w:sz w:val="24"/>
          <w:szCs w:val="24"/>
        </w:rPr>
        <w:t>tido a su conocimiento, como</w:t>
      </w:r>
      <w:r w:rsidRPr="00531358">
        <w:rPr>
          <w:rFonts w:cs="Arial"/>
          <w:sz w:val="24"/>
          <w:szCs w:val="24"/>
        </w:rPr>
        <w:t xml:space="preserve"> en uno aún no sometido a su conocimiento, </w:t>
      </w:r>
      <w:r w:rsidR="00122F27" w:rsidRPr="00531358">
        <w:rPr>
          <w:rFonts w:cs="Arial"/>
          <w:sz w:val="24"/>
          <w:szCs w:val="24"/>
        </w:rPr>
        <w:t xml:space="preserve">si </w:t>
      </w:r>
      <w:r w:rsidRPr="00531358">
        <w:rPr>
          <w:rFonts w:cs="Arial"/>
          <w:sz w:val="24"/>
          <w:szCs w:val="24"/>
        </w:rPr>
        <w:t>la Comisión</w:t>
      </w:r>
      <w:r w:rsidR="009178DC" w:rsidRPr="00531358">
        <w:rPr>
          <w:rFonts w:cs="Arial"/>
          <w:sz w:val="24"/>
          <w:szCs w:val="24"/>
        </w:rPr>
        <w:t xml:space="preserve"> </w:t>
      </w:r>
      <w:r w:rsidRPr="00531358">
        <w:rPr>
          <w:rFonts w:cs="Arial"/>
          <w:sz w:val="24"/>
          <w:szCs w:val="24"/>
        </w:rPr>
        <w:t xml:space="preserve">fundadamente se lo solicita. </w:t>
      </w:r>
    </w:p>
    <w:p w:rsidR="00B32A63" w:rsidRPr="00531358" w:rsidRDefault="00B32A63" w:rsidP="00203404">
      <w:pPr>
        <w:autoSpaceDE w:val="0"/>
        <w:autoSpaceDN w:val="0"/>
        <w:adjustRightInd w:val="0"/>
        <w:jc w:val="both"/>
        <w:rPr>
          <w:rFonts w:cs="Arial"/>
          <w:sz w:val="24"/>
          <w:szCs w:val="24"/>
        </w:rPr>
      </w:pPr>
    </w:p>
    <w:p w:rsidR="00B32A63" w:rsidRPr="00531358" w:rsidRDefault="00B32A63" w:rsidP="00203404">
      <w:pPr>
        <w:autoSpaceDE w:val="0"/>
        <w:autoSpaceDN w:val="0"/>
        <w:adjustRightInd w:val="0"/>
        <w:jc w:val="both"/>
        <w:rPr>
          <w:rFonts w:cs="Arial"/>
          <w:sz w:val="24"/>
          <w:szCs w:val="24"/>
        </w:rPr>
      </w:pPr>
    </w:p>
    <w:p w:rsidR="00B32A63" w:rsidRPr="00531358" w:rsidRDefault="00B32A63" w:rsidP="00203404">
      <w:pPr>
        <w:autoSpaceDE w:val="0"/>
        <w:autoSpaceDN w:val="0"/>
        <w:adjustRightInd w:val="0"/>
        <w:jc w:val="both"/>
        <w:rPr>
          <w:rFonts w:cs="Arial"/>
          <w:sz w:val="24"/>
          <w:szCs w:val="24"/>
        </w:rPr>
      </w:pPr>
    </w:p>
    <w:p w:rsidR="00B32A63" w:rsidRPr="00531358" w:rsidRDefault="00B32A63" w:rsidP="00A65CB7">
      <w:pPr>
        <w:autoSpaceDE w:val="0"/>
        <w:autoSpaceDN w:val="0"/>
        <w:adjustRightInd w:val="0"/>
        <w:spacing w:after="0" w:line="240" w:lineRule="auto"/>
        <w:jc w:val="right"/>
        <w:rPr>
          <w:rFonts w:cs="Arial"/>
          <w:sz w:val="24"/>
          <w:szCs w:val="24"/>
        </w:rPr>
      </w:pPr>
      <w:r w:rsidRPr="00531358">
        <w:rPr>
          <w:rFonts w:cs="Arial"/>
          <w:sz w:val="24"/>
          <w:szCs w:val="24"/>
        </w:rPr>
        <w:t>EDUARDO VIO GROSSI</w:t>
      </w:r>
    </w:p>
    <w:p w:rsidR="00B32A63" w:rsidRPr="00531358" w:rsidRDefault="00A65CB7" w:rsidP="00A65CB7">
      <w:pPr>
        <w:autoSpaceDE w:val="0"/>
        <w:autoSpaceDN w:val="0"/>
        <w:adjustRightInd w:val="0"/>
        <w:spacing w:after="0" w:line="240" w:lineRule="auto"/>
        <w:jc w:val="center"/>
        <w:rPr>
          <w:rFonts w:cs="Arial"/>
          <w:sz w:val="24"/>
          <w:szCs w:val="24"/>
        </w:rPr>
      </w:pPr>
      <w:r>
        <w:rPr>
          <w:rFonts w:cs="Arial"/>
          <w:sz w:val="24"/>
          <w:szCs w:val="24"/>
        </w:rPr>
        <w:t xml:space="preserve">                                                                                                                </w:t>
      </w:r>
      <w:r w:rsidR="00B32A63" w:rsidRPr="00531358">
        <w:rPr>
          <w:rFonts w:cs="Arial"/>
          <w:sz w:val="24"/>
          <w:szCs w:val="24"/>
        </w:rPr>
        <w:t>Juez</w:t>
      </w:r>
    </w:p>
    <w:p w:rsidR="00D607BF" w:rsidRDefault="00D607BF" w:rsidP="00A65CB7">
      <w:pPr>
        <w:spacing w:after="0" w:line="240" w:lineRule="auto"/>
        <w:jc w:val="both"/>
        <w:rPr>
          <w:sz w:val="24"/>
          <w:szCs w:val="24"/>
        </w:rPr>
      </w:pPr>
    </w:p>
    <w:p w:rsidR="00A65CB7" w:rsidRDefault="00A65CB7" w:rsidP="00A65CB7">
      <w:pPr>
        <w:spacing w:after="0" w:line="240" w:lineRule="auto"/>
        <w:jc w:val="both"/>
        <w:rPr>
          <w:sz w:val="24"/>
          <w:szCs w:val="24"/>
        </w:rPr>
      </w:pPr>
    </w:p>
    <w:p w:rsidR="00A65CB7" w:rsidRDefault="00A65CB7" w:rsidP="00A65CB7">
      <w:pPr>
        <w:spacing w:after="0" w:line="240" w:lineRule="auto"/>
        <w:jc w:val="both"/>
        <w:rPr>
          <w:sz w:val="24"/>
          <w:szCs w:val="24"/>
        </w:rPr>
      </w:pPr>
    </w:p>
    <w:p w:rsidR="00A65CB7" w:rsidRDefault="00A65CB7" w:rsidP="00A65CB7">
      <w:pPr>
        <w:spacing w:after="0" w:line="240" w:lineRule="auto"/>
        <w:jc w:val="both"/>
        <w:rPr>
          <w:sz w:val="24"/>
          <w:szCs w:val="24"/>
        </w:rPr>
      </w:pPr>
    </w:p>
    <w:p w:rsidR="008439D5" w:rsidRDefault="005C518F" w:rsidP="00A65CB7">
      <w:pPr>
        <w:spacing w:after="0" w:line="240" w:lineRule="auto"/>
        <w:jc w:val="both"/>
        <w:rPr>
          <w:sz w:val="24"/>
          <w:szCs w:val="24"/>
          <w:lang w:val="es-ES"/>
        </w:rPr>
      </w:pPr>
      <w:r w:rsidRPr="00531358">
        <w:rPr>
          <w:sz w:val="24"/>
          <w:szCs w:val="24"/>
          <w:lang w:val="es-ES"/>
        </w:rPr>
        <w:t xml:space="preserve"> </w:t>
      </w:r>
      <w:r w:rsidR="00A65CB7">
        <w:rPr>
          <w:sz w:val="24"/>
          <w:szCs w:val="24"/>
          <w:lang w:val="es-ES"/>
        </w:rPr>
        <w:t>Pablo Saavedra Alessandri</w:t>
      </w:r>
    </w:p>
    <w:p w:rsidR="00A65CB7" w:rsidRPr="00531358" w:rsidRDefault="00A65CB7" w:rsidP="00A65CB7">
      <w:pPr>
        <w:spacing w:after="0" w:line="240" w:lineRule="auto"/>
        <w:jc w:val="both"/>
        <w:rPr>
          <w:sz w:val="24"/>
          <w:szCs w:val="24"/>
          <w:lang w:val="es-ES"/>
        </w:rPr>
      </w:pPr>
      <w:r>
        <w:rPr>
          <w:sz w:val="24"/>
          <w:szCs w:val="24"/>
          <w:lang w:val="es-ES"/>
        </w:rPr>
        <w:t xml:space="preserve">           Secretario </w:t>
      </w:r>
    </w:p>
    <w:sectPr w:rsidR="00A65CB7" w:rsidRPr="00531358" w:rsidSect="006851BB">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B60" w:rsidRDefault="00CB5B60" w:rsidP="00EC7C06">
      <w:pPr>
        <w:spacing w:after="0" w:line="240" w:lineRule="auto"/>
      </w:pPr>
      <w:r>
        <w:separator/>
      </w:r>
    </w:p>
  </w:endnote>
  <w:endnote w:type="continuationSeparator" w:id="0">
    <w:p w:rsidR="00CB5B60" w:rsidRDefault="00CB5B60" w:rsidP="00EC7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1BB" w:rsidRDefault="006851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CB7" w:rsidRDefault="00A65CB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1BB" w:rsidRDefault="006851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B60" w:rsidRDefault="00CB5B60" w:rsidP="00EC7C06">
      <w:pPr>
        <w:spacing w:after="0" w:line="240" w:lineRule="auto"/>
      </w:pPr>
      <w:r>
        <w:separator/>
      </w:r>
    </w:p>
  </w:footnote>
  <w:footnote w:type="continuationSeparator" w:id="0">
    <w:p w:rsidR="00CB5B60" w:rsidRDefault="00CB5B60" w:rsidP="00EC7C06">
      <w:pPr>
        <w:spacing w:after="0" w:line="240" w:lineRule="auto"/>
      </w:pPr>
      <w:r>
        <w:continuationSeparator/>
      </w:r>
    </w:p>
  </w:footnote>
  <w:footnote w:id="1">
    <w:p w:rsidR="00A65CB7" w:rsidRPr="0049545C" w:rsidRDefault="00A65CB7" w:rsidP="009756B4">
      <w:pPr>
        <w:pStyle w:val="Textonotapie"/>
        <w:spacing w:after="240"/>
        <w:jc w:val="both"/>
        <w:rPr>
          <w:lang w:val="es-ES"/>
        </w:rPr>
      </w:pPr>
      <w:r w:rsidRPr="0049545C">
        <w:rPr>
          <w:rStyle w:val="Refdenotaalpie"/>
        </w:rPr>
        <w:footnoteRef/>
      </w:r>
      <w:r w:rsidRPr="0049545C">
        <w:t xml:space="preserve"> </w:t>
      </w:r>
      <w:r w:rsidRPr="0049545C">
        <w:rPr>
          <w:rFonts w:cs="Calibri"/>
          <w:lang w:val="es-MX"/>
        </w:rPr>
        <w:t xml:space="preserve"> Especialmente en los Votos Disidentes de 15 de julio de 2011, respecto de la Resoluciones de la Corte relativas a “</w:t>
      </w:r>
      <w:r w:rsidRPr="0049545C">
        <w:rPr>
          <w:rFonts w:cs="Calibri"/>
          <w:i/>
          <w:lang w:val="es-MX"/>
        </w:rPr>
        <w:t>Medidas Provisionales respecto de la República de Colombia, Caso Gutiérrez Soler Vs. Colombia</w:t>
      </w:r>
      <w:r w:rsidRPr="0049545C">
        <w:rPr>
          <w:rFonts w:cs="Calibri"/>
          <w:lang w:val="es-MX"/>
        </w:rPr>
        <w:t>”, de 30 de junio de 2011; “</w:t>
      </w:r>
      <w:r w:rsidRPr="0049545C">
        <w:rPr>
          <w:rFonts w:cs="Calibri"/>
          <w:i/>
          <w:lang w:val="es-MX"/>
        </w:rPr>
        <w:t>Medidas Provisionales respecto de los Estados Unidos Mexicanos, Caso Rosendo Cantú y otra Vs. México</w:t>
      </w:r>
      <w:r w:rsidRPr="0049545C">
        <w:rPr>
          <w:rFonts w:cs="Calibri"/>
          <w:lang w:val="es-MX"/>
        </w:rPr>
        <w:t>”, de 1 de julio de 2011 y “</w:t>
      </w:r>
      <w:r w:rsidRPr="0049545C">
        <w:rPr>
          <w:rFonts w:cs="Calibri"/>
          <w:i/>
          <w:lang w:val="es-MX"/>
        </w:rPr>
        <w:t xml:space="preserve">Medidas Provisionales respecto de la República de Honduras, Caso </w:t>
      </w:r>
      <w:proofErr w:type="spellStart"/>
      <w:r w:rsidRPr="0049545C">
        <w:rPr>
          <w:rFonts w:cs="Calibri"/>
          <w:i/>
          <w:lang w:val="es-MX"/>
        </w:rPr>
        <w:t>Kawas</w:t>
      </w:r>
      <w:proofErr w:type="spellEnd"/>
      <w:r w:rsidRPr="0049545C">
        <w:rPr>
          <w:rFonts w:cs="Calibri"/>
          <w:i/>
          <w:lang w:val="es-MX"/>
        </w:rPr>
        <w:t xml:space="preserve"> Fernández Vs. Honduras</w:t>
      </w:r>
      <w:r w:rsidRPr="0049545C">
        <w:rPr>
          <w:rFonts w:cs="Calibri"/>
          <w:lang w:val="es-MX"/>
        </w:rPr>
        <w:t xml:space="preserve">”, de 5 de julio de 2011, y en el escrito de </w:t>
      </w:r>
      <w:r w:rsidRPr="0049545C">
        <w:rPr>
          <w:rFonts w:cs="Calibri"/>
          <w:i/>
          <w:lang w:val="es-MX"/>
        </w:rPr>
        <w:t>Constancia de Queja</w:t>
      </w:r>
      <w:r w:rsidRPr="0049545C">
        <w:rPr>
          <w:rFonts w:cs="Calibri"/>
          <w:lang w:val="es-MX"/>
        </w:rPr>
        <w:t xml:space="preserve"> que, relacionado con las mismas Resoluciones, presentó ante la Corte el 17 de agosto de 2011.</w:t>
      </w:r>
    </w:p>
  </w:footnote>
  <w:footnote w:id="2">
    <w:p w:rsidR="00A65CB7" w:rsidRPr="0049545C" w:rsidRDefault="00A65CB7" w:rsidP="00125F23">
      <w:pPr>
        <w:pStyle w:val="Textonotapie"/>
        <w:jc w:val="both"/>
        <w:rPr>
          <w:rFonts w:cs="Tahoma"/>
          <w:i/>
        </w:rPr>
      </w:pPr>
      <w:r w:rsidRPr="0049545C">
        <w:rPr>
          <w:rStyle w:val="Refdenotaalpie"/>
        </w:rPr>
        <w:footnoteRef/>
      </w:r>
      <w:r w:rsidRPr="0049545C">
        <w:t xml:space="preserve"> Art.62.3 de la Convención. </w:t>
      </w:r>
      <w:r w:rsidRPr="0049545C">
        <w:rPr>
          <w:i/>
        </w:rPr>
        <w:t>“</w:t>
      </w:r>
      <w:r w:rsidRPr="0049545C">
        <w:rPr>
          <w:rFonts w:cs="Tahoma"/>
          <w:i/>
        </w:rPr>
        <w:t>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p w:rsidR="00A65CB7" w:rsidRPr="0049545C" w:rsidRDefault="00A65CB7">
      <w:pPr>
        <w:pStyle w:val="Textonotapie"/>
      </w:pPr>
    </w:p>
  </w:footnote>
  <w:footnote w:id="3">
    <w:p w:rsidR="00A65CB7" w:rsidRPr="0049545C" w:rsidRDefault="00A65CB7" w:rsidP="009756B4">
      <w:pPr>
        <w:pStyle w:val="NormalWeb"/>
        <w:spacing w:before="0" w:beforeAutospacing="0" w:after="0" w:afterAutospacing="0"/>
        <w:jc w:val="both"/>
        <w:rPr>
          <w:rFonts w:ascii="Calibri" w:hAnsi="Calibri" w:cs="Arial"/>
          <w:i/>
          <w:sz w:val="20"/>
          <w:szCs w:val="20"/>
        </w:rPr>
      </w:pPr>
      <w:r w:rsidRPr="0049545C">
        <w:rPr>
          <w:rStyle w:val="Refdenotaalpie"/>
          <w:rFonts w:ascii="Calibri" w:hAnsi="Calibri"/>
          <w:sz w:val="20"/>
          <w:szCs w:val="20"/>
        </w:rPr>
        <w:footnoteRef/>
      </w:r>
      <w:r w:rsidRPr="0049545C">
        <w:rPr>
          <w:rFonts w:ascii="Calibri" w:hAnsi="Calibri"/>
          <w:sz w:val="20"/>
          <w:szCs w:val="20"/>
        </w:rPr>
        <w:t xml:space="preserve"> </w:t>
      </w:r>
      <w:r w:rsidRPr="0049545C">
        <w:rPr>
          <w:rFonts w:ascii="Calibri" w:hAnsi="Calibri" w:cs="Arial"/>
          <w:sz w:val="20"/>
          <w:szCs w:val="20"/>
        </w:rPr>
        <w:t> “</w:t>
      </w:r>
      <w:r w:rsidRPr="0049545C">
        <w:rPr>
          <w:rFonts w:ascii="Calibri" w:hAnsi="Calibri" w:cs="Arial"/>
          <w:i/>
          <w:sz w:val="20"/>
          <w:szCs w:val="20"/>
        </w:rPr>
        <w:t>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rsidR="00A65CB7" w:rsidRPr="0049545C" w:rsidRDefault="00A65CB7" w:rsidP="009756B4">
      <w:pPr>
        <w:pStyle w:val="Textonotapie"/>
        <w:jc w:val="both"/>
      </w:pPr>
    </w:p>
  </w:footnote>
  <w:footnote w:id="4">
    <w:p w:rsidR="00A65CB7" w:rsidRPr="00FD1BC0" w:rsidRDefault="00A65CB7" w:rsidP="00FD1BC0">
      <w:pPr>
        <w:pStyle w:val="Textonotapie"/>
        <w:jc w:val="both"/>
        <w:rPr>
          <w:i/>
        </w:rPr>
      </w:pPr>
      <w:r w:rsidRPr="00FD1BC0">
        <w:rPr>
          <w:rStyle w:val="Refdenotaalpie"/>
          <w:i/>
        </w:rPr>
        <w:footnoteRef/>
      </w:r>
      <w:r w:rsidRPr="00FD1BC0">
        <w:rPr>
          <w:i/>
        </w:rPr>
        <w:t xml:space="preserve"> </w:t>
      </w:r>
      <w:r>
        <w:t>Art. 27, 1 y 2:”</w:t>
      </w:r>
      <w:r w:rsidRPr="00FD1BC0">
        <w:rPr>
          <w:i/>
        </w:rPr>
        <w:t>1. En cualquier estado del procedimiento, siempre que se trate de casos d</w:t>
      </w:r>
      <w:r>
        <w:rPr>
          <w:i/>
        </w:rPr>
        <w:t xml:space="preserve">e extrema gravedad y urgencia y </w:t>
      </w:r>
      <w:r w:rsidRPr="00FD1BC0">
        <w:rPr>
          <w:i/>
        </w:rPr>
        <w:t>cuando sea necesario para evitar daños irreparables a las personas, la Cort</w:t>
      </w:r>
      <w:r>
        <w:rPr>
          <w:i/>
        </w:rPr>
        <w:t xml:space="preserve">e, de oficio, podrá ordenar las </w:t>
      </w:r>
      <w:r w:rsidRPr="00FD1BC0">
        <w:rPr>
          <w:i/>
        </w:rPr>
        <w:t xml:space="preserve">medidas provisionales que considere pertinentes, en los términos del artículo 63.2 de la Convención. </w:t>
      </w:r>
    </w:p>
    <w:p w:rsidR="00A65CB7" w:rsidRDefault="00A65CB7" w:rsidP="00FD1BC0">
      <w:pPr>
        <w:pStyle w:val="Textonotapie"/>
        <w:jc w:val="both"/>
        <w:rPr>
          <w:i/>
        </w:rPr>
      </w:pPr>
      <w:r w:rsidRPr="00FD1BC0">
        <w:rPr>
          <w:i/>
        </w:rPr>
        <w:t>2. Si se tratare de asuntos aún no sometidos a su conocimiento, la Corte podrá act</w:t>
      </w:r>
      <w:r>
        <w:rPr>
          <w:i/>
        </w:rPr>
        <w:t>uar a solicitud de la Comisión</w:t>
      </w:r>
      <w:r w:rsidRPr="00FD1BC0">
        <w:rPr>
          <w:i/>
        </w:rPr>
        <w:t>.”</w:t>
      </w:r>
    </w:p>
    <w:p w:rsidR="00A65CB7" w:rsidRPr="00FD1BC0" w:rsidRDefault="00A65CB7" w:rsidP="00FD1BC0">
      <w:pPr>
        <w:pStyle w:val="Textonotapie"/>
        <w:jc w:val="both"/>
      </w:pPr>
    </w:p>
  </w:footnote>
  <w:footnote w:id="5">
    <w:p w:rsidR="00A65CB7" w:rsidRPr="0049545C" w:rsidRDefault="00A65CB7" w:rsidP="009756B4">
      <w:pPr>
        <w:pStyle w:val="Textonotapie"/>
        <w:jc w:val="both"/>
        <w:rPr>
          <w:rFonts w:cs="Arial"/>
        </w:rPr>
      </w:pPr>
      <w:r w:rsidRPr="0049545C">
        <w:rPr>
          <w:rStyle w:val="Refdenotaalpie"/>
        </w:rPr>
        <w:footnoteRef/>
      </w:r>
      <w:r w:rsidRPr="0049545C">
        <w:t xml:space="preserve"> “Caso” y “asunto” son, a estos efectos, sinónimos de acuerdo a la Convención, la que</w:t>
      </w:r>
      <w:r w:rsidRPr="0049545C">
        <w:rPr>
          <w:rFonts w:cs="Arial"/>
        </w:rPr>
        <w:t xml:space="preserve"> alude a “</w:t>
      </w:r>
      <w:r w:rsidRPr="0049545C">
        <w:rPr>
          <w:rFonts w:cs="Arial"/>
          <w:i/>
        </w:rPr>
        <w:t xml:space="preserve">asuntos” </w:t>
      </w:r>
      <w:r w:rsidRPr="0049545C">
        <w:rPr>
          <w:rFonts w:cs="Arial"/>
        </w:rPr>
        <w:t>únicamente</w:t>
      </w:r>
      <w:r w:rsidRPr="0049545C">
        <w:rPr>
          <w:rFonts w:cs="Arial"/>
          <w:i/>
        </w:rPr>
        <w:t xml:space="preserve"> </w:t>
      </w:r>
      <w:r w:rsidRPr="0049545C">
        <w:rPr>
          <w:rFonts w:cs="Arial"/>
        </w:rPr>
        <w:t>en su transcrito artículo 63.2,</w:t>
      </w:r>
      <w:r>
        <w:t xml:space="preserve"> mientras que en otras</w:t>
      </w:r>
      <w:r w:rsidRPr="0049545C">
        <w:rPr>
          <w:rFonts w:cs="Arial"/>
        </w:rPr>
        <w:t xml:space="preserve"> cinco de sus disposiciones se refiere a “casos” (art.57: facultad de recurrir ante ella, art.61 a su competencia,art.65: a la obligación de informar anualmente de su labor a la Asamblea General de la Organización de Estados Americanos,art.68.1:  a la obligatoriedad de sus fallos y art.69: a la notificación de los mismos. Pero también lo es según el Estatuto de la </w:t>
      </w:r>
      <w:r>
        <w:rPr>
          <w:rFonts w:cs="Arial"/>
        </w:rPr>
        <w:t xml:space="preserve">Corte, en el que si bien en dos </w:t>
      </w:r>
      <w:r w:rsidRPr="0049545C">
        <w:rPr>
          <w:rFonts w:cs="Arial"/>
        </w:rPr>
        <w:t>de sus disposiciones  se refiere a “asuntos”, en una de ellas lo hace respecto de las funciones del Presidente de la Corte, que bien pueden ser atingentes a la función consultiva de la Corte e incluso a cuestiones administrativas (art. 12.2), en las otras lo hace en cuanto a la competenci</w:t>
      </w:r>
      <w:r>
        <w:rPr>
          <w:rFonts w:cs="Arial"/>
        </w:rPr>
        <w:t xml:space="preserve">a contenciosa (art. 19.1,2 y 3, e </w:t>
      </w:r>
      <w:r w:rsidRPr="0049545C">
        <w:rPr>
          <w:rFonts w:cs="Arial"/>
        </w:rPr>
        <w:t>impedimentos e inhabilidades de los jueces en asuntos c</w:t>
      </w:r>
      <w:r>
        <w:rPr>
          <w:rFonts w:cs="Arial"/>
        </w:rPr>
        <w:t>ontenciosos</w:t>
      </w:r>
      <w:r w:rsidRPr="0049545C">
        <w:rPr>
          <w:rFonts w:cs="Arial"/>
        </w:rPr>
        <w:t>).Y aún más, el propio Reglamento de la Corte, aprobado por ella misma, em</w:t>
      </w:r>
      <w:r>
        <w:rPr>
          <w:rFonts w:cs="Arial"/>
        </w:rPr>
        <w:t>plea el vocablo “caso” en 32 de sus artículos</w:t>
      </w:r>
      <w:r w:rsidRPr="0049545C">
        <w:rPr>
          <w:rFonts w:cs="Arial"/>
        </w:rPr>
        <w:t xml:space="preserve"> </w:t>
      </w:r>
      <w:r>
        <w:rPr>
          <w:rFonts w:cs="Arial"/>
        </w:rPr>
        <w:t>(</w:t>
      </w:r>
      <w:proofErr w:type="spellStart"/>
      <w:r>
        <w:rPr>
          <w:rFonts w:cs="Arial"/>
        </w:rPr>
        <w:t>arts</w:t>
      </w:r>
      <w:proofErr w:type="spellEnd"/>
      <w:r>
        <w:rPr>
          <w:rFonts w:cs="Arial"/>
        </w:rPr>
        <w:t xml:space="preserve">, </w:t>
      </w:r>
      <w:r w:rsidRPr="0049545C">
        <w:rPr>
          <w:rFonts w:cs="Arial"/>
        </w:rPr>
        <w:t xml:space="preserve">2.3, 2.17, 16, </w:t>
      </w:r>
      <w:r w:rsidRPr="0049545C">
        <w:rPr>
          <w:rFonts w:cs="Arial"/>
          <w:bCs/>
        </w:rPr>
        <w:t xml:space="preserve">17, 19, </w:t>
      </w:r>
      <w:r w:rsidRPr="0049545C">
        <w:rPr>
          <w:rFonts w:cs="Arial"/>
        </w:rPr>
        <w:t xml:space="preserve"> </w:t>
      </w:r>
      <w:r w:rsidRPr="0049545C">
        <w:rPr>
          <w:rFonts w:cs="Arial"/>
          <w:bCs/>
        </w:rPr>
        <w:t xml:space="preserve">20, </w:t>
      </w:r>
      <w:r w:rsidRPr="0049545C">
        <w:rPr>
          <w:rFonts w:cs="Arial"/>
        </w:rPr>
        <w:t xml:space="preserve"> </w:t>
      </w:r>
      <w:r w:rsidRPr="0049545C">
        <w:rPr>
          <w:rFonts w:cs="Arial"/>
          <w:bCs/>
        </w:rPr>
        <w:t xml:space="preserve">21, 22, 23, </w:t>
      </w:r>
      <w:r w:rsidRPr="0049545C">
        <w:rPr>
          <w:rFonts w:cs="Arial"/>
        </w:rPr>
        <w:t xml:space="preserve"> </w:t>
      </w:r>
      <w:r w:rsidRPr="0049545C">
        <w:rPr>
          <w:rFonts w:cs="Arial"/>
          <w:bCs/>
        </w:rPr>
        <w:t>25, 26,</w:t>
      </w:r>
      <w:r w:rsidRPr="0049545C">
        <w:rPr>
          <w:rFonts w:cs="Arial"/>
        </w:rPr>
        <w:t xml:space="preserve"> </w:t>
      </w:r>
      <w:r>
        <w:rPr>
          <w:rFonts w:cs="Arial"/>
        </w:rPr>
        <w:t xml:space="preserve">27.3, </w:t>
      </w:r>
      <w:r w:rsidRPr="0049545C">
        <w:rPr>
          <w:rFonts w:cs="Arial"/>
          <w:bCs/>
        </w:rPr>
        <w:t xml:space="preserve">30, </w:t>
      </w:r>
      <w:r w:rsidRPr="0049545C">
        <w:rPr>
          <w:rFonts w:cs="Arial"/>
        </w:rPr>
        <w:t xml:space="preserve"> </w:t>
      </w:r>
      <w:r w:rsidRPr="0049545C">
        <w:rPr>
          <w:rFonts w:cs="Arial"/>
          <w:bCs/>
        </w:rPr>
        <w:t xml:space="preserve">32, 34, </w:t>
      </w:r>
      <w:r w:rsidRPr="0049545C">
        <w:rPr>
          <w:rFonts w:cs="Arial"/>
        </w:rPr>
        <w:t xml:space="preserve"> </w:t>
      </w:r>
      <w:r w:rsidRPr="0049545C">
        <w:rPr>
          <w:rFonts w:cs="Arial"/>
          <w:bCs/>
        </w:rPr>
        <w:t xml:space="preserve">35, </w:t>
      </w:r>
      <w:r>
        <w:rPr>
          <w:rFonts w:cs="Arial"/>
          <w:bCs/>
        </w:rPr>
        <w:t xml:space="preserve">36, </w:t>
      </w:r>
      <w:r w:rsidRPr="0049545C">
        <w:rPr>
          <w:rFonts w:cs="Arial"/>
          <w:bCs/>
        </w:rPr>
        <w:t xml:space="preserve">37, 38, </w:t>
      </w:r>
      <w:r w:rsidRPr="0049545C">
        <w:rPr>
          <w:rFonts w:cs="Arial"/>
        </w:rPr>
        <w:t xml:space="preserve"> </w:t>
      </w:r>
      <w:r w:rsidRPr="0049545C">
        <w:rPr>
          <w:rFonts w:cs="Arial"/>
          <w:bCs/>
        </w:rPr>
        <w:t xml:space="preserve">39.1, 39.2, 39.4, 40.1, 40.2,  41.2, </w:t>
      </w:r>
      <w:r w:rsidRPr="0049545C">
        <w:rPr>
          <w:rFonts w:cs="Arial"/>
        </w:rPr>
        <w:t xml:space="preserve"> </w:t>
      </w:r>
      <w:r w:rsidRPr="0049545C">
        <w:rPr>
          <w:rFonts w:cs="Arial"/>
          <w:bCs/>
        </w:rPr>
        <w:t xml:space="preserve">42.6, </w:t>
      </w:r>
      <w:r w:rsidRPr="0049545C">
        <w:rPr>
          <w:rFonts w:cs="Arial"/>
        </w:rPr>
        <w:t xml:space="preserve"> </w:t>
      </w:r>
      <w:r w:rsidRPr="0049545C">
        <w:rPr>
          <w:rFonts w:cs="Arial"/>
          <w:bCs/>
        </w:rPr>
        <w:t xml:space="preserve">43, 44.1, 44.3, </w:t>
      </w:r>
      <w:r>
        <w:rPr>
          <w:rFonts w:cs="Arial"/>
          <w:bCs/>
        </w:rPr>
        <w:t xml:space="preserve">48.1.b,d,e, 51.1 y </w:t>
      </w:r>
      <w:r w:rsidRPr="0049545C">
        <w:rPr>
          <w:rFonts w:cs="Arial"/>
          <w:bCs/>
        </w:rPr>
        <w:t>51.10).</w:t>
      </w:r>
      <w:r w:rsidRPr="0049545C">
        <w:rPr>
          <w:rFonts w:cs="Arial"/>
        </w:rPr>
        <w:t xml:space="preserve"> y solo en uno, precisamente el artículo 27.2, relativo a las medidas provisionales decreta</w:t>
      </w:r>
      <w:r>
        <w:rPr>
          <w:rFonts w:cs="Arial"/>
        </w:rPr>
        <w:t xml:space="preserve">das a solicitud de la Comisión, </w:t>
      </w:r>
      <w:r w:rsidRPr="0049545C">
        <w:rPr>
          <w:rFonts w:cs="Arial"/>
        </w:rPr>
        <w:t>utiliza el término “asunto”.</w:t>
      </w:r>
    </w:p>
    <w:p w:rsidR="00A65CB7" w:rsidRPr="0049545C" w:rsidRDefault="00A65CB7" w:rsidP="009756B4">
      <w:pPr>
        <w:pStyle w:val="Textonotapie"/>
        <w:jc w:val="both"/>
        <w:rPr>
          <w:rFonts w:cs="Arial"/>
        </w:rPr>
      </w:pPr>
    </w:p>
  </w:footnote>
  <w:footnote w:id="6">
    <w:p w:rsidR="00A65CB7" w:rsidRPr="0049545C" w:rsidRDefault="00A65CB7" w:rsidP="009756B4">
      <w:pPr>
        <w:pStyle w:val="Textonotapie"/>
        <w:jc w:val="both"/>
        <w:rPr>
          <w:rFonts w:cs="Arial"/>
          <w:i/>
        </w:rPr>
      </w:pPr>
      <w:r w:rsidRPr="0049545C">
        <w:rPr>
          <w:rStyle w:val="Refdenotaalpie"/>
        </w:rPr>
        <w:footnoteRef/>
      </w:r>
      <w:r w:rsidRPr="0049545C">
        <w:t xml:space="preserve"> Art.67, primera frase, de la Convención: </w:t>
      </w:r>
      <w:r w:rsidRPr="0049545C">
        <w:rPr>
          <w:rFonts w:cs="Arial"/>
          <w:i/>
        </w:rPr>
        <w:t>“[e]l fallo de la Corte será definitivo e inapelable”. </w:t>
      </w:r>
    </w:p>
    <w:p w:rsidR="00A65CB7" w:rsidRPr="0049545C" w:rsidRDefault="00A65CB7" w:rsidP="009756B4">
      <w:pPr>
        <w:pStyle w:val="Textonotapie"/>
        <w:jc w:val="both"/>
        <w:rPr>
          <w:lang w:val="es-ES"/>
        </w:rPr>
      </w:pPr>
    </w:p>
  </w:footnote>
  <w:footnote w:id="7">
    <w:p w:rsidR="00A65CB7" w:rsidRPr="0049545C" w:rsidRDefault="00A65CB7" w:rsidP="009756B4">
      <w:pPr>
        <w:pStyle w:val="Textonotapie"/>
        <w:jc w:val="both"/>
        <w:rPr>
          <w:rFonts w:cs="Arial"/>
          <w:lang w:val="es-CR"/>
        </w:rPr>
      </w:pPr>
      <w:r w:rsidRPr="0049545C">
        <w:rPr>
          <w:rStyle w:val="Refdenotaalpie"/>
          <w:rFonts w:cs="Arial"/>
        </w:rPr>
        <w:footnoteRef/>
      </w:r>
      <w:r w:rsidRPr="0049545C">
        <w:rPr>
          <w:rFonts w:cs="Arial"/>
          <w:lang w:val="es-CR"/>
        </w:rPr>
        <w:t xml:space="preserve"> Art. 67, segunda frase, </w:t>
      </w:r>
      <w:r w:rsidRPr="0049545C">
        <w:rPr>
          <w:rFonts w:cs="Arial"/>
        </w:rPr>
        <w:t xml:space="preserve"> de la Convención</w:t>
      </w:r>
      <w:r w:rsidRPr="0049545C">
        <w:rPr>
          <w:rFonts w:cs="Arial"/>
          <w:lang w:val="es-CR"/>
        </w:rPr>
        <w:t>.</w:t>
      </w:r>
      <w:r w:rsidRPr="0049545C">
        <w:rPr>
          <w:rFonts w:cs="Tahoma"/>
        </w:rPr>
        <w:t xml:space="preserve"> “</w:t>
      </w:r>
      <w:r w:rsidRPr="0049545C">
        <w:rPr>
          <w:rFonts w:cs="Tahoma"/>
          <w:i/>
        </w:rPr>
        <w:t>En caso de desacuerdo sobre el sentido o alcance del fallo, la Corte lo interpretará a solicitud de cualquiera de las partes, siempre que dicha solicitud se presente dentro de los noventa días a partir de la fecha de la notificación del fallo”.</w:t>
      </w:r>
    </w:p>
    <w:p w:rsidR="00A65CB7" w:rsidRPr="0049545C" w:rsidRDefault="00A65CB7" w:rsidP="009756B4">
      <w:pPr>
        <w:pStyle w:val="Textonotapie"/>
        <w:jc w:val="both"/>
        <w:rPr>
          <w:rFonts w:cs="Arial"/>
          <w:lang w:val="es-CR"/>
        </w:rPr>
      </w:pPr>
    </w:p>
  </w:footnote>
  <w:footnote w:id="8">
    <w:p w:rsidR="00A65CB7" w:rsidRPr="0049545C" w:rsidRDefault="00A65CB7" w:rsidP="00203404">
      <w:pPr>
        <w:pStyle w:val="NormalWeb"/>
        <w:spacing w:before="90" w:beforeAutospacing="0" w:after="45" w:afterAutospacing="0"/>
        <w:ind w:left="75" w:right="75"/>
        <w:jc w:val="both"/>
        <w:rPr>
          <w:rFonts w:ascii="Calibri" w:hAnsi="Calibri"/>
          <w:i/>
          <w:sz w:val="20"/>
          <w:szCs w:val="20"/>
        </w:rPr>
      </w:pPr>
      <w:r w:rsidRPr="0049545C">
        <w:rPr>
          <w:rStyle w:val="Refdenotaalpie"/>
          <w:rFonts w:ascii="Calibri" w:hAnsi="Calibri" w:cs="Arial"/>
          <w:sz w:val="20"/>
          <w:szCs w:val="20"/>
        </w:rPr>
        <w:footnoteRef/>
      </w:r>
      <w:r w:rsidRPr="0049545C">
        <w:rPr>
          <w:rFonts w:ascii="Calibri" w:hAnsi="Calibri" w:cs="Arial"/>
          <w:sz w:val="20"/>
          <w:szCs w:val="20"/>
          <w:lang w:val="es-CR"/>
        </w:rPr>
        <w:t>Art</w:t>
      </w:r>
      <w:r>
        <w:rPr>
          <w:rFonts w:ascii="Calibri" w:hAnsi="Calibri" w:cs="Arial"/>
          <w:sz w:val="20"/>
          <w:szCs w:val="20"/>
          <w:lang w:val="es-CR"/>
        </w:rPr>
        <w:t xml:space="preserve">. </w:t>
      </w:r>
      <w:r w:rsidRPr="0049545C">
        <w:rPr>
          <w:rFonts w:ascii="Calibri" w:hAnsi="Calibri" w:cs="Arial"/>
          <w:sz w:val="20"/>
          <w:szCs w:val="20"/>
          <w:lang w:val="es-CR"/>
        </w:rPr>
        <w:t>65</w:t>
      </w:r>
      <w:r w:rsidRPr="0049545C">
        <w:rPr>
          <w:rFonts w:ascii="Calibri" w:hAnsi="Calibri" w:cs="Arial"/>
          <w:sz w:val="20"/>
          <w:szCs w:val="20"/>
        </w:rPr>
        <w:t xml:space="preserve"> de la Convención: </w:t>
      </w:r>
      <w:r w:rsidRPr="0049545C">
        <w:rPr>
          <w:rFonts w:ascii="Calibri" w:hAnsi="Calibri" w:cs="Arial"/>
          <w:i/>
          <w:sz w:val="20"/>
          <w:szCs w:val="20"/>
        </w:rPr>
        <w:t>“</w:t>
      </w:r>
      <w:r w:rsidRPr="0049545C">
        <w:rPr>
          <w:rFonts w:ascii="Calibri" w:hAnsi="Calibri" w:cs="Tahoma"/>
          <w:i/>
          <w:sz w:val="20"/>
          <w:szCs w:val="20"/>
        </w:rPr>
        <w:t>La Corte someterá a la consideración de la Asamblea General de la Organización en cada período ordinario de sesiones un informe sobre su labor en el año anterior.  De manera especial y con las recomendaciones pertinentes, señalará los casos en que un Estado no haya d</w:t>
      </w:r>
      <w:r>
        <w:rPr>
          <w:rFonts w:ascii="Calibri" w:hAnsi="Calibri" w:cs="Tahoma"/>
          <w:i/>
          <w:sz w:val="20"/>
          <w:szCs w:val="20"/>
        </w:rPr>
        <w:t>ado cumplimiento a sus fallos.”</w:t>
      </w:r>
    </w:p>
  </w:footnote>
  <w:footnote w:id="9">
    <w:p w:rsidR="00A65CB7" w:rsidRPr="004F7B6E" w:rsidRDefault="00A65CB7" w:rsidP="004F7B6E">
      <w:pPr>
        <w:pStyle w:val="style2"/>
        <w:spacing w:line="240" w:lineRule="auto"/>
        <w:rPr>
          <w:rFonts w:ascii="Calibri" w:hAnsi="Calibri"/>
          <w:i/>
          <w:sz w:val="20"/>
          <w:szCs w:val="20"/>
        </w:rPr>
      </w:pPr>
      <w:r w:rsidRPr="0049545C">
        <w:rPr>
          <w:rStyle w:val="Refdenotaalpie"/>
          <w:rFonts w:ascii="Calibri" w:hAnsi="Calibri" w:cs="Arial"/>
          <w:sz w:val="20"/>
          <w:szCs w:val="20"/>
        </w:rPr>
        <w:footnoteRef/>
      </w:r>
      <w:r w:rsidRPr="0049545C">
        <w:rPr>
          <w:rFonts w:ascii="Calibri" w:hAnsi="Calibri" w:cs="Arial"/>
          <w:sz w:val="20"/>
          <w:szCs w:val="20"/>
          <w:lang w:val="es-CR"/>
        </w:rPr>
        <w:t xml:space="preserve"> Art.</w:t>
      </w:r>
      <w:r>
        <w:rPr>
          <w:rFonts w:ascii="Calibri" w:hAnsi="Calibri" w:cs="Arial"/>
          <w:sz w:val="20"/>
          <w:szCs w:val="20"/>
          <w:lang w:val="es-CR"/>
        </w:rPr>
        <w:t xml:space="preserve"> </w:t>
      </w:r>
      <w:r w:rsidRPr="0049545C">
        <w:rPr>
          <w:rFonts w:ascii="Calibri" w:hAnsi="Calibri" w:cs="Arial"/>
          <w:sz w:val="20"/>
          <w:szCs w:val="20"/>
          <w:lang w:val="es-CR"/>
        </w:rPr>
        <w:t>30 del Estatuto de la Corte</w:t>
      </w:r>
      <w:r w:rsidRPr="0049545C">
        <w:rPr>
          <w:rFonts w:ascii="Calibri" w:hAnsi="Calibri" w:cs="Arial"/>
          <w:i/>
          <w:sz w:val="20"/>
          <w:szCs w:val="20"/>
          <w:lang w:val="es-CR"/>
        </w:rPr>
        <w:t>.</w:t>
      </w:r>
      <w:proofErr w:type="gramStart"/>
      <w:r>
        <w:rPr>
          <w:rFonts w:ascii="Calibri" w:hAnsi="Calibri"/>
          <w:i/>
          <w:sz w:val="20"/>
          <w:szCs w:val="20"/>
        </w:rPr>
        <w:t>: ”</w:t>
      </w:r>
      <w:proofErr w:type="gramEnd"/>
      <w:r w:rsidRPr="0049545C">
        <w:rPr>
          <w:rFonts w:ascii="Calibri" w:hAnsi="Calibri"/>
          <w:i/>
          <w:sz w:val="20"/>
          <w:szCs w:val="20"/>
        </w:rPr>
        <w:t>La Corte someterá a la Asamblea General de la OE</w:t>
      </w:r>
      <w:r>
        <w:rPr>
          <w:rFonts w:ascii="Calibri" w:hAnsi="Calibri"/>
          <w:i/>
          <w:sz w:val="20"/>
          <w:szCs w:val="20"/>
        </w:rPr>
        <w:t xml:space="preserve">A, en cada período ordinario de </w:t>
      </w:r>
      <w:r w:rsidRPr="0049545C">
        <w:rPr>
          <w:rFonts w:ascii="Calibri" w:hAnsi="Calibri"/>
          <w:i/>
          <w:sz w:val="20"/>
          <w:szCs w:val="20"/>
        </w:rPr>
        <w:t>sesiones, un informe de su labor en el año anterior. Señalará los casos en que un Estado no haya dado cumplimiento a sus fallos. Podrá también someter a la Asamblea General de la OEA proposiciones o recomendaciones para el mejoramiento del sistema interamericano de derechos humanos, en lo relacionad</w:t>
      </w:r>
      <w:r>
        <w:rPr>
          <w:rFonts w:ascii="Calibri" w:hAnsi="Calibri"/>
          <w:i/>
          <w:sz w:val="20"/>
          <w:szCs w:val="20"/>
        </w:rPr>
        <w:t xml:space="preserve">o con el trabajo de la Corte.” </w:t>
      </w:r>
    </w:p>
  </w:footnote>
  <w:footnote w:id="10">
    <w:p w:rsidR="00A65CB7" w:rsidRPr="004F7B6E" w:rsidRDefault="00A65CB7" w:rsidP="004F7B6E">
      <w:pPr>
        <w:pStyle w:val="Textonotapie"/>
        <w:jc w:val="both"/>
        <w:rPr>
          <w:rFonts w:cs="Arial"/>
          <w:i/>
          <w:lang w:val="es-CR"/>
        </w:rPr>
      </w:pPr>
      <w:r w:rsidRPr="0049545C">
        <w:rPr>
          <w:rStyle w:val="Refdenotaalpie"/>
          <w:rFonts w:cs="Arial"/>
        </w:rPr>
        <w:footnoteRef/>
      </w:r>
      <w:r w:rsidRPr="0049545C">
        <w:rPr>
          <w:rFonts w:cs="Arial"/>
          <w:lang w:val="es-CR"/>
        </w:rPr>
        <w:t xml:space="preserve"> Ar</w:t>
      </w:r>
      <w:r>
        <w:rPr>
          <w:rFonts w:cs="Arial"/>
          <w:lang w:val="es-CR"/>
        </w:rPr>
        <w:t>t. 66</w:t>
      </w:r>
      <w:r w:rsidRPr="004F7B6E">
        <w:rPr>
          <w:rFonts w:cs="Arial"/>
          <w:i/>
          <w:lang w:val="es-CR"/>
        </w:rPr>
        <w:t>:</w:t>
      </w:r>
      <w:r>
        <w:rPr>
          <w:rFonts w:cs="Arial"/>
          <w:i/>
          <w:lang w:val="es-CR"/>
        </w:rPr>
        <w:t xml:space="preserve"> “</w:t>
      </w:r>
      <w:r w:rsidRPr="004F7B6E">
        <w:rPr>
          <w:rFonts w:cs="Arial"/>
          <w:i/>
          <w:lang w:val="es-CR"/>
        </w:rPr>
        <w:t xml:space="preserve">1. Cuando en la sentencia de fondo no se hubiere decidido específicamente sobre reparaciones y costas, la Corte fijará la oportunidad para su posterior decisión y determinará el procedimiento.  </w:t>
      </w:r>
    </w:p>
    <w:p w:rsidR="00A65CB7" w:rsidRPr="0049545C" w:rsidRDefault="00A65CB7" w:rsidP="009756B4">
      <w:pPr>
        <w:pStyle w:val="Textonotapie"/>
        <w:jc w:val="both"/>
        <w:rPr>
          <w:rFonts w:cs="Arial"/>
          <w:lang w:val="es-CR"/>
        </w:rPr>
      </w:pPr>
      <w:r w:rsidRPr="004F7B6E">
        <w:rPr>
          <w:rFonts w:cs="Arial"/>
          <w:i/>
          <w:lang w:val="es-CR"/>
        </w:rPr>
        <w:t>2. Si la Corte fuere informada de que las víctimas o sus representantes y el Estado demandado y, en su caso, el Estado demandante, han llegado a un acuerdo respecto al cumplimiento de la sentencia sobre el fondo, verificará que el acuerdo sea conforme con la Convención y dispondrá lo conducente.”</w:t>
      </w:r>
      <w:r w:rsidRPr="004F7B6E">
        <w:rPr>
          <w:rFonts w:cs="Arial"/>
          <w:lang w:val="es-CR"/>
        </w:rPr>
        <w:t xml:space="preserve"> </w:t>
      </w:r>
      <w:r w:rsidRPr="004F7B6E">
        <w:rPr>
          <w:rFonts w:cs="Arial"/>
          <w:lang w:val="es-CR"/>
        </w:rPr>
        <w:cr/>
      </w:r>
    </w:p>
  </w:footnote>
  <w:footnote w:id="11">
    <w:p w:rsidR="00A65CB7" w:rsidRPr="004F7B6E" w:rsidRDefault="00A65CB7" w:rsidP="004F7B6E">
      <w:pPr>
        <w:pStyle w:val="Textonotapie"/>
        <w:jc w:val="both"/>
        <w:rPr>
          <w:rFonts w:cs="Arial"/>
          <w:i/>
          <w:lang w:val="es-CR"/>
        </w:rPr>
      </w:pPr>
      <w:r w:rsidRPr="0049545C">
        <w:rPr>
          <w:rStyle w:val="Refdenotaalpie"/>
          <w:rFonts w:cs="Arial"/>
        </w:rPr>
        <w:footnoteRef/>
      </w:r>
      <w:r w:rsidRPr="0049545C">
        <w:rPr>
          <w:rFonts w:cs="Arial"/>
          <w:lang w:val="es-CR"/>
        </w:rPr>
        <w:t xml:space="preserve"> A</w:t>
      </w:r>
      <w:r>
        <w:rPr>
          <w:rFonts w:cs="Arial"/>
          <w:lang w:val="es-CR"/>
        </w:rPr>
        <w:t>rt. 68: “</w:t>
      </w:r>
      <w:r w:rsidRPr="004F7B6E">
        <w:rPr>
          <w:rFonts w:cs="Arial"/>
          <w:i/>
          <w:lang w:val="es-CR"/>
        </w:rPr>
        <w:t>1. La solicitud de interpretación a que se refiere el artículo 67 de la Convención podrá promoverse en relación con las sentencias de e</w:t>
      </w:r>
      <w:r>
        <w:rPr>
          <w:rFonts w:cs="Arial"/>
          <w:i/>
          <w:lang w:val="es-CR"/>
        </w:rPr>
        <w:t xml:space="preserve">xcepciones preliminares, fondo </w:t>
      </w:r>
      <w:r w:rsidRPr="004F7B6E">
        <w:rPr>
          <w:rFonts w:cs="Arial"/>
          <w:i/>
          <w:lang w:val="es-CR"/>
        </w:rPr>
        <w:t>o reparaciones y costas y se presentará en la Secreta</w:t>
      </w:r>
      <w:r>
        <w:rPr>
          <w:rFonts w:cs="Arial"/>
          <w:i/>
          <w:lang w:val="es-CR"/>
        </w:rPr>
        <w:t>ría de la Corte indicándose en ella</w:t>
      </w:r>
      <w:r w:rsidRPr="004F7B6E">
        <w:rPr>
          <w:rFonts w:cs="Arial"/>
          <w:i/>
          <w:lang w:val="es-CR"/>
        </w:rPr>
        <w:t>, con precisión, las cuestiones relativas al sentido o alcance de la sentencia cuya</w:t>
      </w:r>
      <w:r>
        <w:rPr>
          <w:rFonts w:cs="Arial"/>
          <w:i/>
          <w:lang w:val="es-CR"/>
        </w:rPr>
        <w:t xml:space="preserve"> </w:t>
      </w:r>
      <w:r w:rsidRPr="004F7B6E">
        <w:rPr>
          <w:rFonts w:cs="Arial"/>
          <w:i/>
          <w:lang w:val="es-CR"/>
        </w:rPr>
        <w:t xml:space="preserve">interpretación se pida. </w:t>
      </w:r>
    </w:p>
    <w:p w:rsidR="00A65CB7" w:rsidRPr="004F7B6E" w:rsidRDefault="00A65CB7" w:rsidP="004F7B6E">
      <w:pPr>
        <w:pStyle w:val="Textonotapie"/>
        <w:jc w:val="both"/>
        <w:rPr>
          <w:rFonts w:cs="Arial"/>
          <w:i/>
          <w:lang w:val="es-CR"/>
        </w:rPr>
      </w:pPr>
      <w:r w:rsidRPr="004F7B6E">
        <w:rPr>
          <w:rFonts w:cs="Arial"/>
          <w:i/>
          <w:lang w:val="es-CR"/>
        </w:rPr>
        <w:t>2. El Secretario comunicará la solicitud</w:t>
      </w:r>
      <w:r>
        <w:rPr>
          <w:rFonts w:cs="Arial"/>
          <w:i/>
          <w:lang w:val="es-CR"/>
        </w:rPr>
        <w:t xml:space="preserve"> de interpretación a los demás </w:t>
      </w:r>
      <w:r w:rsidRPr="004F7B6E">
        <w:rPr>
          <w:rFonts w:cs="Arial"/>
          <w:i/>
          <w:lang w:val="es-CR"/>
        </w:rPr>
        <w:t>intervinientes en el caso, y les invitará a presenta</w:t>
      </w:r>
      <w:r>
        <w:rPr>
          <w:rFonts w:cs="Arial"/>
          <w:i/>
          <w:lang w:val="es-CR"/>
        </w:rPr>
        <w:t xml:space="preserve">r las alegaciones escritas que </w:t>
      </w:r>
      <w:r w:rsidRPr="004F7B6E">
        <w:rPr>
          <w:rFonts w:cs="Arial"/>
          <w:i/>
          <w:lang w:val="es-CR"/>
        </w:rPr>
        <w:t xml:space="preserve">estimen pertinentes dentro del plazo fijado por la Presidencia. </w:t>
      </w:r>
    </w:p>
    <w:p w:rsidR="00A65CB7" w:rsidRPr="004F7B6E" w:rsidRDefault="00A65CB7" w:rsidP="004F7B6E">
      <w:pPr>
        <w:pStyle w:val="Textonotapie"/>
        <w:jc w:val="both"/>
        <w:rPr>
          <w:rFonts w:cs="Arial"/>
          <w:i/>
          <w:lang w:val="es-CR"/>
        </w:rPr>
      </w:pPr>
      <w:r w:rsidRPr="004F7B6E">
        <w:rPr>
          <w:rFonts w:cs="Arial"/>
          <w:i/>
          <w:lang w:val="es-CR"/>
        </w:rPr>
        <w:t>3. Para el examen de la solicitud de interpretac</w:t>
      </w:r>
      <w:r>
        <w:rPr>
          <w:rFonts w:cs="Arial"/>
          <w:i/>
          <w:lang w:val="es-CR"/>
        </w:rPr>
        <w:t xml:space="preserve">ión la Corte se reunirá, si es </w:t>
      </w:r>
      <w:r w:rsidRPr="004F7B6E">
        <w:rPr>
          <w:rFonts w:cs="Arial"/>
          <w:i/>
          <w:lang w:val="es-CR"/>
        </w:rPr>
        <w:t>posible, con la composición que tenía al dictar la sent</w:t>
      </w:r>
      <w:r>
        <w:rPr>
          <w:rFonts w:cs="Arial"/>
          <w:i/>
          <w:lang w:val="es-CR"/>
        </w:rPr>
        <w:t xml:space="preserve">encia respectiva. Sin embargo, </w:t>
      </w:r>
      <w:r w:rsidRPr="004F7B6E">
        <w:rPr>
          <w:rFonts w:cs="Arial"/>
          <w:i/>
          <w:lang w:val="es-CR"/>
        </w:rPr>
        <w:t>en caso de fallecimiento, renuncia, impediment</w:t>
      </w:r>
      <w:r>
        <w:rPr>
          <w:rFonts w:cs="Arial"/>
          <w:i/>
          <w:lang w:val="es-CR"/>
        </w:rPr>
        <w:t xml:space="preserve">o, excusa o inhabilitación, se </w:t>
      </w:r>
      <w:r w:rsidRPr="004F7B6E">
        <w:rPr>
          <w:rFonts w:cs="Arial"/>
          <w:i/>
          <w:lang w:val="es-CR"/>
        </w:rPr>
        <w:t xml:space="preserve">sustituirá al Juez de que se trate según el artículo 17 de este Reglamento. </w:t>
      </w:r>
    </w:p>
    <w:p w:rsidR="00A65CB7" w:rsidRPr="004F7B6E" w:rsidRDefault="00A65CB7" w:rsidP="004F7B6E">
      <w:pPr>
        <w:pStyle w:val="Textonotapie"/>
        <w:jc w:val="both"/>
        <w:rPr>
          <w:rFonts w:cs="Arial"/>
          <w:i/>
          <w:lang w:val="es-CR"/>
        </w:rPr>
      </w:pPr>
      <w:r w:rsidRPr="004F7B6E">
        <w:rPr>
          <w:rFonts w:cs="Arial"/>
          <w:i/>
          <w:lang w:val="es-CR"/>
        </w:rPr>
        <w:t xml:space="preserve">4. La solicitud de interpretación no suspenderá la ejecución de la sentencia. </w:t>
      </w:r>
    </w:p>
    <w:p w:rsidR="00A65CB7" w:rsidRPr="004F7B6E" w:rsidRDefault="00A65CB7" w:rsidP="004F7B6E">
      <w:pPr>
        <w:pStyle w:val="Textonotapie"/>
        <w:jc w:val="both"/>
        <w:rPr>
          <w:rFonts w:cs="Arial"/>
          <w:i/>
          <w:lang w:val="es-CR"/>
        </w:rPr>
      </w:pPr>
      <w:r w:rsidRPr="004F7B6E">
        <w:rPr>
          <w:rFonts w:cs="Arial"/>
          <w:i/>
          <w:lang w:val="es-CR"/>
        </w:rPr>
        <w:t>5. La Corte determinará el procedimiento que s</w:t>
      </w:r>
      <w:r>
        <w:rPr>
          <w:rFonts w:cs="Arial"/>
          <w:i/>
          <w:lang w:val="es-CR"/>
        </w:rPr>
        <w:t xml:space="preserve">e seguirá y resolverá mediante </w:t>
      </w:r>
      <w:r w:rsidRPr="004F7B6E">
        <w:rPr>
          <w:rFonts w:cs="Arial"/>
          <w:i/>
          <w:lang w:val="es-CR"/>
        </w:rPr>
        <w:t>una sentencia</w:t>
      </w:r>
      <w:r w:rsidRPr="004F7B6E">
        <w:rPr>
          <w:rFonts w:cs="Arial"/>
          <w:lang w:val="es-CR"/>
        </w:rPr>
        <w:t>.</w:t>
      </w:r>
      <w:r>
        <w:rPr>
          <w:rFonts w:cs="Arial"/>
          <w:lang w:val="es-CR"/>
        </w:rPr>
        <w:t>”</w:t>
      </w:r>
    </w:p>
    <w:p w:rsidR="00A65CB7" w:rsidRPr="0049545C" w:rsidRDefault="00A65CB7" w:rsidP="009756B4">
      <w:pPr>
        <w:pStyle w:val="Textonotapie"/>
        <w:jc w:val="both"/>
        <w:rPr>
          <w:rFonts w:cs="Arial"/>
          <w:lang w:val="es-CR"/>
        </w:rPr>
      </w:pPr>
    </w:p>
  </w:footnote>
  <w:footnote w:id="12">
    <w:p w:rsidR="00A65CB7" w:rsidRPr="004F7B6E" w:rsidRDefault="00A65CB7" w:rsidP="004F7B6E">
      <w:pPr>
        <w:pStyle w:val="Textonotapie"/>
        <w:jc w:val="both"/>
        <w:rPr>
          <w:rFonts w:cs="Arial"/>
          <w:i/>
          <w:lang w:val="es-CR"/>
        </w:rPr>
      </w:pPr>
      <w:r w:rsidRPr="0049545C">
        <w:rPr>
          <w:rStyle w:val="Refdenotaalpie"/>
          <w:rFonts w:cs="Arial"/>
        </w:rPr>
        <w:footnoteRef/>
      </w:r>
      <w:r w:rsidRPr="0049545C">
        <w:rPr>
          <w:rFonts w:cs="Arial"/>
          <w:lang w:val="es-CR"/>
        </w:rPr>
        <w:t xml:space="preserve"> Ar</w:t>
      </w:r>
      <w:r>
        <w:rPr>
          <w:rFonts w:cs="Arial"/>
          <w:lang w:val="es-CR"/>
        </w:rPr>
        <w:t>t.69: “</w:t>
      </w:r>
      <w:r w:rsidRPr="004F7B6E">
        <w:rPr>
          <w:rFonts w:cs="Arial"/>
          <w:i/>
          <w:lang w:val="es-CR"/>
        </w:rPr>
        <w:t xml:space="preserve">1. La supervisión de las sentencias y demás decisiones de la Corte se realizará </w:t>
      </w:r>
      <w:r>
        <w:rPr>
          <w:rFonts w:cs="Arial"/>
          <w:i/>
          <w:lang w:val="es-CR"/>
        </w:rPr>
        <w:t xml:space="preserve">mediante la </w:t>
      </w:r>
      <w:r w:rsidRPr="004F7B6E">
        <w:rPr>
          <w:rFonts w:cs="Arial"/>
          <w:i/>
          <w:lang w:val="es-CR"/>
        </w:rPr>
        <w:t>presentación de informes estat</w:t>
      </w:r>
      <w:r>
        <w:rPr>
          <w:rFonts w:cs="Arial"/>
          <w:i/>
          <w:lang w:val="es-CR"/>
        </w:rPr>
        <w:t xml:space="preserve">ales y de las correspondientes </w:t>
      </w:r>
      <w:r w:rsidRPr="004F7B6E">
        <w:rPr>
          <w:rFonts w:cs="Arial"/>
          <w:i/>
          <w:lang w:val="es-CR"/>
        </w:rPr>
        <w:t>observaciones a dichos informes por parte de las víc</w:t>
      </w:r>
      <w:r>
        <w:rPr>
          <w:rFonts w:cs="Arial"/>
          <w:i/>
          <w:lang w:val="es-CR"/>
        </w:rPr>
        <w:t xml:space="preserve">timas o sus representantes. La </w:t>
      </w:r>
      <w:r w:rsidRPr="004F7B6E">
        <w:rPr>
          <w:rFonts w:cs="Arial"/>
          <w:i/>
          <w:lang w:val="es-CR"/>
        </w:rPr>
        <w:t>Comisión deberá presentar observaciones al informe de</w:t>
      </w:r>
      <w:r>
        <w:rPr>
          <w:rFonts w:cs="Arial"/>
          <w:i/>
          <w:lang w:val="es-CR"/>
        </w:rPr>
        <w:t xml:space="preserve">l Estado y a las observaciones </w:t>
      </w:r>
      <w:r w:rsidRPr="004F7B6E">
        <w:rPr>
          <w:rFonts w:cs="Arial"/>
          <w:i/>
          <w:lang w:val="es-CR"/>
        </w:rPr>
        <w:t xml:space="preserve">de las víctimas o sus representantes. </w:t>
      </w:r>
    </w:p>
    <w:p w:rsidR="00A65CB7" w:rsidRPr="004F7B6E" w:rsidRDefault="00A65CB7" w:rsidP="004F7B6E">
      <w:pPr>
        <w:pStyle w:val="Textonotapie"/>
        <w:jc w:val="both"/>
        <w:rPr>
          <w:rFonts w:cs="Arial"/>
          <w:i/>
          <w:lang w:val="es-CR"/>
        </w:rPr>
      </w:pPr>
      <w:r w:rsidRPr="004F7B6E">
        <w:rPr>
          <w:rFonts w:cs="Arial"/>
          <w:i/>
          <w:lang w:val="es-CR"/>
        </w:rPr>
        <w:t>2. La Corte podrá requerir a otras fuentes de info</w:t>
      </w:r>
      <w:r>
        <w:rPr>
          <w:rFonts w:cs="Arial"/>
          <w:i/>
          <w:lang w:val="es-CR"/>
        </w:rPr>
        <w:t xml:space="preserve">rmación datos relevantes sobre el caso, que permitan </w:t>
      </w:r>
      <w:r w:rsidRPr="004F7B6E">
        <w:rPr>
          <w:rFonts w:cs="Arial"/>
          <w:i/>
          <w:lang w:val="es-CR"/>
        </w:rPr>
        <w:t>apreciar el cumplimiento.</w:t>
      </w:r>
      <w:r>
        <w:rPr>
          <w:rFonts w:cs="Arial"/>
          <w:i/>
          <w:lang w:val="es-CR"/>
        </w:rPr>
        <w:t xml:space="preserve"> Para los mismos efectos podrá </w:t>
      </w:r>
      <w:r w:rsidRPr="004F7B6E">
        <w:rPr>
          <w:rFonts w:cs="Arial"/>
          <w:i/>
          <w:lang w:val="es-CR"/>
        </w:rPr>
        <w:t xml:space="preserve">también requerir los peritajes e informes que considere oportunos. </w:t>
      </w:r>
    </w:p>
    <w:p w:rsidR="00A65CB7" w:rsidRDefault="00A65CB7" w:rsidP="004F7B6E">
      <w:pPr>
        <w:pStyle w:val="Textonotapie"/>
        <w:jc w:val="both"/>
        <w:rPr>
          <w:rFonts w:cs="Arial"/>
          <w:i/>
          <w:lang w:val="es-CR"/>
        </w:rPr>
      </w:pPr>
      <w:r w:rsidRPr="004F7B6E">
        <w:rPr>
          <w:rFonts w:cs="Arial"/>
          <w:i/>
          <w:lang w:val="es-CR"/>
        </w:rPr>
        <w:t>3. Cuando lo considere pertinente, el Tribunal podrá convocar al Estado y a</w:t>
      </w:r>
      <w:r>
        <w:rPr>
          <w:rFonts w:cs="Arial"/>
          <w:i/>
          <w:lang w:val="es-CR"/>
        </w:rPr>
        <w:t xml:space="preserve"> los </w:t>
      </w:r>
      <w:r w:rsidRPr="004F7B6E">
        <w:rPr>
          <w:rFonts w:cs="Arial"/>
          <w:i/>
          <w:lang w:val="es-CR"/>
        </w:rPr>
        <w:t>representantes de las víctimas a una audiencia para</w:t>
      </w:r>
      <w:r>
        <w:rPr>
          <w:rFonts w:cs="Arial"/>
          <w:i/>
          <w:lang w:val="es-CR"/>
        </w:rPr>
        <w:t xml:space="preserve"> supervisar el cumplimiento de </w:t>
      </w:r>
      <w:r w:rsidRPr="004F7B6E">
        <w:rPr>
          <w:rFonts w:cs="Arial"/>
          <w:i/>
          <w:lang w:val="es-CR"/>
        </w:rPr>
        <w:t>sus decisiones, y en ésta escuch</w:t>
      </w:r>
      <w:r>
        <w:rPr>
          <w:rFonts w:cs="Arial"/>
          <w:i/>
          <w:lang w:val="es-CR"/>
        </w:rPr>
        <w:t xml:space="preserve">ará el parecer de la Comisión. </w:t>
      </w:r>
    </w:p>
    <w:p w:rsidR="00A65CB7" w:rsidRPr="004F7B6E" w:rsidRDefault="00A65CB7" w:rsidP="004F7B6E">
      <w:pPr>
        <w:pStyle w:val="Textonotapie"/>
        <w:jc w:val="both"/>
        <w:rPr>
          <w:rFonts w:cs="Arial"/>
          <w:i/>
          <w:lang w:val="es-CR"/>
        </w:rPr>
      </w:pPr>
      <w:r w:rsidRPr="004F7B6E">
        <w:rPr>
          <w:rFonts w:cs="Arial"/>
          <w:i/>
          <w:lang w:val="es-CR"/>
        </w:rPr>
        <w:t>4. Una vez que el Tribunal cuente con la informac</w:t>
      </w:r>
      <w:r>
        <w:rPr>
          <w:rFonts w:cs="Arial"/>
          <w:i/>
          <w:lang w:val="es-CR"/>
        </w:rPr>
        <w:t xml:space="preserve">ión pertinente, determinará el </w:t>
      </w:r>
      <w:r w:rsidRPr="004F7B6E">
        <w:rPr>
          <w:rFonts w:cs="Arial"/>
          <w:i/>
          <w:lang w:val="es-CR"/>
        </w:rPr>
        <w:t>estado del cumplimiento de lo resuelto y emiti</w:t>
      </w:r>
      <w:r>
        <w:rPr>
          <w:rFonts w:cs="Arial"/>
          <w:i/>
          <w:lang w:val="es-CR"/>
        </w:rPr>
        <w:t xml:space="preserve">rá las resoluciones que estime </w:t>
      </w:r>
      <w:r w:rsidRPr="004F7B6E">
        <w:rPr>
          <w:rFonts w:cs="Arial"/>
          <w:i/>
          <w:lang w:val="es-CR"/>
        </w:rPr>
        <w:t xml:space="preserve">pertinentes. </w:t>
      </w:r>
    </w:p>
    <w:p w:rsidR="00A65CB7" w:rsidRPr="00A86B77" w:rsidRDefault="00A65CB7" w:rsidP="009756B4">
      <w:pPr>
        <w:pStyle w:val="Textonotapie"/>
        <w:jc w:val="both"/>
        <w:rPr>
          <w:rFonts w:cs="Arial"/>
          <w:i/>
          <w:lang w:val="es-CR"/>
        </w:rPr>
      </w:pPr>
      <w:r w:rsidRPr="004F7B6E">
        <w:rPr>
          <w:rFonts w:cs="Arial"/>
          <w:i/>
          <w:lang w:val="es-CR"/>
        </w:rPr>
        <w:t xml:space="preserve">5. Estas disposiciones se aplican también </w:t>
      </w:r>
      <w:r>
        <w:rPr>
          <w:rFonts w:cs="Arial"/>
          <w:i/>
          <w:lang w:val="es-CR"/>
        </w:rPr>
        <w:t xml:space="preserve">para casos no sometidos por la </w:t>
      </w:r>
      <w:r w:rsidRPr="004F7B6E">
        <w:rPr>
          <w:rFonts w:cs="Arial"/>
          <w:i/>
          <w:lang w:val="es-CR"/>
        </w:rPr>
        <w:t xml:space="preserve">Comisión.” </w:t>
      </w:r>
      <w:r w:rsidRPr="004F7B6E">
        <w:rPr>
          <w:rFonts w:cs="Arial"/>
          <w:i/>
          <w:lang w:val="es-CR"/>
        </w:rPr>
        <w:cr/>
      </w:r>
    </w:p>
  </w:footnote>
  <w:footnote w:id="13">
    <w:p w:rsidR="00A65CB7" w:rsidRPr="00A01B89" w:rsidRDefault="00A65CB7" w:rsidP="00A01B89">
      <w:pPr>
        <w:pStyle w:val="Textonotapie"/>
        <w:rPr>
          <w:rFonts w:cs="Arial"/>
          <w:i/>
          <w:lang w:val="es-CR"/>
        </w:rPr>
      </w:pPr>
      <w:r w:rsidRPr="0049545C">
        <w:rPr>
          <w:rStyle w:val="Refdenotaalpie"/>
          <w:rFonts w:cs="Arial"/>
        </w:rPr>
        <w:footnoteRef/>
      </w:r>
      <w:r w:rsidRPr="0049545C">
        <w:rPr>
          <w:rFonts w:cs="Arial"/>
          <w:lang w:val="es-CR"/>
        </w:rPr>
        <w:t xml:space="preserve"> Ar</w:t>
      </w:r>
      <w:r>
        <w:rPr>
          <w:rFonts w:cs="Arial"/>
          <w:lang w:val="es-CR"/>
        </w:rPr>
        <w:t>t.76:</w:t>
      </w:r>
      <w:r w:rsidRPr="00A01B89">
        <w:rPr>
          <w:i/>
        </w:rPr>
        <w:t>“</w:t>
      </w:r>
      <w:r w:rsidRPr="00A01B89">
        <w:rPr>
          <w:rFonts w:cs="Arial"/>
          <w:i/>
          <w:lang w:val="es-CR"/>
        </w:rPr>
        <w:t>La Corte podrá, a iniciativa propia o a solicitud de parte, presentada dentro del mes siguiente a la notificación de la sentencia o resoluci</w:t>
      </w:r>
      <w:r>
        <w:rPr>
          <w:rFonts w:cs="Arial"/>
          <w:i/>
          <w:lang w:val="es-CR"/>
        </w:rPr>
        <w:t xml:space="preserve">ón de que se trate, rectificar </w:t>
      </w:r>
      <w:r w:rsidRPr="00A01B89">
        <w:rPr>
          <w:rFonts w:cs="Arial"/>
          <w:i/>
          <w:lang w:val="es-CR"/>
        </w:rPr>
        <w:t>errores notorios, de edición o de cálculo. De efectuarse</w:t>
      </w:r>
      <w:r>
        <w:rPr>
          <w:rFonts w:cs="Arial"/>
          <w:i/>
          <w:lang w:val="es-CR"/>
        </w:rPr>
        <w:t xml:space="preserve"> alguna rectificación la Corte </w:t>
      </w:r>
      <w:r w:rsidRPr="00A01B89">
        <w:rPr>
          <w:rFonts w:cs="Arial"/>
          <w:i/>
          <w:lang w:val="es-CR"/>
        </w:rPr>
        <w:t>la notificará a la Comisión, a las víctimas o sus repre</w:t>
      </w:r>
      <w:r>
        <w:rPr>
          <w:rFonts w:cs="Arial"/>
          <w:i/>
          <w:lang w:val="es-CR"/>
        </w:rPr>
        <w:t xml:space="preserve">sentantes, al Estado demandado </w:t>
      </w:r>
      <w:r w:rsidRPr="00A01B89">
        <w:rPr>
          <w:rFonts w:cs="Arial"/>
          <w:i/>
          <w:lang w:val="es-CR"/>
        </w:rPr>
        <w:t>y, e</w:t>
      </w:r>
      <w:r>
        <w:rPr>
          <w:rFonts w:cs="Arial"/>
          <w:i/>
          <w:lang w:val="es-CR"/>
        </w:rPr>
        <w:t>n su caso, al Estado demandante.</w:t>
      </w:r>
      <w:r w:rsidRPr="00A01B89">
        <w:rPr>
          <w:rFonts w:cs="Arial"/>
          <w:i/>
          <w:lang w:val="es-CR"/>
        </w:rPr>
        <w:t xml:space="preserve"> “</w:t>
      </w:r>
      <w:r w:rsidRPr="004F7B6E">
        <w:rPr>
          <w:rFonts w:cs="Arial"/>
          <w:lang w:val="es-CR"/>
        </w:rPr>
        <w:cr/>
      </w:r>
    </w:p>
  </w:footnote>
  <w:footnote w:id="14">
    <w:p w:rsidR="00A65CB7" w:rsidRDefault="00A65CB7" w:rsidP="00306622">
      <w:pPr>
        <w:pStyle w:val="Textonotapie"/>
        <w:jc w:val="both"/>
        <w:rPr>
          <w:rFonts w:cs="Tahoma"/>
          <w:i/>
        </w:rPr>
      </w:pPr>
      <w:r w:rsidRPr="0049545C">
        <w:rPr>
          <w:rStyle w:val="Refdenotaalpie"/>
        </w:rPr>
        <w:footnoteRef/>
      </w:r>
      <w:r w:rsidRPr="0049545C">
        <w:t xml:space="preserve"> Art</w:t>
      </w:r>
      <w:r>
        <w:t xml:space="preserve">. </w:t>
      </w:r>
      <w:r w:rsidRPr="0049545C">
        <w:t xml:space="preserve">63.1 de la Convención: </w:t>
      </w:r>
      <w:r w:rsidRPr="0049545C">
        <w:rPr>
          <w:i/>
        </w:rPr>
        <w:t>“</w:t>
      </w:r>
      <w:r w:rsidRPr="0049545C">
        <w:rPr>
          <w:rFonts w:cs="Tahoma"/>
          <w:i/>
        </w:rPr>
        <w:t>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rsidR="00A65CB7" w:rsidRPr="0049545C" w:rsidRDefault="00A65CB7" w:rsidP="00306622">
      <w:pPr>
        <w:pStyle w:val="Textonotapie"/>
        <w:jc w:val="both"/>
        <w:rPr>
          <w:i/>
        </w:rPr>
      </w:pPr>
    </w:p>
  </w:footnote>
  <w:footnote w:id="15">
    <w:p w:rsidR="00A65CB7" w:rsidRDefault="00A65CB7" w:rsidP="00C17250">
      <w:pPr>
        <w:pStyle w:val="Textonotapie"/>
        <w:spacing w:line="276" w:lineRule="auto"/>
        <w:jc w:val="both"/>
        <w:rPr>
          <w:rFonts w:cs="Arial"/>
          <w:i/>
        </w:rPr>
      </w:pPr>
      <w:r w:rsidRPr="0049545C">
        <w:rPr>
          <w:rStyle w:val="Refdenotaalpie"/>
          <w:rFonts w:cs="Arial"/>
        </w:rPr>
        <w:footnoteRef/>
      </w:r>
      <w:r w:rsidRPr="0049545C">
        <w:rPr>
          <w:rFonts w:cs="Arial"/>
        </w:rPr>
        <w:t xml:space="preserve"> Art. 1.1 de la Convención.</w:t>
      </w:r>
      <w:r w:rsidRPr="0049545C">
        <w:rPr>
          <w:rFonts w:cs="Tahoma"/>
        </w:rPr>
        <w:t>:”</w:t>
      </w:r>
      <w:r w:rsidRPr="0049545C">
        <w:rPr>
          <w:rFonts w:cs="Tahoma"/>
          <w:i/>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A65CB7" w:rsidRPr="0067499D" w:rsidRDefault="00A65CB7" w:rsidP="00C17250">
      <w:pPr>
        <w:pStyle w:val="Textonotapie"/>
        <w:spacing w:line="276" w:lineRule="auto"/>
        <w:jc w:val="both"/>
        <w:rPr>
          <w:rFonts w:cs="Arial"/>
          <w:i/>
        </w:rPr>
      </w:pPr>
    </w:p>
  </w:footnote>
  <w:footnote w:id="16">
    <w:p w:rsidR="00A65CB7" w:rsidRPr="00F65FF4" w:rsidRDefault="00A65CB7">
      <w:pPr>
        <w:pStyle w:val="Textonotapie"/>
        <w:rPr>
          <w:lang w:val="es-ES"/>
        </w:rPr>
      </w:pPr>
      <w:r>
        <w:rPr>
          <w:rStyle w:val="Refdenotaalpie"/>
        </w:rPr>
        <w:footnoteRef/>
      </w:r>
      <w:r>
        <w:t xml:space="preserve"> </w:t>
      </w:r>
      <w:r>
        <w:rPr>
          <w:lang w:val="es-ES"/>
        </w:rPr>
        <w:t>Art.63.2 de la Convención.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1BB" w:rsidRDefault="006851B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1BB" w:rsidRDefault="006851BB">
    <w:pPr>
      <w:pStyle w:val="Encabezado"/>
      <w:jc w:val="center"/>
    </w:pPr>
    <w:r>
      <w:fldChar w:fldCharType="begin"/>
    </w:r>
    <w:r>
      <w:instrText xml:space="preserve"> PAGE   \* MERGEFORMAT </w:instrText>
    </w:r>
    <w:r>
      <w:fldChar w:fldCharType="separate"/>
    </w:r>
    <w:r w:rsidR="00C91C7D">
      <w:rPr>
        <w:noProof/>
      </w:rPr>
      <w:t>2</w:t>
    </w:r>
    <w:r>
      <w:fldChar w:fldCharType="end"/>
    </w:r>
  </w:p>
  <w:p w:rsidR="006851BB" w:rsidRDefault="006851B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1BB" w:rsidRDefault="006851B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3F6F"/>
    <w:rsid w:val="00033F6F"/>
    <w:rsid w:val="00064AE8"/>
    <w:rsid w:val="000C48C9"/>
    <w:rsid w:val="001069AB"/>
    <w:rsid w:val="00120751"/>
    <w:rsid w:val="00122F27"/>
    <w:rsid w:val="00125F23"/>
    <w:rsid w:val="00203404"/>
    <w:rsid w:val="00207BEF"/>
    <w:rsid w:val="00254553"/>
    <w:rsid w:val="00283FAD"/>
    <w:rsid w:val="002A7361"/>
    <w:rsid w:val="002D1013"/>
    <w:rsid w:val="00306622"/>
    <w:rsid w:val="00363AFF"/>
    <w:rsid w:val="004235E6"/>
    <w:rsid w:val="0044703F"/>
    <w:rsid w:val="0049545C"/>
    <w:rsid w:val="004F7B6E"/>
    <w:rsid w:val="00531358"/>
    <w:rsid w:val="0055155D"/>
    <w:rsid w:val="00574596"/>
    <w:rsid w:val="005C518F"/>
    <w:rsid w:val="005D26C4"/>
    <w:rsid w:val="005F4B9A"/>
    <w:rsid w:val="0067499D"/>
    <w:rsid w:val="006851BB"/>
    <w:rsid w:val="006B2EE5"/>
    <w:rsid w:val="006E03C3"/>
    <w:rsid w:val="00730EC8"/>
    <w:rsid w:val="0076133D"/>
    <w:rsid w:val="0081432C"/>
    <w:rsid w:val="008439D5"/>
    <w:rsid w:val="008451D2"/>
    <w:rsid w:val="008E6DC5"/>
    <w:rsid w:val="008E748B"/>
    <w:rsid w:val="009178DC"/>
    <w:rsid w:val="00920A26"/>
    <w:rsid w:val="009756B4"/>
    <w:rsid w:val="0098776F"/>
    <w:rsid w:val="00A01B89"/>
    <w:rsid w:val="00A65CB7"/>
    <w:rsid w:val="00A86B77"/>
    <w:rsid w:val="00AC7F7B"/>
    <w:rsid w:val="00B134A0"/>
    <w:rsid w:val="00B1394F"/>
    <w:rsid w:val="00B15996"/>
    <w:rsid w:val="00B32A63"/>
    <w:rsid w:val="00BA715B"/>
    <w:rsid w:val="00C02F48"/>
    <w:rsid w:val="00C17250"/>
    <w:rsid w:val="00C3585E"/>
    <w:rsid w:val="00C91C7D"/>
    <w:rsid w:val="00CB5B60"/>
    <w:rsid w:val="00D57BF9"/>
    <w:rsid w:val="00D607BF"/>
    <w:rsid w:val="00DB5B37"/>
    <w:rsid w:val="00DF1DAF"/>
    <w:rsid w:val="00E500D0"/>
    <w:rsid w:val="00EC7C06"/>
    <w:rsid w:val="00F65FF4"/>
    <w:rsid w:val="00F9432D"/>
    <w:rsid w:val="00F945B5"/>
    <w:rsid w:val="00FB0A24"/>
    <w:rsid w:val="00FD1BC0"/>
    <w:rsid w:val="00FE0C4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AB"/>
    <w:pPr>
      <w:spacing w:after="200" w:line="276" w:lineRule="auto"/>
    </w:pPr>
    <w:rPr>
      <w:sz w:val="22"/>
      <w:szCs w:val="22"/>
      <w:lang w:val="es-C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ootnote text,Ca,FA Fu Car1,Ca Car,C"/>
    <w:basedOn w:val="Normal"/>
    <w:link w:val="TextonotapieCar"/>
    <w:unhideWhenUsed/>
    <w:rsid w:val="00EC7C06"/>
    <w:pPr>
      <w:spacing w:after="0" w:line="240" w:lineRule="auto"/>
    </w:pPr>
    <w:rPr>
      <w:sz w:val="20"/>
      <w:szCs w:val="20"/>
    </w:rPr>
  </w:style>
  <w:style w:type="character" w:customStyle="1" w:styleId="TextonotapieCar">
    <w:name w:val="Texto nota pie Car"/>
    <w:aliases w:val="FA Fu Car,Footnote Text Char Char Char Char Char Car,Footnote Text Char Char Char Char Car,Footnote reference Car,Footnote Text Char Char Char Car,Footnote Text Cha Car,FA Fußnotentext Car,FA Fuﬂnotentext Car,footnote text Car,Ca Car1"/>
    <w:basedOn w:val="Fuentedeprrafopredeter"/>
    <w:link w:val="Textonotapie"/>
    <w:rsid w:val="00EC7C06"/>
    <w:rPr>
      <w:sz w:val="20"/>
      <w:szCs w:val="20"/>
    </w:rPr>
  </w:style>
  <w:style w:type="character" w:styleId="Refdenotaalpie">
    <w:name w:val="footnote reference"/>
    <w:aliases w:val="Footnotes refss,Texto de nota al pie,Appel note de bas de page,Footnote number,referencia nota al pie,BVI fnr,f"/>
    <w:basedOn w:val="Fuentedeprrafopredeter"/>
    <w:unhideWhenUsed/>
    <w:rsid w:val="00EC7C06"/>
    <w:rPr>
      <w:vertAlign w:val="superscript"/>
    </w:rPr>
  </w:style>
  <w:style w:type="paragraph" w:styleId="NormalWeb">
    <w:name w:val="Normal (Web)"/>
    <w:basedOn w:val="Normal"/>
    <w:uiPriority w:val="99"/>
    <w:rsid w:val="00064AE8"/>
    <w:pPr>
      <w:spacing w:before="100" w:beforeAutospacing="1" w:after="100" w:afterAutospacing="1" w:line="240" w:lineRule="auto"/>
    </w:pPr>
    <w:rPr>
      <w:rFonts w:ascii="Times New Roman" w:eastAsia="Times New Roman" w:hAnsi="Times New Roman"/>
      <w:sz w:val="24"/>
      <w:szCs w:val="24"/>
      <w:lang w:eastAsia="es-CL"/>
    </w:rPr>
  </w:style>
  <w:style w:type="paragraph" w:customStyle="1" w:styleId="style2">
    <w:name w:val="style2"/>
    <w:basedOn w:val="Normal"/>
    <w:rsid w:val="009756B4"/>
    <w:pPr>
      <w:spacing w:before="100" w:beforeAutospacing="1" w:after="100" w:afterAutospacing="1" w:line="204" w:lineRule="atLeast"/>
      <w:jc w:val="both"/>
    </w:pPr>
    <w:rPr>
      <w:rFonts w:ascii="Verdana" w:eastAsia="Times New Roman" w:hAnsi="Verdana"/>
      <w:color w:val="000000"/>
      <w:sz w:val="15"/>
      <w:szCs w:val="15"/>
      <w:lang w:eastAsia="es-CL"/>
    </w:rPr>
  </w:style>
  <w:style w:type="paragraph" w:styleId="Encabezado">
    <w:name w:val="header"/>
    <w:basedOn w:val="Normal"/>
    <w:link w:val="EncabezadoCar"/>
    <w:uiPriority w:val="99"/>
    <w:unhideWhenUsed/>
    <w:rsid w:val="007613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133D"/>
  </w:style>
  <w:style w:type="paragraph" w:styleId="Piedepgina">
    <w:name w:val="footer"/>
    <w:basedOn w:val="Normal"/>
    <w:link w:val="PiedepginaCar"/>
    <w:uiPriority w:val="99"/>
    <w:unhideWhenUsed/>
    <w:rsid w:val="007613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1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5C99F-817D-4C46-B3C2-36CDC4803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1014</Words>
  <Characters>5579</Characters>
  <Application>Microsoft Office Word</Application>
  <DocSecurity>4</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2014-04-10T17:55:00Z</cp:lastPrinted>
  <dcterms:created xsi:type="dcterms:W3CDTF">2017-06-30T20:27:00Z</dcterms:created>
  <dcterms:modified xsi:type="dcterms:W3CDTF">2017-06-30T20:27:00Z</dcterms:modified>
</cp:coreProperties>
</file>