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2E43" w:rsidRDefault="00E22E43" w:rsidP="009959E9">
      <w:pPr>
        <w:spacing w:after="0"/>
        <w:jc w:val="center"/>
        <w:rPr>
          <w:rFonts w:ascii="Verdana" w:hAnsi="Verdana" w:cs="Verdana"/>
          <w:b/>
          <w:bCs/>
          <w:caps/>
          <w:sz w:val="20"/>
          <w:szCs w:val="20"/>
          <w:lang w:val="es-ES"/>
        </w:rPr>
      </w:pPr>
      <w:bookmarkStart w:id="0" w:name="_GoBack"/>
      <w:bookmarkEnd w:id="0"/>
    </w:p>
    <w:p w:rsidR="009959E9" w:rsidRPr="0003632E" w:rsidRDefault="009959E9" w:rsidP="009959E9">
      <w:pPr>
        <w:spacing w:after="0"/>
        <w:jc w:val="center"/>
        <w:rPr>
          <w:rFonts w:ascii="Verdana" w:hAnsi="Verdana" w:cs="Verdana"/>
          <w:b/>
          <w:bCs/>
          <w:caps/>
          <w:sz w:val="20"/>
          <w:szCs w:val="20"/>
          <w:lang w:val="es-ES"/>
        </w:rPr>
      </w:pPr>
      <w:r w:rsidRPr="0003632E">
        <w:rPr>
          <w:rFonts w:ascii="Verdana" w:hAnsi="Verdana" w:cs="Verdana"/>
          <w:b/>
          <w:bCs/>
          <w:caps/>
          <w:sz w:val="20"/>
          <w:szCs w:val="20"/>
          <w:lang w:val="es-ES"/>
        </w:rPr>
        <w:t>RESOLUCIÓN DE</w:t>
      </w:r>
      <w:r>
        <w:rPr>
          <w:rFonts w:ascii="Verdana" w:hAnsi="Verdana" w:cs="Verdana"/>
          <w:b/>
          <w:bCs/>
          <w:caps/>
          <w:sz w:val="20"/>
          <w:szCs w:val="20"/>
          <w:lang w:val="es-ES"/>
        </w:rPr>
        <w:t xml:space="preserve"> </w:t>
      </w:r>
      <w:r w:rsidRPr="0003632E">
        <w:rPr>
          <w:rFonts w:ascii="Verdana" w:hAnsi="Verdana" w:cs="Verdana"/>
          <w:b/>
          <w:bCs/>
          <w:caps/>
          <w:sz w:val="20"/>
          <w:szCs w:val="20"/>
          <w:lang w:val="es-ES"/>
        </w:rPr>
        <w:t>L</w:t>
      </w:r>
      <w:r>
        <w:rPr>
          <w:rFonts w:ascii="Verdana" w:hAnsi="Verdana" w:cs="Verdana"/>
          <w:b/>
          <w:bCs/>
          <w:caps/>
          <w:sz w:val="20"/>
          <w:szCs w:val="20"/>
          <w:lang w:val="es-ES"/>
        </w:rPr>
        <w:t>a</w:t>
      </w:r>
      <w:r w:rsidRPr="0003632E">
        <w:rPr>
          <w:rFonts w:ascii="Verdana" w:hAnsi="Verdana" w:cs="Verdana"/>
          <w:b/>
          <w:bCs/>
          <w:caps/>
          <w:sz w:val="20"/>
          <w:szCs w:val="20"/>
          <w:lang w:val="es-ES"/>
        </w:rPr>
        <w:t xml:space="preserve"> </w:t>
      </w:r>
      <w:r w:rsidR="00583814">
        <w:rPr>
          <w:rFonts w:ascii="Verdana" w:hAnsi="Verdana" w:cs="Verdana"/>
          <w:b/>
          <w:bCs/>
          <w:caps/>
          <w:sz w:val="20"/>
          <w:szCs w:val="20"/>
          <w:lang w:val="es-ES"/>
        </w:rPr>
        <w:t>cor</w:t>
      </w:r>
      <w:r>
        <w:rPr>
          <w:rFonts w:ascii="Verdana" w:hAnsi="Verdana" w:cs="Verdana"/>
          <w:b/>
          <w:bCs/>
          <w:caps/>
          <w:sz w:val="20"/>
          <w:szCs w:val="20"/>
          <w:lang w:val="es-ES"/>
        </w:rPr>
        <w:t>te</w:t>
      </w:r>
    </w:p>
    <w:p w:rsidR="009959E9" w:rsidRDefault="009959E9" w:rsidP="009959E9">
      <w:pPr>
        <w:spacing w:after="0"/>
        <w:jc w:val="center"/>
        <w:rPr>
          <w:rFonts w:ascii="Verdana" w:hAnsi="Verdana" w:cs="Verdana"/>
          <w:b/>
          <w:bCs/>
          <w:caps/>
          <w:sz w:val="20"/>
          <w:szCs w:val="20"/>
          <w:lang w:val="es-ES"/>
        </w:rPr>
      </w:pPr>
      <w:r w:rsidRPr="0003632E">
        <w:rPr>
          <w:rFonts w:ascii="Verdana" w:hAnsi="Verdana" w:cs="Verdana"/>
          <w:b/>
          <w:bCs/>
          <w:caps/>
          <w:sz w:val="20"/>
          <w:szCs w:val="20"/>
          <w:lang w:val="es-ES"/>
        </w:rPr>
        <w:t xml:space="preserve"> INTERAMERICANA</w:t>
      </w:r>
      <w:r>
        <w:rPr>
          <w:rFonts w:ascii="Verdana" w:hAnsi="Verdana" w:cs="Verdana"/>
          <w:b/>
          <w:bCs/>
          <w:caps/>
          <w:sz w:val="20"/>
          <w:szCs w:val="20"/>
          <w:lang w:val="es-ES"/>
        </w:rPr>
        <w:t xml:space="preserve"> </w:t>
      </w:r>
      <w:r w:rsidRPr="0003632E">
        <w:rPr>
          <w:rFonts w:ascii="Verdana" w:hAnsi="Verdana" w:cs="Verdana"/>
          <w:b/>
          <w:bCs/>
          <w:caps/>
          <w:sz w:val="20"/>
          <w:szCs w:val="20"/>
          <w:lang w:val="es-ES"/>
        </w:rPr>
        <w:t>DE DERECHOS HUMANOS</w:t>
      </w:r>
      <w:r w:rsidR="00AD6B71" w:rsidRPr="003B027A">
        <w:rPr>
          <w:rStyle w:val="Refdenotaalpie"/>
          <w:b/>
          <w:bCs/>
          <w:caps/>
          <w:lang w:val="es-ES"/>
        </w:rPr>
        <w:footnoteReference w:customMarkFollows="1" w:id="1"/>
        <w:sym w:font="Symbol" w:char="F02A"/>
      </w:r>
    </w:p>
    <w:p w:rsidR="009959E9" w:rsidRDefault="009959E9" w:rsidP="009959E9">
      <w:pPr>
        <w:spacing w:after="0"/>
        <w:jc w:val="center"/>
        <w:rPr>
          <w:rFonts w:ascii="Verdana" w:hAnsi="Verdana" w:cs="Verdana"/>
          <w:b/>
          <w:bCs/>
          <w:caps/>
          <w:sz w:val="20"/>
          <w:szCs w:val="20"/>
          <w:lang w:val="es-ES"/>
        </w:rPr>
      </w:pPr>
    </w:p>
    <w:p w:rsidR="009959E9" w:rsidRPr="0003632E" w:rsidRDefault="009959E9" w:rsidP="009959E9">
      <w:pPr>
        <w:spacing w:after="0"/>
        <w:jc w:val="center"/>
        <w:rPr>
          <w:rFonts w:ascii="Verdana" w:hAnsi="Verdana" w:cs="Verdana"/>
          <w:b/>
          <w:bCs/>
          <w:caps/>
          <w:sz w:val="20"/>
          <w:szCs w:val="20"/>
          <w:lang w:val="es-ES"/>
        </w:rPr>
      </w:pPr>
      <w:r w:rsidRPr="0003632E">
        <w:rPr>
          <w:rFonts w:ascii="Verdana" w:hAnsi="Verdana" w:cs="Verdana"/>
          <w:b/>
          <w:bCs/>
          <w:caps/>
          <w:sz w:val="20"/>
          <w:szCs w:val="20"/>
          <w:lang w:val="es-ES"/>
        </w:rPr>
        <w:t xml:space="preserve">DE </w:t>
      </w:r>
      <w:r w:rsidR="006A2FC7">
        <w:rPr>
          <w:rFonts w:ascii="Verdana" w:hAnsi="Verdana" w:cs="Verdana"/>
          <w:b/>
          <w:bCs/>
          <w:caps/>
          <w:sz w:val="20"/>
          <w:szCs w:val="20"/>
          <w:lang w:val="es-ES"/>
        </w:rPr>
        <w:t>18</w:t>
      </w:r>
      <w:r>
        <w:rPr>
          <w:rFonts w:ascii="Verdana" w:hAnsi="Verdana" w:cs="Verdana"/>
          <w:b/>
          <w:bCs/>
          <w:caps/>
          <w:sz w:val="20"/>
          <w:szCs w:val="20"/>
          <w:lang w:val="es-ES"/>
        </w:rPr>
        <w:t xml:space="preserve"> DE juniO DE 2015</w:t>
      </w:r>
    </w:p>
    <w:p w:rsidR="009959E9" w:rsidRPr="0003632E" w:rsidRDefault="009959E9" w:rsidP="009959E9">
      <w:pPr>
        <w:spacing w:after="0"/>
        <w:jc w:val="center"/>
        <w:rPr>
          <w:rFonts w:ascii="Verdana" w:hAnsi="Verdana" w:cs="Verdana"/>
          <w:b/>
          <w:bCs/>
          <w:caps/>
          <w:sz w:val="20"/>
          <w:szCs w:val="20"/>
          <w:lang w:val="es-ES"/>
        </w:rPr>
      </w:pPr>
    </w:p>
    <w:p w:rsidR="009959E9" w:rsidRPr="0003632E" w:rsidRDefault="009959E9" w:rsidP="009959E9">
      <w:pPr>
        <w:spacing w:after="0"/>
        <w:jc w:val="center"/>
        <w:rPr>
          <w:rFonts w:ascii="Verdana" w:hAnsi="Verdana" w:cs="Verdana"/>
          <w:b/>
          <w:bCs/>
          <w:caps/>
          <w:sz w:val="20"/>
          <w:szCs w:val="20"/>
          <w:lang w:val="es-ES"/>
        </w:rPr>
      </w:pPr>
      <w:r>
        <w:rPr>
          <w:rFonts w:ascii="Verdana" w:hAnsi="Verdana" w:cs="Verdana"/>
          <w:b/>
          <w:bCs/>
          <w:caps/>
          <w:sz w:val="20"/>
          <w:szCs w:val="20"/>
          <w:lang w:val="es-ES"/>
        </w:rPr>
        <w:t>CASO YARCE</w:t>
      </w:r>
      <w:r w:rsidRPr="0003632E">
        <w:rPr>
          <w:rFonts w:ascii="Verdana" w:hAnsi="Verdana" w:cs="Verdana"/>
          <w:b/>
          <w:bCs/>
          <w:caps/>
          <w:sz w:val="20"/>
          <w:szCs w:val="20"/>
          <w:lang w:val="es-ES"/>
        </w:rPr>
        <w:t xml:space="preserve"> Y OTR</w:t>
      </w:r>
      <w:r w:rsidR="00B26F03">
        <w:rPr>
          <w:rFonts w:ascii="Verdana" w:hAnsi="Verdana" w:cs="Verdana"/>
          <w:b/>
          <w:bCs/>
          <w:caps/>
          <w:sz w:val="20"/>
          <w:szCs w:val="20"/>
          <w:lang w:val="es-ES"/>
        </w:rPr>
        <w:t>a</w:t>
      </w:r>
      <w:r w:rsidRPr="0003632E">
        <w:rPr>
          <w:rFonts w:ascii="Verdana" w:hAnsi="Verdana" w:cs="Verdana"/>
          <w:b/>
          <w:bCs/>
          <w:caps/>
          <w:sz w:val="20"/>
          <w:szCs w:val="20"/>
          <w:lang w:val="es-ES"/>
        </w:rPr>
        <w:t>S VS. COLOMBIA</w:t>
      </w:r>
    </w:p>
    <w:p w:rsidR="009959E9" w:rsidRDefault="009959E9" w:rsidP="009959E9">
      <w:pPr>
        <w:spacing w:after="0"/>
        <w:rPr>
          <w:rFonts w:ascii="Verdana" w:hAnsi="Verdana" w:cs="Verdana"/>
          <w:b/>
          <w:bCs/>
          <w:caps/>
          <w:sz w:val="20"/>
          <w:szCs w:val="20"/>
          <w:lang w:val="es-ES"/>
        </w:rPr>
      </w:pPr>
    </w:p>
    <w:p w:rsidR="009959E9" w:rsidRPr="0003632E" w:rsidRDefault="009959E9" w:rsidP="009959E9">
      <w:pPr>
        <w:spacing w:after="0" w:line="240" w:lineRule="auto"/>
        <w:rPr>
          <w:rFonts w:ascii="Verdana" w:hAnsi="Verdana" w:cs="Verdana"/>
          <w:b/>
          <w:bCs/>
          <w:sz w:val="20"/>
          <w:szCs w:val="20"/>
          <w:lang w:val="es-CR"/>
        </w:rPr>
      </w:pPr>
      <w:r w:rsidRPr="0003632E">
        <w:rPr>
          <w:rFonts w:ascii="Verdana" w:hAnsi="Verdana" w:cs="Verdana"/>
          <w:b/>
          <w:bCs/>
          <w:sz w:val="20"/>
          <w:szCs w:val="20"/>
          <w:lang w:val="es-CR"/>
        </w:rPr>
        <w:t>VISTO:</w:t>
      </w:r>
    </w:p>
    <w:p w:rsidR="009959E9" w:rsidRPr="0003632E" w:rsidRDefault="009959E9" w:rsidP="009959E9">
      <w:pPr>
        <w:pStyle w:val="Prrafodelista"/>
        <w:numPr>
          <w:ilvl w:val="0"/>
          <w:numId w:val="0"/>
        </w:numPr>
        <w:rPr>
          <w:lang w:val="es-CR"/>
        </w:rPr>
      </w:pPr>
      <w:bookmarkStart w:id="1" w:name="_Ref227741125"/>
      <w:bookmarkStart w:id="2" w:name="_Ref352013213"/>
    </w:p>
    <w:bookmarkEnd w:id="1"/>
    <w:bookmarkEnd w:id="2"/>
    <w:p w:rsidR="009959E9" w:rsidRPr="00E7665B" w:rsidRDefault="009959E9" w:rsidP="009959E9">
      <w:pPr>
        <w:numPr>
          <w:ilvl w:val="0"/>
          <w:numId w:val="2"/>
        </w:numPr>
        <w:autoSpaceDE w:val="0"/>
        <w:autoSpaceDN w:val="0"/>
        <w:adjustRightInd w:val="0"/>
        <w:spacing w:after="0" w:line="240" w:lineRule="auto"/>
        <w:ind w:left="0" w:right="18" w:firstLine="0"/>
        <w:jc w:val="both"/>
        <w:rPr>
          <w:rFonts w:ascii="Verdana" w:hAnsi="Verdana" w:cs="Verdana"/>
          <w:sz w:val="20"/>
          <w:szCs w:val="20"/>
        </w:rPr>
      </w:pPr>
      <w:r w:rsidRPr="00E7665B">
        <w:rPr>
          <w:rFonts w:ascii="Verdana" w:hAnsi="Verdana" w:cs="Verdana"/>
          <w:sz w:val="20"/>
          <w:szCs w:val="20"/>
        </w:rPr>
        <w:t xml:space="preserve">La Resolución del Presidente de la Corte Interamericana de Derechos Humanos en ejercicio para al presente caso (en adelante “el Presidente en ejercicio”) de 26 de mayo de 2015 (en adelante “la Resolución del Presidente en ejercicio”) mediante la cual, </w:t>
      </w:r>
      <w:r w:rsidRPr="00E7665B">
        <w:rPr>
          <w:rFonts w:ascii="Verdana" w:hAnsi="Verdana" w:cs="Verdana"/>
          <w:i/>
          <w:iCs/>
          <w:sz w:val="20"/>
          <w:szCs w:val="20"/>
        </w:rPr>
        <w:t>inter alia</w:t>
      </w:r>
      <w:r w:rsidRPr="00E7665B">
        <w:rPr>
          <w:rFonts w:ascii="Verdana" w:hAnsi="Verdana" w:cs="Verdana"/>
          <w:sz w:val="20"/>
          <w:szCs w:val="20"/>
        </w:rPr>
        <w:t xml:space="preserve">, ordenó la recepción de diversas declaraciones periciales mediante </w:t>
      </w:r>
      <w:r w:rsidRPr="00E7665B">
        <w:rPr>
          <w:rFonts w:ascii="Verdana" w:hAnsi="Verdana" w:cs="Verdana"/>
          <w:iCs/>
          <w:sz w:val="20"/>
          <w:szCs w:val="20"/>
        </w:rPr>
        <w:t>affidávit</w:t>
      </w:r>
      <w:r w:rsidRPr="00E7665B">
        <w:rPr>
          <w:rFonts w:ascii="Verdana" w:hAnsi="Verdana" w:cs="Verdana"/>
          <w:sz w:val="20"/>
          <w:szCs w:val="20"/>
        </w:rPr>
        <w:t xml:space="preserve"> y convocó a la Comisión Interamericana de Derechos Humanos (en adelante también “la Comisión Interamericana” o “la Comisión”), a las representantes de las presuntas víctimas (en adelante también “las representantes”) y a </w:t>
      </w:r>
      <w:r w:rsidRPr="00E7665B">
        <w:rPr>
          <w:rFonts w:ascii="Verdana" w:hAnsi="Verdana" w:cs="Verdana"/>
          <w:sz w:val="20"/>
          <w:lang w:val="es-ES"/>
        </w:rPr>
        <w:t xml:space="preserve">la República de Colombia (en adelante “el Estado” o “Colombia”) </w:t>
      </w:r>
      <w:r w:rsidRPr="00E7665B">
        <w:rPr>
          <w:rFonts w:ascii="Verdana" w:hAnsi="Verdana" w:cs="Verdana"/>
          <w:sz w:val="20"/>
          <w:szCs w:val="20"/>
        </w:rPr>
        <w:t xml:space="preserve">a una audiencia pública a celebrarse el 26 de junio de 2015 para recibir sus alegatos finales orales sobre la excepción preliminar, </w:t>
      </w:r>
      <w:r w:rsidR="00E7665B" w:rsidRPr="00E7665B">
        <w:rPr>
          <w:rFonts w:ascii="Verdana" w:hAnsi="Verdana" w:cs="Verdana"/>
          <w:sz w:val="20"/>
          <w:szCs w:val="20"/>
        </w:rPr>
        <w:t xml:space="preserve">las eventuales fondo, </w:t>
      </w:r>
      <w:r w:rsidRPr="00E7665B">
        <w:rPr>
          <w:rFonts w:ascii="Verdana" w:hAnsi="Verdana" w:cs="Verdana"/>
          <w:sz w:val="20"/>
          <w:szCs w:val="20"/>
        </w:rPr>
        <w:t xml:space="preserve">reparaciones y costas en el presente caso, así como, </w:t>
      </w:r>
      <w:r w:rsidRPr="00E7665B">
        <w:rPr>
          <w:rFonts w:ascii="Verdana" w:hAnsi="Verdana" w:cs="Verdana"/>
          <w:i/>
          <w:sz w:val="20"/>
          <w:szCs w:val="20"/>
        </w:rPr>
        <w:t>inter alia</w:t>
      </w:r>
      <w:r w:rsidRPr="00E7665B">
        <w:rPr>
          <w:rFonts w:ascii="Verdana" w:hAnsi="Verdana" w:cs="Verdana"/>
          <w:sz w:val="20"/>
          <w:szCs w:val="20"/>
        </w:rPr>
        <w:t xml:space="preserve">, </w:t>
      </w:r>
      <w:r w:rsidR="00E7665B">
        <w:rPr>
          <w:rFonts w:ascii="Verdana" w:hAnsi="Verdana" w:cs="Verdana"/>
          <w:sz w:val="20"/>
          <w:szCs w:val="20"/>
        </w:rPr>
        <w:t xml:space="preserve">el dictamen de un perito </w:t>
      </w:r>
      <w:r w:rsidRPr="00E7665B">
        <w:rPr>
          <w:rFonts w:ascii="Verdana" w:hAnsi="Verdana" w:cs="Verdana"/>
          <w:sz w:val="20"/>
          <w:szCs w:val="20"/>
        </w:rPr>
        <w:t>propuesto por los representantes.</w:t>
      </w:r>
    </w:p>
    <w:p w:rsidR="009959E9" w:rsidRPr="001339A0" w:rsidRDefault="009959E9" w:rsidP="009959E9">
      <w:pPr>
        <w:autoSpaceDE w:val="0"/>
        <w:autoSpaceDN w:val="0"/>
        <w:adjustRightInd w:val="0"/>
        <w:spacing w:after="0" w:line="240" w:lineRule="auto"/>
        <w:ind w:right="18"/>
        <w:jc w:val="both"/>
        <w:rPr>
          <w:rFonts w:ascii="Verdana" w:hAnsi="Verdana" w:cs="Verdana"/>
          <w:sz w:val="20"/>
          <w:szCs w:val="20"/>
        </w:rPr>
      </w:pPr>
    </w:p>
    <w:p w:rsidR="009959E9" w:rsidRPr="001339A0" w:rsidRDefault="009959E9" w:rsidP="009959E9">
      <w:pPr>
        <w:numPr>
          <w:ilvl w:val="0"/>
          <w:numId w:val="2"/>
        </w:numPr>
        <w:autoSpaceDE w:val="0"/>
        <w:autoSpaceDN w:val="0"/>
        <w:adjustRightInd w:val="0"/>
        <w:spacing w:after="0" w:line="240" w:lineRule="auto"/>
        <w:ind w:left="0" w:right="18" w:firstLine="0"/>
        <w:jc w:val="both"/>
        <w:rPr>
          <w:rFonts w:ascii="Verdana" w:hAnsi="Verdana" w:cs="Verdana"/>
          <w:sz w:val="20"/>
          <w:szCs w:val="20"/>
        </w:rPr>
      </w:pPr>
      <w:r w:rsidRPr="001339A0">
        <w:rPr>
          <w:rFonts w:ascii="Verdana" w:hAnsi="Verdana" w:cs="Verdana"/>
          <w:sz w:val="20"/>
          <w:szCs w:val="20"/>
        </w:rPr>
        <w:t>El escrito de 27 de mayo de 2015, mediante el cual las representantes “</w:t>
      </w:r>
      <w:proofErr w:type="gramStart"/>
      <w:r w:rsidRPr="001339A0">
        <w:rPr>
          <w:rFonts w:ascii="Verdana" w:hAnsi="Verdana" w:cs="Verdana"/>
          <w:sz w:val="20"/>
          <w:szCs w:val="20"/>
          <w:lang w:val="es-CR"/>
        </w:rPr>
        <w:t>presentar[</w:t>
      </w:r>
      <w:proofErr w:type="gramEnd"/>
      <w:r w:rsidRPr="001339A0">
        <w:rPr>
          <w:rFonts w:ascii="Verdana" w:hAnsi="Verdana" w:cs="Verdana"/>
          <w:sz w:val="20"/>
          <w:szCs w:val="20"/>
          <w:lang w:val="es-CR"/>
        </w:rPr>
        <w:t>on]</w:t>
      </w:r>
      <w:r w:rsidR="004E271B">
        <w:rPr>
          <w:rFonts w:ascii="Verdana" w:hAnsi="Verdana" w:cs="Verdana"/>
          <w:sz w:val="20"/>
          <w:szCs w:val="20"/>
          <w:lang w:val="es-CR"/>
        </w:rPr>
        <w:t xml:space="preserve"> </w:t>
      </w:r>
      <w:r w:rsidRPr="001339A0">
        <w:rPr>
          <w:rFonts w:ascii="Verdana" w:hAnsi="Verdana" w:cs="Verdana"/>
          <w:sz w:val="20"/>
          <w:szCs w:val="20"/>
          <w:lang w:val="es-CR"/>
        </w:rPr>
        <w:t>ante la […]</w:t>
      </w:r>
      <w:r w:rsidR="00C13613">
        <w:rPr>
          <w:rFonts w:ascii="Verdana" w:hAnsi="Verdana" w:cs="Verdana"/>
          <w:sz w:val="20"/>
          <w:szCs w:val="20"/>
          <w:lang w:val="es-CR"/>
        </w:rPr>
        <w:t xml:space="preserve"> </w:t>
      </w:r>
      <w:r w:rsidRPr="001339A0">
        <w:rPr>
          <w:rFonts w:ascii="Verdana" w:hAnsi="Verdana" w:cs="Verdana"/>
          <w:sz w:val="20"/>
          <w:szCs w:val="20"/>
          <w:lang w:val="es-CR"/>
        </w:rPr>
        <w:t>Corte una solicitud de reconsideración de la modalidad en que han sido llamados a declarar [dos] peritos”</w:t>
      </w:r>
      <w:r>
        <w:rPr>
          <w:rFonts w:ascii="Verdana" w:hAnsi="Verdana" w:cs="Verdana"/>
          <w:sz w:val="20"/>
          <w:szCs w:val="20"/>
          <w:lang w:val="es-CR"/>
        </w:rPr>
        <w:t xml:space="preserve"> (</w:t>
      </w:r>
      <w:r>
        <w:rPr>
          <w:rFonts w:ascii="Verdana" w:hAnsi="Verdana" w:cs="Verdana"/>
          <w:i/>
          <w:sz w:val="20"/>
          <w:szCs w:val="20"/>
          <w:lang w:val="es-CR"/>
        </w:rPr>
        <w:t>infra</w:t>
      </w:r>
      <w:r>
        <w:rPr>
          <w:rFonts w:ascii="Verdana" w:hAnsi="Verdana" w:cs="Verdana"/>
          <w:sz w:val="20"/>
          <w:szCs w:val="20"/>
          <w:lang w:val="es-CR"/>
        </w:rPr>
        <w:t xml:space="preserve"> Considerandos </w:t>
      </w:r>
      <w:r w:rsidRPr="00EE4442">
        <w:rPr>
          <w:rFonts w:ascii="Verdana" w:hAnsi="Verdana" w:cs="Verdana"/>
          <w:sz w:val="20"/>
          <w:szCs w:val="20"/>
          <w:lang w:val="es-CR"/>
        </w:rPr>
        <w:t>4</w:t>
      </w:r>
      <w:r>
        <w:rPr>
          <w:rFonts w:ascii="Verdana" w:hAnsi="Verdana" w:cs="Verdana"/>
          <w:sz w:val="20"/>
          <w:szCs w:val="20"/>
          <w:lang w:val="es-CR"/>
        </w:rPr>
        <w:t xml:space="preserve"> a </w:t>
      </w:r>
      <w:r w:rsidRPr="00EE4442">
        <w:rPr>
          <w:rFonts w:ascii="Verdana" w:hAnsi="Verdana" w:cs="Verdana"/>
          <w:sz w:val="20"/>
          <w:szCs w:val="20"/>
          <w:lang w:val="es-CR"/>
        </w:rPr>
        <w:t>6</w:t>
      </w:r>
      <w:r>
        <w:rPr>
          <w:rFonts w:ascii="Verdana" w:hAnsi="Verdana" w:cs="Verdana"/>
          <w:sz w:val="20"/>
          <w:szCs w:val="20"/>
          <w:lang w:val="es-CR"/>
        </w:rPr>
        <w:t>)</w:t>
      </w:r>
      <w:r w:rsidRPr="001339A0">
        <w:rPr>
          <w:rFonts w:ascii="Verdana" w:hAnsi="Verdana" w:cs="Verdana"/>
          <w:sz w:val="20"/>
          <w:szCs w:val="20"/>
          <w:lang w:val="es-CR"/>
        </w:rPr>
        <w:t>.</w:t>
      </w:r>
    </w:p>
    <w:p w:rsidR="008D539E" w:rsidRDefault="008D539E" w:rsidP="009959E9">
      <w:pPr>
        <w:pStyle w:val="Prrafodelista"/>
        <w:numPr>
          <w:ilvl w:val="0"/>
          <w:numId w:val="0"/>
        </w:numPr>
      </w:pPr>
    </w:p>
    <w:p w:rsidR="009959E9" w:rsidRPr="001339A0" w:rsidRDefault="009959E9" w:rsidP="009959E9">
      <w:pPr>
        <w:numPr>
          <w:ilvl w:val="0"/>
          <w:numId w:val="2"/>
        </w:numPr>
        <w:autoSpaceDE w:val="0"/>
        <w:autoSpaceDN w:val="0"/>
        <w:adjustRightInd w:val="0"/>
        <w:spacing w:after="0" w:line="240" w:lineRule="auto"/>
        <w:ind w:left="0" w:right="18" w:firstLine="0"/>
        <w:jc w:val="both"/>
        <w:rPr>
          <w:rFonts w:ascii="Verdana" w:hAnsi="Verdana" w:cs="Verdana"/>
          <w:sz w:val="20"/>
          <w:szCs w:val="20"/>
        </w:rPr>
      </w:pPr>
      <w:r w:rsidRPr="00700FD8">
        <w:rPr>
          <w:rFonts w:ascii="Verdana" w:hAnsi="Verdana" w:cs="Verdana"/>
          <w:sz w:val="20"/>
          <w:szCs w:val="20"/>
        </w:rPr>
        <w:t>Las notas de la Secretaría de la Corte Interamericana</w:t>
      </w:r>
      <w:r>
        <w:rPr>
          <w:rFonts w:ascii="Verdana" w:hAnsi="Verdana" w:cs="Verdana"/>
          <w:sz w:val="20"/>
          <w:szCs w:val="20"/>
        </w:rPr>
        <w:t xml:space="preserve"> de Derechos Humanos</w:t>
      </w:r>
      <w:r w:rsidRPr="00700FD8">
        <w:rPr>
          <w:rFonts w:ascii="Verdana" w:hAnsi="Verdana" w:cs="Verdana"/>
          <w:sz w:val="20"/>
          <w:szCs w:val="20"/>
        </w:rPr>
        <w:t xml:space="preserve"> (en adelante “la Secretaría”) de </w:t>
      </w:r>
      <w:r w:rsidRPr="00654F00">
        <w:rPr>
          <w:rFonts w:ascii="Verdana" w:hAnsi="Verdana" w:cs="Verdana"/>
          <w:sz w:val="20"/>
          <w:szCs w:val="20"/>
        </w:rPr>
        <w:t>27 de mayo de 2015,</w:t>
      </w:r>
      <w:r w:rsidRPr="00700FD8">
        <w:rPr>
          <w:rFonts w:ascii="Verdana" w:hAnsi="Verdana" w:cs="Verdana"/>
          <w:sz w:val="20"/>
          <w:szCs w:val="20"/>
        </w:rPr>
        <w:t xml:space="preserve"> mediante las cuales, siguiendo instrucciones del Presidente </w:t>
      </w:r>
      <w:r>
        <w:rPr>
          <w:rFonts w:ascii="Verdana" w:hAnsi="Verdana" w:cs="Verdana"/>
          <w:sz w:val="20"/>
          <w:szCs w:val="20"/>
        </w:rPr>
        <w:t>en ejercicio</w:t>
      </w:r>
      <w:r w:rsidRPr="00700FD8">
        <w:rPr>
          <w:rFonts w:ascii="Verdana" w:hAnsi="Verdana" w:cs="Verdana"/>
          <w:sz w:val="20"/>
          <w:szCs w:val="20"/>
        </w:rPr>
        <w:t>, comunicó a</w:t>
      </w:r>
      <w:r>
        <w:rPr>
          <w:rFonts w:ascii="Verdana" w:hAnsi="Verdana"/>
          <w:sz w:val="20"/>
          <w:szCs w:val="20"/>
        </w:rPr>
        <w:t>l Estado</w:t>
      </w:r>
      <w:r w:rsidRPr="00700FD8">
        <w:rPr>
          <w:rFonts w:ascii="Verdana" w:hAnsi="Verdana"/>
          <w:sz w:val="20"/>
          <w:szCs w:val="20"/>
        </w:rPr>
        <w:t xml:space="preserve"> y a la Comisión Interamericana que contaban con un plazo hasta el 1 de junio de 201</w:t>
      </w:r>
      <w:r>
        <w:rPr>
          <w:rFonts w:ascii="Verdana" w:hAnsi="Verdana"/>
          <w:sz w:val="20"/>
          <w:szCs w:val="20"/>
        </w:rPr>
        <w:t>5</w:t>
      </w:r>
      <w:r w:rsidRPr="00700FD8">
        <w:rPr>
          <w:rFonts w:ascii="Verdana" w:hAnsi="Verdana"/>
          <w:sz w:val="20"/>
          <w:szCs w:val="20"/>
        </w:rPr>
        <w:t xml:space="preserve">, para que presentaran sus observaciones </w:t>
      </w:r>
      <w:r>
        <w:rPr>
          <w:rFonts w:ascii="Verdana" w:hAnsi="Verdana"/>
          <w:sz w:val="20"/>
          <w:szCs w:val="20"/>
        </w:rPr>
        <w:t>a la “solicitud de reconsideración”</w:t>
      </w:r>
      <w:r w:rsidR="00654F00">
        <w:rPr>
          <w:rFonts w:ascii="Verdana" w:hAnsi="Verdana"/>
          <w:sz w:val="20"/>
          <w:szCs w:val="20"/>
        </w:rPr>
        <w:t xml:space="preserve"> </w:t>
      </w:r>
      <w:r w:rsidRPr="00700FD8">
        <w:rPr>
          <w:rFonts w:ascii="Verdana" w:hAnsi="Verdana"/>
          <w:sz w:val="20"/>
          <w:szCs w:val="20"/>
        </w:rPr>
        <w:t>interpuest</w:t>
      </w:r>
      <w:r w:rsidR="004E271B">
        <w:rPr>
          <w:rFonts w:ascii="Verdana" w:hAnsi="Verdana"/>
          <w:sz w:val="20"/>
          <w:szCs w:val="20"/>
        </w:rPr>
        <w:t>a</w:t>
      </w:r>
      <w:r w:rsidRPr="00700FD8">
        <w:rPr>
          <w:rFonts w:ascii="Verdana" w:hAnsi="Verdana"/>
          <w:sz w:val="20"/>
          <w:szCs w:val="20"/>
        </w:rPr>
        <w:t xml:space="preserve"> por </w:t>
      </w:r>
      <w:r>
        <w:rPr>
          <w:rFonts w:ascii="Verdana" w:hAnsi="Verdana"/>
          <w:sz w:val="20"/>
          <w:szCs w:val="20"/>
        </w:rPr>
        <w:t>las representantes</w:t>
      </w:r>
      <w:r w:rsidRPr="00700FD8">
        <w:rPr>
          <w:rFonts w:ascii="Verdana" w:hAnsi="Verdana"/>
          <w:sz w:val="20"/>
          <w:szCs w:val="20"/>
        </w:rPr>
        <w:t>.</w:t>
      </w:r>
    </w:p>
    <w:p w:rsidR="009959E9" w:rsidRPr="001339A0" w:rsidRDefault="009959E9" w:rsidP="009959E9">
      <w:pPr>
        <w:autoSpaceDE w:val="0"/>
        <w:autoSpaceDN w:val="0"/>
        <w:adjustRightInd w:val="0"/>
        <w:spacing w:after="0" w:line="240" w:lineRule="auto"/>
        <w:rPr>
          <w:rFonts w:ascii="Verdana" w:hAnsi="Verdana" w:cs="Verdana"/>
          <w:sz w:val="20"/>
          <w:szCs w:val="20"/>
        </w:rPr>
      </w:pPr>
    </w:p>
    <w:p w:rsidR="009959E9" w:rsidRDefault="009959E9" w:rsidP="009959E9">
      <w:pPr>
        <w:numPr>
          <w:ilvl w:val="0"/>
          <w:numId w:val="2"/>
        </w:numPr>
        <w:autoSpaceDE w:val="0"/>
        <w:autoSpaceDN w:val="0"/>
        <w:adjustRightInd w:val="0"/>
        <w:spacing w:after="0" w:line="240" w:lineRule="auto"/>
        <w:ind w:left="0" w:right="18" w:firstLine="0"/>
        <w:jc w:val="both"/>
        <w:rPr>
          <w:rFonts w:ascii="Verdana" w:hAnsi="Verdana" w:cs="Verdana"/>
          <w:sz w:val="20"/>
          <w:szCs w:val="20"/>
        </w:rPr>
      </w:pPr>
      <w:r>
        <w:rPr>
          <w:rFonts w:ascii="Verdana" w:hAnsi="Verdana" w:cs="Verdana"/>
          <w:sz w:val="20"/>
          <w:szCs w:val="20"/>
        </w:rPr>
        <w:t>El escrito de 1 de junio de 2015</w:t>
      </w:r>
      <w:r w:rsidR="004E271B">
        <w:rPr>
          <w:rFonts w:ascii="Verdana" w:hAnsi="Verdana" w:cs="Verdana"/>
          <w:sz w:val="20"/>
          <w:szCs w:val="20"/>
        </w:rPr>
        <w:t>,</w:t>
      </w:r>
      <w:r>
        <w:rPr>
          <w:rFonts w:ascii="Verdana" w:hAnsi="Verdana" w:cs="Verdana"/>
          <w:sz w:val="20"/>
          <w:szCs w:val="20"/>
        </w:rPr>
        <w:t xml:space="preserve"> por medio del cual Colombia pidió que se “[d]esestim</w:t>
      </w:r>
      <w:r w:rsidR="00DE1A9D">
        <w:rPr>
          <w:rFonts w:ascii="Verdana" w:hAnsi="Verdana" w:cs="Verdana"/>
          <w:sz w:val="20"/>
          <w:szCs w:val="20"/>
        </w:rPr>
        <w:t>[</w:t>
      </w:r>
      <w:r>
        <w:rPr>
          <w:rFonts w:ascii="Verdana" w:hAnsi="Verdana" w:cs="Verdana"/>
          <w:sz w:val="20"/>
          <w:szCs w:val="20"/>
        </w:rPr>
        <w:t>e</w:t>
      </w:r>
      <w:r w:rsidR="00DE1A9D">
        <w:rPr>
          <w:rFonts w:ascii="Verdana" w:hAnsi="Verdana" w:cs="Verdana"/>
          <w:sz w:val="20"/>
          <w:szCs w:val="20"/>
        </w:rPr>
        <w:t>]</w:t>
      </w:r>
      <w:r>
        <w:rPr>
          <w:rFonts w:ascii="Verdana" w:hAnsi="Verdana" w:cs="Verdana"/>
          <w:sz w:val="20"/>
          <w:szCs w:val="20"/>
        </w:rPr>
        <w:t xml:space="preserve"> el recurso de reconsideración presentado por las representantes</w:t>
      </w:r>
      <w:r w:rsidR="00DE1A9D">
        <w:rPr>
          <w:rFonts w:ascii="Verdana" w:hAnsi="Verdana" w:cs="Verdana"/>
          <w:sz w:val="20"/>
          <w:szCs w:val="20"/>
        </w:rPr>
        <w:t>”</w:t>
      </w:r>
      <w:r>
        <w:rPr>
          <w:rFonts w:ascii="Verdana" w:hAnsi="Verdana" w:cs="Verdana"/>
          <w:sz w:val="20"/>
          <w:szCs w:val="20"/>
        </w:rPr>
        <w:t>. Además, presentó una “aclaración” respecto a una persona que en la Resolución del Presidente en ejercicio había sido convocada como declarante a título informativo (</w:t>
      </w:r>
      <w:r>
        <w:rPr>
          <w:rFonts w:ascii="Verdana" w:hAnsi="Verdana" w:cs="Verdana"/>
          <w:i/>
          <w:sz w:val="20"/>
          <w:szCs w:val="20"/>
        </w:rPr>
        <w:t>infra</w:t>
      </w:r>
      <w:r>
        <w:rPr>
          <w:rFonts w:ascii="Verdana" w:hAnsi="Verdana" w:cs="Verdana"/>
          <w:sz w:val="20"/>
          <w:szCs w:val="20"/>
        </w:rPr>
        <w:t xml:space="preserve"> Considerando </w:t>
      </w:r>
      <w:r w:rsidRPr="00EE4442">
        <w:rPr>
          <w:rFonts w:ascii="Verdana" w:hAnsi="Verdana" w:cs="Verdana"/>
          <w:sz w:val="20"/>
          <w:szCs w:val="20"/>
        </w:rPr>
        <w:t>18)</w:t>
      </w:r>
      <w:r>
        <w:rPr>
          <w:rFonts w:ascii="Verdana" w:hAnsi="Verdana" w:cs="Verdana"/>
          <w:sz w:val="20"/>
          <w:szCs w:val="20"/>
        </w:rPr>
        <w:t xml:space="preserve">. </w:t>
      </w:r>
    </w:p>
    <w:p w:rsidR="009959E9" w:rsidRDefault="009959E9" w:rsidP="009959E9">
      <w:pPr>
        <w:pStyle w:val="Prrafodelista"/>
        <w:numPr>
          <w:ilvl w:val="0"/>
          <w:numId w:val="0"/>
        </w:numPr>
      </w:pPr>
    </w:p>
    <w:p w:rsidR="009959E9" w:rsidRDefault="009959E9" w:rsidP="009959E9">
      <w:pPr>
        <w:numPr>
          <w:ilvl w:val="0"/>
          <w:numId w:val="2"/>
        </w:numPr>
        <w:autoSpaceDE w:val="0"/>
        <w:autoSpaceDN w:val="0"/>
        <w:adjustRightInd w:val="0"/>
        <w:spacing w:after="0" w:line="240" w:lineRule="auto"/>
        <w:ind w:left="0" w:right="18" w:firstLine="0"/>
        <w:jc w:val="both"/>
        <w:rPr>
          <w:rFonts w:ascii="Verdana" w:hAnsi="Verdana" w:cs="Verdana"/>
          <w:sz w:val="20"/>
          <w:szCs w:val="20"/>
        </w:rPr>
      </w:pPr>
      <w:r>
        <w:rPr>
          <w:rFonts w:ascii="Verdana" w:hAnsi="Verdana" w:cs="Verdana"/>
          <w:sz w:val="20"/>
          <w:szCs w:val="20"/>
        </w:rPr>
        <w:t>El escrito de 1 de junio de 2015, mediante el que la Comisión Interamericana presentó observaciones sobre el recurso interpuesto por las representantes (</w:t>
      </w:r>
      <w:r>
        <w:rPr>
          <w:rFonts w:ascii="Verdana" w:hAnsi="Verdana" w:cs="Verdana"/>
          <w:i/>
          <w:sz w:val="20"/>
          <w:szCs w:val="20"/>
        </w:rPr>
        <w:t xml:space="preserve">infra </w:t>
      </w:r>
      <w:r w:rsidRPr="001339A0">
        <w:rPr>
          <w:rFonts w:ascii="Verdana" w:hAnsi="Verdana" w:cs="Verdana"/>
          <w:sz w:val="20"/>
          <w:szCs w:val="20"/>
        </w:rPr>
        <w:t>Considerando</w:t>
      </w:r>
      <w:r>
        <w:rPr>
          <w:rFonts w:ascii="Verdana" w:hAnsi="Verdana" w:cs="Verdana"/>
          <w:i/>
          <w:sz w:val="20"/>
          <w:szCs w:val="20"/>
        </w:rPr>
        <w:t xml:space="preserve"> </w:t>
      </w:r>
      <w:r w:rsidRPr="00EE4442">
        <w:rPr>
          <w:rFonts w:ascii="Verdana" w:hAnsi="Verdana" w:cs="Verdana"/>
          <w:sz w:val="20"/>
          <w:szCs w:val="20"/>
        </w:rPr>
        <w:t>9</w:t>
      </w:r>
      <w:r>
        <w:rPr>
          <w:rFonts w:ascii="Verdana" w:hAnsi="Verdana" w:cs="Verdana"/>
          <w:i/>
          <w:sz w:val="20"/>
          <w:szCs w:val="20"/>
        </w:rPr>
        <w:t>)</w:t>
      </w:r>
    </w:p>
    <w:p w:rsidR="009959E9" w:rsidRPr="001B13EF" w:rsidRDefault="009959E9" w:rsidP="009959E9">
      <w:pPr>
        <w:pStyle w:val="Prrafodelista"/>
        <w:numPr>
          <w:ilvl w:val="0"/>
          <w:numId w:val="0"/>
        </w:numPr>
        <w:ind w:left="1440"/>
        <w:rPr>
          <w:lang w:val="es-ES"/>
        </w:rPr>
      </w:pPr>
    </w:p>
    <w:p w:rsidR="009959E9" w:rsidRDefault="009959E9" w:rsidP="009959E9">
      <w:pPr>
        <w:spacing w:after="0"/>
        <w:rPr>
          <w:rFonts w:ascii="Verdana" w:hAnsi="Verdana" w:cs="Verdana"/>
          <w:b/>
          <w:bCs/>
          <w:sz w:val="20"/>
          <w:szCs w:val="20"/>
          <w:lang w:val="es-CR"/>
        </w:rPr>
      </w:pPr>
      <w:r w:rsidRPr="0003632E">
        <w:rPr>
          <w:rFonts w:ascii="Verdana" w:hAnsi="Verdana" w:cs="Verdana"/>
          <w:b/>
          <w:bCs/>
          <w:sz w:val="20"/>
          <w:szCs w:val="20"/>
          <w:lang w:val="es-CR"/>
        </w:rPr>
        <w:t>CONSIDERANDO QUE:</w:t>
      </w:r>
    </w:p>
    <w:p w:rsidR="009959E9" w:rsidRPr="001B13EF" w:rsidRDefault="009959E9" w:rsidP="009959E9">
      <w:pPr>
        <w:spacing w:after="0"/>
        <w:rPr>
          <w:rFonts w:ascii="Verdana" w:hAnsi="Verdana" w:cs="Verdana"/>
          <w:b/>
          <w:bCs/>
          <w:sz w:val="20"/>
          <w:szCs w:val="20"/>
          <w:lang w:val="es-CR"/>
        </w:rPr>
      </w:pPr>
    </w:p>
    <w:p w:rsidR="009959E9" w:rsidRPr="00ED724A" w:rsidRDefault="009959E9" w:rsidP="009959E9">
      <w:pPr>
        <w:numPr>
          <w:ilvl w:val="0"/>
          <w:numId w:val="3"/>
        </w:numPr>
        <w:spacing w:after="0" w:line="240" w:lineRule="auto"/>
        <w:ind w:right="18"/>
        <w:jc w:val="both"/>
        <w:rPr>
          <w:rFonts w:ascii="Verdana" w:hAnsi="Verdana" w:cs="Verdana"/>
          <w:sz w:val="20"/>
          <w:szCs w:val="20"/>
        </w:rPr>
      </w:pPr>
      <w:r w:rsidRPr="005C641D">
        <w:rPr>
          <w:rFonts w:ascii="Verdana" w:hAnsi="Verdana" w:cs="Verdana"/>
          <w:sz w:val="20"/>
          <w:szCs w:val="20"/>
        </w:rPr>
        <w:tab/>
      </w:r>
      <w:r w:rsidRPr="00245F5E">
        <w:rPr>
          <w:rFonts w:ascii="Verdana" w:hAnsi="Verdana" w:cs="Verdana"/>
          <w:sz w:val="20"/>
          <w:szCs w:val="20"/>
        </w:rPr>
        <w:t>Las decisiones del Presidente</w:t>
      </w:r>
      <w:r>
        <w:rPr>
          <w:rFonts w:ascii="Verdana" w:hAnsi="Verdana" w:cs="Verdana"/>
          <w:sz w:val="20"/>
          <w:szCs w:val="20"/>
        </w:rPr>
        <w:t xml:space="preserve"> en ejercicio, que no sean de mero trámite,</w:t>
      </w:r>
      <w:r w:rsidRPr="00245F5E">
        <w:rPr>
          <w:rFonts w:ascii="Verdana" w:hAnsi="Verdana" w:cs="Verdana"/>
          <w:sz w:val="20"/>
          <w:szCs w:val="20"/>
        </w:rPr>
        <w:t xml:space="preserve"> son recurribles ante la Corte</w:t>
      </w:r>
      <w:r>
        <w:rPr>
          <w:rFonts w:ascii="Verdana" w:hAnsi="Verdana" w:cs="Verdana"/>
          <w:sz w:val="20"/>
          <w:szCs w:val="20"/>
        </w:rPr>
        <w:t xml:space="preserve"> Interamericana de Derechos Humanos (en adelante “la Corte” o “el Tribunal”</w:t>
      </w:r>
      <w:r w:rsidRPr="00245F5E">
        <w:rPr>
          <w:rFonts w:ascii="Verdana" w:hAnsi="Verdana" w:cs="Verdana"/>
          <w:sz w:val="20"/>
          <w:szCs w:val="20"/>
        </w:rPr>
        <w:t>, en los términos del artículo 3</w:t>
      </w:r>
      <w:r>
        <w:rPr>
          <w:rFonts w:ascii="Verdana" w:hAnsi="Verdana" w:cs="Verdana"/>
          <w:sz w:val="20"/>
          <w:szCs w:val="20"/>
        </w:rPr>
        <w:t>1</w:t>
      </w:r>
      <w:r w:rsidRPr="00245F5E">
        <w:rPr>
          <w:rFonts w:ascii="Verdana" w:hAnsi="Verdana" w:cs="Verdana"/>
          <w:sz w:val="20"/>
          <w:szCs w:val="20"/>
        </w:rPr>
        <w:t>.2 del Reglamento</w:t>
      </w:r>
      <w:r>
        <w:rPr>
          <w:rFonts w:ascii="Verdana" w:hAnsi="Verdana" w:cs="Verdana"/>
          <w:sz w:val="20"/>
          <w:szCs w:val="20"/>
        </w:rPr>
        <w:t xml:space="preserve"> de este Tribunal</w:t>
      </w:r>
      <w:r w:rsidRPr="00B37257">
        <w:rPr>
          <w:rFonts w:ascii="Verdana" w:hAnsi="Verdana" w:cs="Verdana"/>
          <w:sz w:val="20"/>
          <w:szCs w:val="20"/>
          <w:lang w:val="es-CR"/>
        </w:rPr>
        <w:t xml:space="preserve"> (en adelante “el Reglamento”).</w:t>
      </w:r>
    </w:p>
    <w:p w:rsidR="00ED724A" w:rsidRPr="00281E7A" w:rsidRDefault="00ED724A" w:rsidP="00ED724A">
      <w:pPr>
        <w:spacing w:after="0" w:line="240" w:lineRule="auto"/>
        <w:ind w:right="18"/>
        <w:jc w:val="both"/>
        <w:rPr>
          <w:rFonts w:ascii="Verdana" w:hAnsi="Verdana" w:cs="Verdana"/>
          <w:sz w:val="20"/>
          <w:szCs w:val="20"/>
        </w:rPr>
      </w:pPr>
    </w:p>
    <w:p w:rsidR="009959E9" w:rsidRPr="00ED724A" w:rsidRDefault="009959E9" w:rsidP="009959E9">
      <w:pPr>
        <w:numPr>
          <w:ilvl w:val="0"/>
          <w:numId w:val="3"/>
        </w:numPr>
        <w:spacing w:after="0" w:line="240" w:lineRule="auto"/>
        <w:ind w:right="18"/>
        <w:jc w:val="both"/>
        <w:rPr>
          <w:rFonts w:ascii="Verdana" w:hAnsi="Verdana" w:cs="Verdana"/>
          <w:strike/>
          <w:sz w:val="20"/>
          <w:szCs w:val="20"/>
        </w:rPr>
      </w:pPr>
      <w:r>
        <w:rPr>
          <w:rFonts w:ascii="Verdana" w:hAnsi="Verdana" w:cs="Verdana"/>
          <w:sz w:val="20"/>
          <w:szCs w:val="20"/>
          <w:lang w:val="es-ES"/>
        </w:rPr>
        <w:t xml:space="preserve">La Corte tiene amplias facultades en cuanto a la admisión y a la modalidad de recepción de la prueba, de conformidad con los artículos 50, 57 y 58 del Reglamento.  </w:t>
      </w:r>
    </w:p>
    <w:p w:rsidR="00ED724A" w:rsidRDefault="00ED724A" w:rsidP="00ED724A">
      <w:pPr>
        <w:spacing w:after="0" w:line="240" w:lineRule="auto"/>
        <w:ind w:right="18"/>
        <w:jc w:val="both"/>
        <w:rPr>
          <w:rFonts w:ascii="Verdana" w:hAnsi="Verdana" w:cs="Verdana"/>
          <w:strike/>
          <w:sz w:val="20"/>
          <w:szCs w:val="20"/>
        </w:rPr>
      </w:pPr>
    </w:p>
    <w:p w:rsidR="00ED724A" w:rsidRDefault="00ED724A" w:rsidP="00ED724A">
      <w:pPr>
        <w:spacing w:after="0" w:line="240" w:lineRule="auto"/>
        <w:ind w:right="18"/>
        <w:jc w:val="both"/>
        <w:rPr>
          <w:rFonts w:ascii="Verdana" w:hAnsi="Verdana" w:cs="Verdana"/>
          <w:strike/>
          <w:sz w:val="20"/>
          <w:szCs w:val="20"/>
        </w:rPr>
      </w:pPr>
    </w:p>
    <w:p w:rsidR="009959E9" w:rsidRPr="001339A0" w:rsidRDefault="009959E9" w:rsidP="009959E9">
      <w:pPr>
        <w:pStyle w:val="Prrafodelista"/>
        <w:numPr>
          <w:ilvl w:val="0"/>
          <w:numId w:val="4"/>
        </w:numPr>
        <w:ind w:right="18"/>
        <w:rPr>
          <w:i/>
        </w:rPr>
      </w:pPr>
      <w:r w:rsidRPr="001339A0">
        <w:rPr>
          <w:b/>
          <w:i/>
        </w:rPr>
        <w:lastRenderedPageBreak/>
        <w:t>Sobre el recurso interpuesto por las representantes</w:t>
      </w:r>
      <w:r>
        <w:rPr>
          <w:i/>
        </w:rPr>
        <w:t xml:space="preserve"> </w:t>
      </w:r>
    </w:p>
    <w:p w:rsidR="009959E9" w:rsidRPr="001C716E" w:rsidRDefault="009959E9" w:rsidP="009959E9">
      <w:pPr>
        <w:pStyle w:val="Prrafodelista"/>
        <w:numPr>
          <w:ilvl w:val="0"/>
          <w:numId w:val="0"/>
        </w:numPr>
        <w:ind w:right="18"/>
      </w:pPr>
    </w:p>
    <w:p w:rsidR="009959E9" w:rsidRDefault="009959E9" w:rsidP="009959E9">
      <w:pPr>
        <w:numPr>
          <w:ilvl w:val="0"/>
          <w:numId w:val="3"/>
        </w:numPr>
        <w:spacing w:after="0" w:line="240" w:lineRule="auto"/>
        <w:ind w:right="18"/>
        <w:jc w:val="both"/>
        <w:rPr>
          <w:rFonts w:ascii="Verdana" w:hAnsi="Verdana" w:cs="Verdana"/>
          <w:bCs/>
          <w:sz w:val="20"/>
          <w:szCs w:val="20"/>
        </w:rPr>
      </w:pPr>
      <w:r>
        <w:rPr>
          <w:rFonts w:ascii="Verdana" w:hAnsi="Verdana" w:cs="Verdana"/>
          <w:bCs/>
          <w:sz w:val="20"/>
          <w:szCs w:val="20"/>
        </w:rPr>
        <w:t xml:space="preserve">En la Resolución del Presidente en ejercicio se dispuso, </w:t>
      </w:r>
      <w:r w:rsidRPr="001339A0">
        <w:rPr>
          <w:rFonts w:ascii="Verdana" w:hAnsi="Verdana" w:cs="Verdana"/>
          <w:bCs/>
          <w:i/>
          <w:sz w:val="20"/>
          <w:szCs w:val="20"/>
        </w:rPr>
        <w:t>inter alia</w:t>
      </w:r>
      <w:r>
        <w:rPr>
          <w:rFonts w:ascii="Verdana" w:hAnsi="Verdana" w:cs="Verdana"/>
          <w:bCs/>
          <w:sz w:val="20"/>
          <w:szCs w:val="20"/>
        </w:rPr>
        <w:t>, que los señores Michael Reed Hurtado y Carlos Rodríguez Mejía rindan declaraciones periciales, el primero por medio de affidávit y el segundo en audiencia pública. Ambos habían sido ofrecidos como peritos por las representantes</w:t>
      </w:r>
      <w:r w:rsidRPr="004C3C32">
        <w:rPr>
          <w:rStyle w:val="Refdenotaalpie"/>
          <w:bCs/>
          <w:sz w:val="20"/>
          <w:szCs w:val="20"/>
        </w:rPr>
        <w:footnoteReference w:id="2"/>
      </w:r>
      <w:r>
        <w:rPr>
          <w:rFonts w:ascii="Verdana" w:hAnsi="Verdana" w:cs="Verdana"/>
          <w:bCs/>
          <w:sz w:val="20"/>
          <w:szCs w:val="20"/>
        </w:rPr>
        <w:t>.</w:t>
      </w:r>
    </w:p>
    <w:p w:rsidR="009959E9" w:rsidRDefault="009959E9" w:rsidP="009959E9">
      <w:pPr>
        <w:pStyle w:val="Prrafodelista"/>
        <w:numPr>
          <w:ilvl w:val="0"/>
          <w:numId w:val="0"/>
        </w:numPr>
        <w:rPr>
          <w:bCs/>
        </w:rPr>
      </w:pPr>
    </w:p>
    <w:p w:rsidR="009959E9" w:rsidRDefault="009959E9" w:rsidP="009959E9">
      <w:pPr>
        <w:numPr>
          <w:ilvl w:val="0"/>
          <w:numId w:val="3"/>
        </w:numPr>
        <w:spacing w:after="0" w:line="240" w:lineRule="auto"/>
        <w:ind w:right="18"/>
        <w:jc w:val="both"/>
        <w:rPr>
          <w:rFonts w:ascii="Verdana" w:hAnsi="Verdana" w:cs="Verdana"/>
          <w:bCs/>
          <w:sz w:val="20"/>
          <w:szCs w:val="20"/>
        </w:rPr>
      </w:pPr>
      <w:r>
        <w:rPr>
          <w:rFonts w:ascii="Verdana" w:hAnsi="Verdana" w:cs="Verdana"/>
          <w:bCs/>
          <w:sz w:val="20"/>
          <w:szCs w:val="20"/>
        </w:rPr>
        <w:t xml:space="preserve">Las </w:t>
      </w:r>
      <w:r w:rsidRPr="008B7C02">
        <w:rPr>
          <w:rFonts w:ascii="Verdana" w:hAnsi="Verdana" w:cs="Verdana"/>
          <w:b/>
          <w:bCs/>
          <w:i/>
          <w:sz w:val="20"/>
          <w:szCs w:val="20"/>
        </w:rPr>
        <w:t>representantes</w:t>
      </w:r>
      <w:r w:rsidRPr="001C716E">
        <w:rPr>
          <w:rFonts w:ascii="Verdana" w:hAnsi="Verdana" w:cs="Verdana"/>
          <w:bCs/>
          <w:sz w:val="20"/>
          <w:szCs w:val="20"/>
        </w:rPr>
        <w:t xml:space="preserve"> </w:t>
      </w:r>
      <w:r>
        <w:rPr>
          <w:rFonts w:ascii="Verdana" w:hAnsi="Verdana" w:cs="Verdana"/>
          <w:bCs/>
          <w:sz w:val="20"/>
          <w:szCs w:val="20"/>
        </w:rPr>
        <w:t xml:space="preserve">solicitaron que “la Corte […] reconsidere la modalidad en que [los] perito[s]” Michael Reed Hurtado y Carlos Rodríguez Mejía rindan su peritaje, y que se disponga “escucha[r] en audiencia pública al [primero] y recibi[r] por [a]ffid[á]vit el peritaje del [segundo]”. </w:t>
      </w:r>
    </w:p>
    <w:p w:rsidR="009959E9" w:rsidRDefault="009959E9" w:rsidP="009959E9">
      <w:pPr>
        <w:pStyle w:val="Prrafodelista"/>
        <w:numPr>
          <w:ilvl w:val="0"/>
          <w:numId w:val="0"/>
        </w:numPr>
        <w:rPr>
          <w:bCs/>
        </w:rPr>
      </w:pPr>
    </w:p>
    <w:p w:rsidR="009959E9" w:rsidRPr="008B7C02" w:rsidRDefault="009959E9" w:rsidP="009959E9">
      <w:pPr>
        <w:numPr>
          <w:ilvl w:val="0"/>
          <w:numId w:val="3"/>
        </w:numPr>
        <w:spacing w:after="0" w:line="240" w:lineRule="auto"/>
        <w:ind w:right="18"/>
        <w:jc w:val="both"/>
        <w:rPr>
          <w:rFonts w:ascii="Verdana" w:hAnsi="Verdana" w:cs="Verdana"/>
          <w:bCs/>
          <w:sz w:val="20"/>
          <w:szCs w:val="20"/>
        </w:rPr>
      </w:pPr>
      <w:r w:rsidRPr="008B7C02">
        <w:rPr>
          <w:rFonts w:ascii="Verdana" w:hAnsi="Verdana"/>
          <w:bCs/>
          <w:sz w:val="20"/>
          <w:szCs w:val="20"/>
        </w:rPr>
        <w:t xml:space="preserve">Las representantes fundaron su recurso manifestando que </w:t>
      </w:r>
      <w:r w:rsidRPr="008B7C02">
        <w:rPr>
          <w:rFonts w:ascii="Verdana" w:hAnsi="Verdana"/>
          <w:sz w:val="20"/>
          <w:szCs w:val="20"/>
          <w:lang w:val="es-CR"/>
        </w:rPr>
        <w:t>habían “</w:t>
      </w:r>
      <w:proofErr w:type="gramStart"/>
      <w:r w:rsidRPr="008B7C02">
        <w:rPr>
          <w:rFonts w:ascii="Verdana" w:hAnsi="Verdana"/>
          <w:sz w:val="20"/>
          <w:szCs w:val="20"/>
          <w:lang w:val="es-CR"/>
        </w:rPr>
        <w:t>ofreci[</w:t>
      </w:r>
      <w:proofErr w:type="gramEnd"/>
      <w:r w:rsidRPr="008B7C02">
        <w:rPr>
          <w:rFonts w:ascii="Verdana" w:hAnsi="Verdana"/>
          <w:sz w:val="20"/>
          <w:szCs w:val="20"/>
          <w:lang w:val="es-CR"/>
        </w:rPr>
        <w:t>do el peritaje del señor Carlos Rodríguez Mejía] como segunda opción [para ser llamado a] audiencia”</w:t>
      </w:r>
      <w:r>
        <w:rPr>
          <w:rFonts w:ascii="Verdana" w:hAnsi="Verdana"/>
          <w:sz w:val="20"/>
          <w:szCs w:val="20"/>
          <w:lang w:val="es-CR"/>
        </w:rPr>
        <w:t xml:space="preserve"> en la lista que presentaron respecto a los declarantes</w:t>
      </w:r>
      <w:r w:rsidRPr="008B7C02">
        <w:rPr>
          <w:rFonts w:ascii="Verdana" w:hAnsi="Verdana"/>
          <w:sz w:val="20"/>
          <w:szCs w:val="20"/>
          <w:lang w:val="es-CR"/>
        </w:rPr>
        <w:t xml:space="preserve">, y habían propuesto como primera opción para declarar en audiencia pública al señor Michael Reed Hurtado. Manifestaron que lo hicieron de ese modo “con la convicción de que el orden ofrecido por las partes era la guía que la […] Corte seguía”. Agregaron que declarar por escrito es de “propia conveniencia” del perito </w:t>
      </w:r>
      <w:r>
        <w:rPr>
          <w:rFonts w:ascii="Verdana" w:hAnsi="Verdana"/>
          <w:sz w:val="20"/>
          <w:szCs w:val="20"/>
          <w:lang w:val="es-CR"/>
        </w:rPr>
        <w:t xml:space="preserve">Carlos </w:t>
      </w:r>
      <w:r w:rsidRPr="008B7C02">
        <w:rPr>
          <w:rFonts w:ascii="Verdana" w:hAnsi="Verdana"/>
          <w:sz w:val="20"/>
          <w:szCs w:val="20"/>
          <w:lang w:val="es-CR"/>
        </w:rPr>
        <w:t xml:space="preserve">Rodríguez Mejía.  </w:t>
      </w:r>
    </w:p>
    <w:p w:rsidR="009959E9" w:rsidRDefault="009959E9" w:rsidP="009959E9">
      <w:pPr>
        <w:spacing w:after="0" w:line="240" w:lineRule="auto"/>
        <w:ind w:right="18"/>
        <w:jc w:val="both"/>
        <w:rPr>
          <w:rFonts w:ascii="Verdana" w:hAnsi="Verdana" w:cs="Verdana"/>
          <w:bCs/>
          <w:sz w:val="20"/>
          <w:szCs w:val="20"/>
        </w:rPr>
      </w:pPr>
    </w:p>
    <w:p w:rsidR="009959E9" w:rsidRDefault="009959E9" w:rsidP="009959E9">
      <w:pPr>
        <w:numPr>
          <w:ilvl w:val="0"/>
          <w:numId w:val="3"/>
        </w:numPr>
        <w:spacing w:after="0" w:line="240" w:lineRule="auto"/>
        <w:ind w:right="18"/>
        <w:jc w:val="both"/>
        <w:rPr>
          <w:rFonts w:ascii="Verdana" w:hAnsi="Verdana" w:cs="Verdana"/>
          <w:bCs/>
          <w:sz w:val="20"/>
          <w:szCs w:val="20"/>
        </w:rPr>
      </w:pPr>
      <w:r w:rsidRPr="008B7C02">
        <w:rPr>
          <w:rFonts w:ascii="Verdana" w:hAnsi="Verdana" w:cs="Verdana"/>
          <w:bCs/>
          <w:sz w:val="20"/>
          <w:szCs w:val="20"/>
        </w:rPr>
        <w:t>Las representantes indicaron también que e</w:t>
      </w:r>
      <w:r w:rsidRPr="008B7C02">
        <w:rPr>
          <w:rFonts w:ascii="Verdana" w:hAnsi="Verdana"/>
          <w:sz w:val="20"/>
          <w:szCs w:val="20"/>
          <w:lang w:val="es-CR"/>
        </w:rPr>
        <w:t xml:space="preserve">l peritaje de Michael Reed Hurtado, como quedó establecido en la Resolución del Presidente en ejercicio, tiene relación con el orden público interamericano y que “[l]a inmediación […] </w:t>
      </w:r>
      <w:r w:rsidRPr="008B7C02">
        <w:rPr>
          <w:rFonts w:ascii="Verdana" w:hAnsi="Verdana" w:cs="Verdana"/>
          <w:sz w:val="20"/>
          <w:szCs w:val="20"/>
          <w:lang w:val="es-CR"/>
        </w:rPr>
        <w:t>permitirá a la […] Corte, a la Comisión y al Estado, formular preguntas que pudieren sobrevenir de</w:t>
      </w:r>
      <w:r w:rsidR="004C3C32">
        <w:rPr>
          <w:rFonts w:ascii="Verdana" w:hAnsi="Verdana" w:cs="Verdana"/>
          <w:sz w:val="20"/>
          <w:szCs w:val="20"/>
          <w:lang w:val="es-CR"/>
        </w:rPr>
        <w:t xml:space="preserve"> su declaración”. Agregaron </w:t>
      </w:r>
      <w:proofErr w:type="gramStart"/>
      <w:r w:rsidR="004C3C32">
        <w:rPr>
          <w:rFonts w:ascii="Verdana" w:hAnsi="Verdana" w:cs="Verdana"/>
          <w:sz w:val="20"/>
          <w:szCs w:val="20"/>
          <w:lang w:val="es-CR"/>
        </w:rPr>
        <w:t xml:space="preserve">que </w:t>
      </w:r>
      <w:r w:rsidRPr="008B7C02">
        <w:rPr>
          <w:rFonts w:ascii="Verdana" w:hAnsi="Verdana" w:cs="Verdana"/>
          <w:sz w:val="20"/>
          <w:szCs w:val="20"/>
          <w:lang w:val="es-CR"/>
        </w:rPr>
        <w:t>”</w:t>
      </w:r>
      <w:proofErr w:type="gramEnd"/>
      <w:r w:rsidRPr="008B7C02">
        <w:rPr>
          <w:rFonts w:ascii="Verdana" w:hAnsi="Verdana" w:cs="Verdana"/>
          <w:sz w:val="20"/>
          <w:szCs w:val="20"/>
          <w:lang w:val="es-CR"/>
        </w:rPr>
        <w:t xml:space="preserve">el objeto del peritaje y el amplio conocimiento que tiene el [señor Michael] Reed [Hurtado] sobre el mismo, permitirá comprender de mejor forma el contexto en el que ocurrieron los hechos del [c]aso”. </w:t>
      </w:r>
      <w:r w:rsidRPr="008B7C02">
        <w:rPr>
          <w:rFonts w:ascii="Verdana" w:hAnsi="Verdana" w:cs="Verdana"/>
          <w:bCs/>
          <w:sz w:val="20"/>
          <w:szCs w:val="20"/>
        </w:rPr>
        <w:t xml:space="preserve">Indicaron también que </w:t>
      </w:r>
      <w:r w:rsidRPr="008B7C02">
        <w:rPr>
          <w:rFonts w:ascii="Verdana" w:hAnsi="Verdana"/>
          <w:sz w:val="20"/>
          <w:szCs w:val="20"/>
          <w:lang w:val="es-CR"/>
        </w:rPr>
        <w:t>“hay dos peritos que rendirán experticia sobre el mismo tema, uno propuesto por el Estado y otro por los Representantes”, sin aclarar explícitamente a qué peritos se referían (</w:t>
      </w:r>
      <w:r w:rsidRPr="008B7C02">
        <w:rPr>
          <w:rFonts w:ascii="Verdana" w:hAnsi="Verdana"/>
          <w:i/>
          <w:sz w:val="20"/>
          <w:szCs w:val="20"/>
          <w:lang w:val="es-CR"/>
        </w:rPr>
        <w:t>infra</w:t>
      </w:r>
      <w:r w:rsidRPr="008B7C02">
        <w:rPr>
          <w:rFonts w:ascii="Verdana" w:hAnsi="Verdana"/>
          <w:sz w:val="20"/>
          <w:szCs w:val="20"/>
          <w:lang w:val="es-CR"/>
        </w:rPr>
        <w:t xml:space="preserve"> Considerando 15). </w:t>
      </w:r>
    </w:p>
    <w:p w:rsidR="009959E9" w:rsidRDefault="009959E9" w:rsidP="009959E9">
      <w:pPr>
        <w:pStyle w:val="Prrafodelista"/>
        <w:numPr>
          <w:ilvl w:val="0"/>
          <w:numId w:val="0"/>
        </w:numPr>
        <w:rPr>
          <w:sz w:val="18"/>
          <w:szCs w:val="18"/>
          <w:lang w:val="es-CR"/>
        </w:rPr>
      </w:pPr>
    </w:p>
    <w:p w:rsidR="009959E9" w:rsidRPr="008B7C02" w:rsidRDefault="009959E9" w:rsidP="009959E9">
      <w:pPr>
        <w:numPr>
          <w:ilvl w:val="0"/>
          <w:numId w:val="3"/>
        </w:numPr>
        <w:spacing w:after="0" w:line="240" w:lineRule="auto"/>
        <w:ind w:right="18"/>
        <w:jc w:val="both"/>
        <w:rPr>
          <w:rFonts w:ascii="Verdana" w:hAnsi="Verdana" w:cs="Verdana"/>
          <w:bCs/>
          <w:sz w:val="20"/>
          <w:szCs w:val="20"/>
        </w:rPr>
      </w:pPr>
      <w:r w:rsidRPr="008B7C02">
        <w:rPr>
          <w:rFonts w:ascii="Verdana" w:hAnsi="Verdana"/>
          <w:sz w:val="20"/>
          <w:szCs w:val="20"/>
          <w:lang w:val="es-CR"/>
        </w:rPr>
        <w:t xml:space="preserve">El </w:t>
      </w:r>
      <w:r w:rsidRPr="008B7C02">
        <w:rPr>
          <w:rFonts w:ascii="Verdana" w:hAnsi="Verdana"/>
          <w:b/>
          <w:i/>
          <w:sz w:val="20"/>
          <w:szCs w:val="20"/>
          <w:lang w:val="es-CR"/>
        </w:rPr>
        <w:t>Estado</w:t>
      </w:r>
      <w:r w:rsidRPr="008B7C02">
        <w:rPr>
          <w:rFonts w:ascii="Verdana" w:hAnsi="Verdana"/>
          <w:sz w:val="20"/>
          <w:szCs w:val="20"/>
          <w:lang w:val="es-CR"/>
        </w:rPr>
        <w:t xml:space="preserve"> </w:t>
      </w:r>
      <w:r>
        <w:rPr>
          <w:rFonts w:ascii="Verdana" w:hAnsi="Verdana"/>
          <w:sz w:val="20"/>
          <w:szCs w:val="20"/>
          <w:lang w:val="es-CR"/>
        </w:rPr>
        <w:t xml:space="preserve">pidió </w:t>
      </w:r>
      <w:r w:rsidRPr="008B7C02">
        <w:rPr>
          <w:rFonts w:ascii="Verdana" w:hAnsi="Verdana"/>
          <w:sz w:val="20"/>
          <w:szCs w:val="20"/>
          <w:lang w:val="es-CR"/>
        </w:rPr>
        <w:t>que se “[d]esestime el recurso de reconsideración”</w:t>
      </w:r>
      <w:r>
        <w:rPr>
          <w:rFonts w:ascii="Verdana" w:hAnsi="Verdana"/>
          <w:sz w:val="20"/>
          <w:szCs w:val="20"/>
          <w:lang w:val="es-CR"/>
        </w:rPr>
        <w:t>.</w:t>
      </w:r>
      <w:r w:rsidRPr="008B7C02">
        <w:rPr>
          <w:rFonts w:ascii="Verdana" w:hAnsi="Verdana"/>
          <w:sz w:val="20"/>
          <w:szCs w:val="20"/>
          <w:lang w:val="es-CR"/>
        </w:rPr>
        <w:t xml:space="preserve"> Señaló </w:t>
      </w:r>
      <w:r>
        <w:rPr>
          <w:rFonts w:ascii="Verdana" w:hAnsi="Verdana"/>
          <w:sz w:val="20"/>
          <w:szCs w:val="20"/>
          <w:lang w:val="es-CR"/>
        </w:rPr>
        <w:t>que</w:t>
      </w:r>
      <w:r w:rsidRPr="008B7C02">
        <w:rPr>
          <w:rFonts w:ascii="Verdana" w:hAnsi="Verdana"/>
          <w:sz w:val="20"/>
          <w:szCs w:val="20"/>
          <w:lang w:val="es-CR"/>
        </w:rPr>
        <w:t xml:space="preserve"> las razones de “conveniencia” no son suficientes</w:t>
      </w:r>
      <w:r>
        <w:rPr>
          <w:rFonts w:ascii="Verdana" w:hAnsi="Verdana"/>
          <w:sz w:val="20"/>
          <w:szCs w:val="20"/>
          <w:lang w:val="es-CR"/>
        </w:rPr>
        <w:t xml:space="preserve"> para revertir lo decidido en la Resolución del Presidente en ejercicio</w:t>
      </w:r>
      <w:r w:rsidRPr="008B7C02">
        <w:rPr>
          <w:rFonts w:ascii="Verdana" w:hAnsi="Verdana"/>
          <w:sz w:val="20"/>
          <w:szCs w:val="20"/>
          <w:lang w:val="es-CR"/>
        </w:rPr>
        <w:t xml:space="preserve">, y </w:t>
      </w:r>
      <w:r>
        <w:rPr>
          <w:rFonts w:ascii="Verdana" w:hAnsi="Verdana"/>
          <w:sz w:val="20"/>
          <w:szCs w:val="20"/>
          <w:lang w:val="es-CR"/>
        </w:rPr>
        <w:t xml:space="preserve">que </w:t>
      </w:r>
      <w:r w:rsidRPr="008B7C02">
        <w:rPr>
          <w:rFonts w:ascii="Verdana" w:hAnsi="Verdana"/>
          <w:sz w:val="20"/>
          <w:szCs w:val="20"/>
          <w:lang w:val="es-CR"/>
        </w:rPr>
        <w:t xml:space="preserve">el señor </w:t>
      </w:r>
      <w:r>
        <w:rPr>
          <w:rFonts w:ascii="Verdana" w:hAnsi="Verdana"/>
          <w:sz w:val="20"/>
          <w:szCs w:val="20"/>
          <w:lang w:val="es-CR"/>
        </w:rPr>
        <w:t xml:space="preserve">Carlos </w:t>
      </w:r>
      <w:r w:rsidRPr="008B7C02">
        <w:rPr>
          <w:rFonts w:ascii="Verdana" w:hAnsi="Verdana"/>
          <w:sz w:val="20"/>
          <w:szCs w:val="20"/>
          <w:lang w:val="es-CR"/>
        </w:rPr>
        <w:t>Rodríguez Mejía fue presentado por l</w:t>
      </w:r>
      <w:r>
        <w:rPr>
          <w:rFonts w:ascii="Verdana" w:hAnsi="Verdana"/>
          <w:sz w:val="20"/>
          <w:szCs w:val="20"/>
          <w:lang w:val="es-CR"/>
        </w:rPr>
        <w:t>a</w:t>
      </w:r>
      <w:r w:rsidRPr="008B7C02">
        <w:rPr>
          <w:rFonts w:ascii="Verdana" w:hAnsi="Verdana"/>
          <w:sz w:val="20"/>
          <w:szCs w:val="20"/>
          <w:lang w:val="es-CR"/>
        </w:rPr>
        <w:t>s representantes dentro de la lista de personas que ellos indicaban que podrían declarar en audiencia públic</w:t>
      </w:r>
      <w:r>
        <w:rPr>
          <w:rFonts w:ascii="Verdana" w:hAnsi="Verdana"/>
          <w:sz w:val="20"/>
          <w:szCs w:val="20"/>
          <w:lang w:val="es-CR"/>
        </w:rPr>
        <w:t>a. Además, indicó</w:t>
      </w:r>
      <w:r w:rsidRPr="008B7C02">
        <w:rPr>
          <w:rFonts w:ascii="Verdana" w:hAnsi="Verdana"/>
          <w:sz w:val="20"/>
          <w:szCs w:val="20"/>
          <w:lang w:val="es-CR"/>
        </w:rPr>
        <w:t xml:space="preserve"> que el hecho de que una prueba se vincule al orden público interamericano no vincula a la Co</w:t>
      </w:r>
      <w:r>
        <w:rPr>
          <w:rFonts w:ascii="Verdana" w:hAnsi="Verdana"/>
          <w:sz w:val="20"/>
          <w:szCs w:val="20"/>
          <w:lang w:val="es-CR"/>
        </w:rPr>
        <w:t>rte para recibirla en audiencia, y que</w:t>
      </w:r>
      <w:r w:rsidRPr="008B7C02">
        <w:rPr>
          <w:rFonts w:ascii="Verdana" w:hAnsi="Verdana"/>
          <w:sz w:val="20"/>
          <w:szCs w:val="20"/>
          <w:lang w:val="es-CR"/>
        </w:rPr>
        <w:t xml:space="preserve"> no es necesario que un peritaje sea recibido en audiencia para que puedan formularse preguntas</w:t>
      </w:r>
      <w:r>
        <w:rPr>
          <w:rFonts w:ascii="Verdana" w:hAnsi="Verdana"/>
          <w:sz w:val="20"/>
          <w:szCs w:val="20"/>
          <w:lang w:val="es-CR"/>
        </w:rPr>
        <w:t>. Por otra parte, en cuanto al señalamiento de las representantes de distintos peritajes sobre el mismo tema, indicó que</w:t>
      </w:r>
      <w:r w:rsidRPr="008B7C02">
        <w:rPr>
          <w:rFonts w:ascii="Verdana" w:hAnsi="Verdana" w:cs="Cambria"/>
          <w:color w:val="000000"/>
          <w:sz w:val="20"/>
          <w:szCs w:val="20"/>
          <w:lang w:val="es-CR"/>
        </w:rPr>
        <w:t xml:space="preserve"> “</w:t>
      </w:r>
      <w:r w:rsidRPr="008B7C02">
        <w:rPr>
          <w:rFonts w:ascii="Verdana" w:hAnsi="Verdana"/>
          <w:sz w:val="20"/>
          <w:szCs w:val="20"/>
          <w:lang w:val="es-CR"/>
        </w:rPr>
        <w:t xml:space="preserve">justamente porque existen pruebas ofrecidas de ambas partes […] relacionad[a]s con el </w:t>
      </w:r>
      <w:r w:rsidRPr="008B7C02">
        <w:rPr>
          <w:rFonts w:ascii="Verdana" w:hAnsi="Verdana"/>
          <w:sz w:val="20"/>
          <w:szCs w:val="20"/>
          <w:lang w:val="es-CR"/>
        </w:rPr>
        <w:lastRenderedPageBreak/>
        <w:t>alcance y contenido de la reparación en Colombia, es que el tema resulta relevante […]. Por ello, […] el hecho de que existan otras pruebas relativas al mismo tema [no] constituy[e] un argumento para cambiar la modalidad de recepción del peritaje”.</w:t>
      </w:r>
    </w:p>
    <w:p w:rsidR="009959E9" w:rsidRPr="008B7C02" w:rsidRDefault="009959E9" w:rsidP="009959E9">
      <w:pPr>
        <w:pStyle w:val="Prrafodelista"/>
        <w:numPr>
          <w:ilvl w:val="0"/>
          <w:numId w:val="0"/>
        </w:numPr>
        <w:rPr>
          <w:lang w:val="es-CR"/>
        </w:rPr>
      </w:pPr>
    </w:p>
    <w:p w:rsidR="009959E9" w:rsidRPr="008B7C02" w:rsidRDefault="009959E9" w:rsidP="009959E9">
      <w:pPr>
        <w:numPr>
          <w:ilvl w:val="0"/>
          <w:numId w:val="3"/>
        </w:numPr>
        <w:spacing w:after="0" w:line="240" w:lineRule="auto"/>
        <w:ind w:right="18"/>
        <w:jc w:val="both"/>
        <w:rPr>
          <w:rFonts w:ascii="Verdana" w:hAnsi="Verdana" w:cs="Verdana"/>
          <w:bCs/>
          <w:sz w:val="20"/>
          <w:szCs w:val="20"/>
        </w:rPr>
      </w:pPr>
      <w:r w:rsidRPr="008B7C02">
        <w:rPr>
          <w:rFonts w:ascii="Verdana" w:hAnsi="Verdana"/>
          <w:sz w:val="20"/>
          <w:szCs w:val="20"/>
          <w:lang w:val="es-CR"/>
        </w:rPr>
        <w:t>El Estado, en forma subsidiaria, pidió que en caso de que se haga lugar a lo solicitado por l</w:t>
      </w:r>
      <w:r>
        <w:rPr>
          <w:rFonts w:ascii="Verdana" w:hAnsi="Verdana"/>
          <w:sz w:val="20"/>
          <w:szCs w:val="20"/>
          <w:lang w:val="es-CR"/>
        </w:rPr>
        <w:t>a</w:t>
      </w:r>
      <w:r w:rsidRPr="008B7C02">
        <w:rPr>
          <w:rFonts w:ascii="Verdana" w:hAnsi="Verdana"/>
          <w:sz w:val="20"/>
          <w:szCs w:val="20"/>
          <w:lang w:val="es-CR"/>
        </w:rPr>
        <w:t>s representantes de que el señor Michael Reed</w:t>
      </w:r>
      <w:r>
        <w:rPr>
          <w:rFonts w:ascii="Verdana" w:hAnsi="Verdana"/>
          <w:sz w:val="20"/>
          <w:szCs w:val="20"/>
          <w:lang w:val="es-CR"/>
        </w:rPr>
        <w:t xml:space="preserve"> [Hurtado]</w:t>
      </w:r>
      <w:r w:rsidRPr="008B7C02">
        <w:rPr>
          <w:rFonts w:ascii="Verdana" w:hAnsi="Verdana"/>
          <w:sz w:val="20"/>
          <w:szCs w:val="20"/>
          <w:lang w:val="es-CR"/>
        </w:rPr>
        <w:t xml:space="preserve"> declare en audiencia pública, “se mantenga la declaración en audiencia del señor</w:t>
      </w:r>
      <w:r>
        <w:rPr>
          <w:rFonts w:ascii="Verdana" w:hAnsi="Verdana"/>
          <w:sz w:val="20"/>
          <w:szCs w:val="20"/>
          <w:lang w:val="es-CR"/>
        </w:rPr>
        <w:t xml:space="preserve"> [Carlos]</w:t>
      </w:r>
      <w:r w:rsidRPr="008B7C02">
        <w:rPr>
          <w:rFonts w:ascii="Verdana" w:hAnsi="Verdana"/>
          <w:sz w:val="20"/>
          <w:szCs w:val="20"/>
          <w:lang w:val="es-CR"/>
        </w:rPr>
        <w:t xml:space="preserve"> Rodríguez</w:t>
      </w:r>
      <w:r>
        <w:rPr>
          <w:rFonts w:ascii="Verdana" w:hAnsi="Verdana"/>
          <w:sz w:val="20"/>
          <w:szCs w:val="20"/>
          <w:lang w:val="es-CR"/>
        </w:rPr>
        <w:t xml:space="preserve"> [Mejía]</w:t>
      </w:r>
      <w:r w:rsidRPr="008B7C02">
        <w:rPr>
          <w:rFonts w:ascii="Verdana" w:hAnsi="Verdana"/>
          <w:sz w:val="20"/>
          <w:szCs w:val="20"/>
          <w:lang w:val="es-CR"/>
        </w:rPr>
        <w:t xml:space="preserve"> y se sustituya la recepción en audiencia del peritaje</w:t>
      </w:r>
      <w:r>
        <w:rPr>
          <w:rFonts w:ascii="Verdana" w:hAnsi="Verdana"/>
          <w:sz w:val="20"/>
          <w:szCs w:val="20"/>
          <w:lang w:val="es-CR"/>
        </w:rPr>
        <w:t xml:space="preserve"> de la señora </w:t>
      </w:r>
      <w:r w:rsidRPr="008B7C02">
        <w:rPr>
          <w:rFonts w:ascii="Verdana" w:hAnsi="Verdana"/>
          <w:sz w:val="20"/>
          <w:szCs w:val="20"/>
          <w:lang w:val="es-CR"/>
        </w:rPr>
        <w:t>Magdalena Correa</w:t>
      </w:r>
      <w:r w:rsidRPr="004C3C32">
        <w:rPr>
          <w:rStyle w:val="Refdenotaalpie"/>
          <w:sz w:val="20"/>
          <w:szCs w:val="20"/>
          <w:lang w:val="es-CR"/>
        </w:rPr>
        <w:footnoteReference w:id="3"/>
      </w:r>
      <w:r w:rsidRPr="004C3C32">
        <w:rPr>
          <w:rFonts w:ascii="Verdana" w:hAnsi="Verdana"/>
          <w:sz w:val="20"/>
          <w:szCs w:val="20"/>
          <w:lang w:val="es-CR"/>
        </w:rPr>
        <w:t xml:space="preserve"> por la del perito señor Camilo Sánchez</w:t>
      </w:r>
      <w:r w:rsidRPr="004C3C32">
        <w:rPr>
          <w:rStyle w:val="Refdenotaalpie"/>
          <w:sz w:val="20"/>
          <w:szCs w:val="20"/>
          <w:lang w:val="es-CR"/>
        </w:rPr>
        <w:footnoteReference w:id="4"/>
      </w:r>
      <w:r w:rsidRPr="004C3C32">
        <w:rPr>
          <w:rFonts w:ascii="Verdana" w:hAnsi="Verdana"/>
          <w:sz w:val="20"/>
          <w:szCs w:val="20"/>
          <w:lang w:val="es-CR"/>
        </w:rPr>
        <w:t>.</w:t>
      </w:r>
      <w:r w:rsidRPr="008B7C02">
        <w:rPr>
          <w:rFonts w:ascii="Verdana" w:hAnsi="Verdana"/>
          <w:sz w:val="20"/>
          <w:szCs w:val="20"/>
          <w:lang w:val="es-CR"/>
        </w:rPr>
        <w:t xml:space="preserve"> Esto con fundamento en la relevancia del tema respecto del objeto del litigio</w:t>
      </w:r>
      <w:r>
        <w:rPr>
          <w:rFonts w:ascii="Verdana" w:hAnsi="Verdana"/>
          <w:sz w:val="20"/>
          <w:szCs w:val="20"/>
          <w:lang w:val="es-CR"/>
        </w:rPr>
        <w:t>”</w:t>
      </w:r>
      <w:r w:rsidRPr="008B7C02">
        <w:rPr>
          <w:rFonts w:ascii="Verdana" w:hAnsi="Verdana"/>
          <w:sz w:val="20"/>
          <w:szCs w:val="20"/>
          <w:lang w:val="es-CR"/>
        </w:rPr>
        <w:t>.</w:t>
      </w:r>
      <w:r>
        <w:rPr>
          <w:rFonts w:ascii="Verdana" w:hAnsi="Verdana"/>
          <w:sz w:val="20"/>
          <w:szCs w:val="20"/>
          <w:lang w:val="es-CR"/>
        </w:rPr>
        <w:t xml:space="preserve"> Colombia expresó que “[e]</w:t>
      </w:r>
      <w:r w:rsidRPr="008B7C02">
        <w:rPr>
          <w:rFonts w:ascii="Verdana" w:hAnsi="Verdana"/>
          <w:sz w:val="20"/>
          <w:szCs w:val="20"/>
          <w:lang w:val="es-CR"/>
        </w:rPr>
        <w:t xml:space="preserve">n tal caso, el peritaje de la perita Correa podría ser recibido por affidávit. </w:t>
      </w:r>
      <w:r w:rsidRPr="008B7C02">
        <w:rPr>
          <w:rFonts w:ascii="Verdana" w:hAnsi="Verdana"/>
          <w:sz w:val="20"/>
          <w:szCs w:val="20"/>
        </w:rPr>
        <w:t>Esta solicitud se sustenta en la importancia que tendría para la Corte […] recibir los dos peritajes que se refieren al tema de reparaciones en audiencia pública</w:t>
      </w:r>
      <w:r w:rsidRPr="008B7C02">
        <w:rPr>
          <w:rFonts w:ascii="Verdana" w:hAnsi="Verdana"/>
          <w:sz w:val="20"/>
          <w:szCs w:val="20"/>
          <w:lang w:val="es-CR"/>
        </w:rPr>
        <w:t>”.</w:t>
      </w:r>
    </w:p>
    <w:p w:rsidR="009959E9" w:rsidRPr="008B7C02" w:rsidRDefault="009959E9" w:rsidP="009959E9">
      <w:pPr>
        <w:pStyle w:val="Prrafodelista"/>
        <w:numPr>
          <w:ilvl w:val="0"/>
          <w:numId w:val="0"/>
        </w:numPr>
        <w:rPr>
          <w:lang w:val="es-CR"/>
        </w:rPr>
      </w:pPr>
    </w:p>
    <w:p w:rsidR="009959E9" w:rsidRPr="008B7C02" w:rsidRDefault="009959E9" w:rsidP="009959E9">
      <w:pPr>
        <w:numPr>
          <w:ilvl w:val="0"/>
          <w:numId w:val="3"/>
        </w:numPr>
        <w:spacing w:after="0" w:line="240" w:lineRule="auto"/>
        <w:ind w:right="18"/>
        <w:jc w:val="both"/>
        <w:rPr>
          <w:rFonts w:ascii="Verdana" w:hAnsi="Verdana" w:cs="Verdana"/>
          <w:bCs/>
          <w:sz w:val="20"/>
          <w:szCs w:val="20"/>
        </w:rPr>
      </w:pPr>
      <w:r>
        <w:rPr>
          <w:rFonts w:ascii="Verdana" w:hAnsi="Verdana"/>
          <w:sz w:val="20"/>
          <w:szCs w:val="20"/>
          <w:lang w:val="es-CR"/>
        </w:rPr>
        <w:t>L</w:t>
      </w:r>
      <w:r w:rsidRPr="008B7C02">
        <w:rPr>
          <w:rFonts w:ascii="Verdana" w:hAnsi="Verdana"/>
          <w:sz w:val="20"/>
          <w:szCs w:val="20"/>
          <w:lang w:val="es-CR"/>
        </w:rPr>
        <w:t xml:space="preserve">a </w:t>
      </w:r>
      <w:r w:rsidRPr="008B7C02">
        <w:rPr>
          <w:rFonts w:ascii="Verdana" w:hAnsi="Verdana"/>
          <w:b/>
          <w:i/>
          <w:sz w:val="20"/>
          <w:szCs w:val="20"/>
          <w:lang w:val="es-CR"/>
        </w:rPr>
        <w:t xml:space="preserve">Comisión </w:t>
      </w:r>
      <w:r w:rsidRPr="008B7C02">
        <w:rPr>
          <w:rFonts w:ascii="Verdana" w:hAnsi="Verdana"/>
          <w:sz w:val="20"/>
          <w:szCs w:val="20"/>
          <w:lang w:val="es-CR"/>
        </w:rPr>
        <w:t>expresó que la solicitud de l</w:t>
      </w:r>
      <w:r>
        <w:rPr>
          <w:rFonts w:ascii="Verdana" w:hAnsi="Verdana"/>
          <w:sz w:val="20"/>
          <w:szCs w:val="20"/>
          <w:lang w:val="es-CR"/>
        </w:rPr>
        <w:t>a</w:t>
      </w:r>
      <w:r w:rsidRPr="008B7C02">
        <w:rPr>
          <w:rFonts w:ascii="Verdana" w:hAnsi="Verdana"/>
          <w:sz w:val="20"/>
          <w:szCs w:val="20"/>
          <w:lang w:val="es-CR"/>
        </w:rPr>
        <w:t xml:space="preserve">s representantes “no afectaría el derecho de defensa del Estado” y destacó que “el peritaje del señor </w:t>
      </w:r>
      <w:r>
        <w:rPr>
          <w:rFonts w:ascii="Verdana" w:hAnsi="Verdana"/>
          <w:sz w:val="20"/>
          <w:szCs w:val="20"/>
          <w:lang w:val="es-CR"/>
        </w:rPr>
        <w:t xml:space="preserve">[Michael] </w:t>
      </w:r>
      <w:r w:rsidRPr="008B7C02">
        <w:rPr>
          <w:rFonts w:ascii="Verdana" w:hAnsi="Verdana"/>
          <w:sz w:val="20"/>
          <w:szCs w:val="20"/>
          <w:lang w:val="es-CR"/>
        </w:rPr>
        <w:t xml:space="preserve">Reed </w:t>
      </w:r>
      <w:r>
        <w:rPr>
          <w:rFonts w:ascii="Verdana" w:hAnsi="Verdana"/>
          <w:sz w:val="20"/>
          <w:szCs w:val="20"/>
          <w:lang w:val="es-CR"/>
        </w:rPr>
        <w:t xml:space="preserve">[Hurtado] </w:t>
      </w:r>
      <w:r w:rsidRPr="008B7C02">
        <w:rPr>
          <w:rFonts w:ascii="Verdana" w:hAnsi="Verdana"/>
          <w:sz w:val="20"/>
          <w:szCs w:val="20"/>
          <w:lang w:val="es-CR"/>
        </w:rPr>
        <w:t xml:space="preserve">se refiere a un aspecto de orden público interamericano que podría aportar elementos relevantes a la </w:t>
      </w:r>
      <w:proofErr w:type="gramStart"/>
      <w:r w:rsidRPr="008B7C02">
        <w:rPr>
          <w:rFonts w:ascii="Verdana" w:hAnsi="Verdana"/>
          <w:sz w:val="20"/>
          <w:szCs w:val="20"/>
          <w:lang w:val="es-CR"/>
        </w:rPr>
        <w:t>Corte[</w:t>
      </w:r>
      <w:proofErr w:type="gramEnd"/>
      <w:r>
        <w:rPr>
          <w:rFonts w:ascii="Verdana" w:hAnsi="Verdana"/>
          <w:sz w:val="20"/>
          <w:szCs w:val="20"/>
          <w:lang w:val="es-CR"/>
        </w:rPr>
        <w:t>,</w:t>
      </w:r>
      <w:r w:rsidRPr="008B7C02">
        <w:rPr>
          <w:rFonts w:ascii="Verdana" w:hAnsi="Verdana"/>
          <w:sz w:val="20"/>
          <w:szCs w:val="20"/>
          <w:lang w:val="es-CR"/>
        </w:rPr>
        <w:t>…] en particular en cuanto al alcance de la responsabilidad del Estado en virtud del actuar de grupos paramilitares en el marco del proceso de desmovilización”.</w:t>
      </w:r>
    </w:p>
    <w:p w:rsidR="009959E9" w:rsidRDefault="009959E9" w:rsidP="009959E9">
      <w:pPr>
        <w:pStyle w:val="Prrafodelista"/>
        <w:numPr>
          <w:ilvl w:val="0"/>
          <w:numId w:val="0"/>
        </w:numPr>
        <w:rPr>
          <w:bCs/>
        </w:rPr>
      </w:pPr>
    </w:p>
    <w:p w:rsidR="009959E9" w:rsidRPr="008B7C02" w:rsidRDefault="009959E9" w:rsidP="009959E9">
      <w:pPr>
        <w:numPr>
          <w:ilvl w:val="0"/>
          <w:numId w:val="3"/>
        </w:numPr>
        <w:spacing w:after="0" w:line="240" w:lineRule="auto"/>
        <w:ind w:right="18"/>
        <w:jc w:val="both"/>
        <w:rPr>
          <w:rFonts w:ascii="Verdana" w:hAnsi="Verdana" w:cs="Verdana"/>
          <w:bCs/>
          <w:sz w:val="20"/>
          <w:szCs w:val="20"/>
        </w:rPr>
      </w:pPr>
      <w:r>
        <w:rPr>
          <w:rFonts w:ascii="Verdana" w:eastAsia="Arial" w:hAnsi="Verdana" w:cs="Arial"/>
          <w:sz w:val="20"/>
          <w:szCs w:val="20"/>
        </w:rPr>
        <w:t xml:space="preserve">La </w:t>
      </w:r>
      <w:r w:rsidRPr="008B7C02">
        <w:rPr>
          <w:rFonts w:ascii="Verdana" w:eastAsia="Arial" w:hAnsi="Verdana" w:cs="Arial"/>
          <w:b/>
          <w:i/>
          <w:sz w:val="20"/>
          <w:szCs w:val="20"/>
        </w:rPr>
        <w:t>Corte</w:t>
      </w:r>
      <w:r>
        <w:rPr>
          <w:rFonts w:ascii="Verdana" w:eastAsia="Arial" w:hAnsi="Verdana" w:cs="Arial"/>
          <w:sz w:val="20"/>
          <w:szCs w:val="20"/>
        </w:rPr>
        <w:t xml:space="preserve"> resalta que, de acuerdo a lo estipulado en el artículo 50.1 del Reglamento, es una facultad discrecional de la Corte o su Presidencia determinar cuáles declaraciones deben ser rendidas ante fedatario público (affidávit) y cuáles estima necesario que sean rendidas en audiencia</w:t>
      </w:r>
      <w:r w:rsidRPr="004C3C32">
        <w:rPr>
          <w:rStyle w:val="Refdenotaalpie"/>
          <w:rFonts w:eastAsia="Arial"/>
          <w:sz w:val="20"/>
          <w:szCs w:val="20"/>
        </w:rPr>
        <w:footnoteReference w:id="5"/>
      </w:r>
      <w:r>
        <w:rPr>
          <w:rFonts w:ascii="Verdana" w:eastAsia="Arial" w:hAnsi="Verdana" w:cs="Arial"/>
          <w:sz w:val="20"/>
          <w:szCs w:val="20"/>
        </w:rPr>
        <w:t xml:space="preserve">. </w:t>
      </w:r>
    </w:p>
    <w:p w:rsidR="009959E9" w:rsidRDefault="009959E9" w:rsidP="009959E9">
      <w:pPr>
        <w:pStyle w:val="Prrafodelista"/>
        <w:numPr>
          <w:ilvl w:val="0"/>
          <w:numId w:val="0"/>
        </w:numPr>
        <w:rPr>
          <w:rFonts w:eastAsia="Arial" w:cs="Arial"/>
        </w:rPr>
      </w:pPr>
    </w:p>
    <w:p w:rsidR="009959E9" w:rsidRPr="008B7C02" w:rsidRDefault="009959E9" w:rsidP="009959E9">
      <w:pPr>
        <w:numPr>
          <w:ilvl w:val="0"/>
          <w:numId w:val="3"/>
        </w:numPr>
        <w:spacing w:after="0" w:line="240" w:lineRule="auto"/>
        <w:ind w:right="18"/>
        <w:jc w:val="both"/>
        <w:rPr>
          <w:rFonts w:ascii="Verdana" w:hAnsi="Verdana" w:cs="Verdana"/>
          <w:bCs/>
          <w:sz w:val="20"/>
          <w:szCs w:val="20"/>
        </w:rPr>
      </w:pPr>
      <w:r>
        <w:rPr>
          <w:rFonts w:ascii="Verdana" w:eastAsia="Arial" w:hAnsi="Verdana" w:cs="Arial"/>
          <w:sz w:val="20"/>
          <w:szCs w:val="20"/>
        </w:rPr>
        <w:t>La determinación señalada se realiza previa constatación de las listas definitivas de declarantes presentadas por las partes y la Comisión, y considerando las observaciones que las partes y la Comisión hagan al respecto, de acuerdo a lo establecido en el artículo 46 del Reglamento. Esta norma prevé, en efecto, que las partes y la Comisión presenten “lista[s] definitiva[s]”</w:t>
      </w:r>
      <w:r w:rsidR="004E271B">
        <w:rPr>
          <w:rFonts w:ascii="Verdana" w:eastAsia="Arial" w:hAnsi="Verdana" w:cs="Arial"/>
          <w:sz w:val="20"/>
          <w:szCs w:val="20"/>
        </w:rPr>
        <w:t xml:space="preserve">, para </w:t>
      </w:r>
      <w:r>
        <w:rPr>
          <w:rFonts w:ascii="Verdana" w:eastAsia="Arial" w:hAnsi="Verdana" w:cs="Arial"/>
          <w:sz w:val="20"/>
          <w:szCs w:val="20"/>
        </w:rPr>
        <w:t>que “</w:t>
      </w:r>
      <w:proofErr w:type="gramStart"/>
      <w:r>
        <w:rPr>
          <w:rFonts w:ascii="Verdana" w:eastAsia="Arial" w:hAnsi="Verdana" w:cs="Arial"/>
          <w:sz w:val="20"/>
          <w:szCs w:val="20"/>
        </w:rPr>
        <w:t>confirm[</w:t>
      </w:r>
      <w:proofErr w:type="gramEnd"/>
      <w:r>
        <w:rPr>
          <w:rFonts w:ascii="Verdana" w:eastAsia="Arial" w:hAnsi="Verdana" w:cs="Arial"/>
          <w:sz w:val="20"/>
          <w:szCs w:val="20"/>
        </w:rPr>
        <w:t xml:space="preserve">en] o desist[an] del ofrecimiento de las declaraciones […] que oportunamente realizaron” al someter el caso ante la Corte, o en sus escritos de solicitudes y argumentos o contestación, según sea el caso. </w:t>
      </w:r>
    </w:p>
    <w:p w:rsidR="009959E9" w:rsidRDefault="009959E9" w:rsidP="009959E9">
      <w:pPr>
        <w:pStyle w:val="Prrafodelista"/>
        <w:numPr>
          <w:ilvl w:val="0"/>
          <w:numId w:val="0"/>
        </w:numPr>
        <w:rPr>
          <w:rFonts w:eastAsia="Arial" w:cs="Arial"/>
        </w:rPr>
      </w:pPr>
    </w:p>
    <w:p w:rsidR="009959E9" w:rsidRPr="008B7C02" w:rsidRDefault="009959E9" w:rsidP="009959E9">
      <w:pPr>
        <w:numPr>
          <w:ilvl w:val="0"/>
          <w:numId w:val="3"/>
        </w:numPr>
        <w:spacing w:after="0" w:line="240" w:lineRule="auto"/>
        <w:ind w:right="18"/>
        <w:jc w:val="both"/>
        <w:rPr>
          <w:rFonts w:ascii="Verdana" w:hAnsi="Verdana" w:cs="Verdana"/>
          <w:bCs/>
          <w:sz w:val="20"/>
          <w:szCs w:val="20"/>
        </w:rPr>
      </w:pPr>
      <w:r>
        <w:rPr>
          <w:rFonts w:ascii="Verdana" w:eastAsia="Arial" w:hAnsi="Verdana" w:cs="Arial"/>
          <w:sz w:val="20"/>
          <w:szCs w:val="20"/>
        </w:rPr>
        <w:t>El artículo 46 del Reglamento señala</w:t>
      </w:r>
      <w:r w:rsidR="004E271B">
        <w:rPr>
          <w:rFonts w:ascii="Verdana" w:eastAsia="Arial" w:hAnsi="Verdana" w:cs="Arial"/>
          <w:sz w:val="20"/>
          <w:szCs w:val="20"/>
        </w:rPr>
        <w:t>,</w:t>
      </w:r>
      <w:r>
        <w:rPr>
          <w:rFonts w:ascii="Verdana" w:eastAsia="Arial" w:hAnsi="Verdana" w:cs="Arial"/>
          <w:sz w:val="20"/>
          <w:szCs w:val="20"/>
        </w:rPr>
        <w:t xml:space="preserve"> además, </w:t>
      </w:r>
      <w:r>
        <w:rPr>
          <w:rFonts w:ascii="Verdana" w:eastAsia="Arial" w:hAnsi="Verdana" w:cs="Arial"/>
          <w:i/>
          <w:sz w:val="20"/>
          <w:szCs w:val="20"/>
        </w:rPr>
        <w:t>inter alia,</w:t>
      </w:r>
      <w:r>
        <w:rPr>
          <w:rFonts w:ascii="Verdana" w:eastAsia="Arial" w:hAnsi="Verdana" w:cs="Arial"/>
          <w:sz w:val="20"/>
          <w:szCs w:val="20"/>
        </w:rPr>
        <w:t xml:space="preserve"> que al presentar las listas definitivas de declarantes las partes y la Comisión “</w:t>
      </w:r>
      <w:proofErr w:type="gramStart"/>
      <w:r>
        <w:rPr>
          <w:rFonts w:ascii="Verdana" w:eastAsia="Arial" w:hAnsi="Verdana" w:cs="Arial"/>
          <w:sz w:val="20"/>
          <w:szCs w:val="20"/>
        </w:rPr>
        <w:t>indi[</w:t>
      </w:r>
      <w:proofErr w:type="gramEnd"/>
      <w:r>
        <w:rPr>
          <w:rFonts w:ascii="Verdana" w:eastAsia="Arial" w:hAnsi="Verdana" w:cs="Arial"/>
          <w:sz w:val="20"/>
          <w:szCs w:val="20"/>
        </w:rPr>
        <w:t>quen] quienes de los declarantes ofrecidos consideran deben ser llamados a audiencia, en los casos en que la hubiere, y quienes pueden rendir declaración ante fedatario público (</w:t>
      </w:r>
      <w:r>
        <w:rPr>
          <w:rFonts w:ascii="Verdana" w:eastAsia="Arial" w:hAnsi="Verdana" w:cs="Arial"/>
          <w:i/>
          <w:sz w:val="20"/>
          <w:szCs w:val="20"/>
        </w:rPr>
        <w:t>affidávit</w:t>
      </w:r>
      <w:r w:rsidRPr="008B7C02">
        <w:rPr>
          <w:rFonts w:ascii="Verdana" w:eastAsia="Arial" w:hAnsi="Verdana" w:cs="Arial"/>
          <w:sz w:val="20"/>
          <w:szCs w:val="20"/>
        </w:rPr>
        <w:t>)”.</w:t>
      </w:r>
      <w:r>
        <w:rPr>
          <w:rFonts w:ascii="Verdana" w:eastAsia="Arial" w:hAnsi="Verdana" w:cs="Arial"/>
          <w:sz w:val="20"/>
          <w:szCs w:val="20"/>
        </w:rPr>
        <w:t xml:space="preserve"> </w:t>
      </w:r>
      <w:r w:rsidRPr="008B7C02">
        <w:rPr>
          <w:rFonts w:ascii="Verdana" w:eastAsia="Arial" w:hAnsi="Verdana" w:cs="Arial"/>
          <w:sz w:val="20"/>
          <w:szCs w:val="20"/>
        </w:rPr>
        <w:t>No obstante, no expresa que esa indicación sea vinculante para la Corte o su Presidencia. La norma tampoco prevé que las partes o la Comisión expresen un orden de preferencia en relación a las personas que consideran que deben ser llamadas a audiencia pública o a declarar por escrito.</w:t>
      </w:r>
      <w:r>
        <w:rPr>
          <w:rFonts w:ascii="Verdana" w:eastAsia="Arial" w:hAnsi="Verdana" w:cs="Arial"/>
          <w:sz w:val="20"/>
          <w:szCs w:val="20"/>
        </w:rPr>
        <w:t xml:space="preserve"> Si bien ello no obsta a que las partes o la Comisión, en el marco de sus decisiones y estrategia en el litigio del caso, señalen tal orden de preferencia, en caso de que lo hagan ello </w:t>
      </w:r>
      <w:r w:rsidR="004E271B">
        <w:rPr>
          <w:rFonts w:ascii="Verdana" w:eastAsia="Arial" w:hAnsi="Verdana" w:cs="Arial"/>
          <w:sz w:val="20"/>
          <w:szCs w:val="20"/>
        </w:rPr>
        <w:t xml:space="preserve">no </w:t>
      </w:r>
      <w:r>
        <w:rPr>
          <w:rFonts w:ascii="Verdana" w:eastAsia="Arial" w:hAnsi="Verdana" w:cs="Arial"/>
          <w:sz w:val="20"/>
          <w:szCs w:val="20"/>
        </w:rPr>
        <w:t xml:space="preserve">es vinculante para este Tribunal ni para quien lo presida. </w:t>
      </w:r>
    </w:p>
    <w:p w:rsidR="009959E9" w:rsidRDefault="009959E9" w:rsidP="009959E9">
      <w:pPr>
        <w:pStyle w:val="Prrafodelista"/>
        <w:numPr>
          <w:ilvl w:val="0"/>
          <w:numId w:val="0"/>
        </w:numPr>
        <w:rPr>
          <w:bCs/>
        </w:rPr>
      </w:pPr>
    </w:p>
    <w:p w:rsidR="009959E9" w:rsidRDefault="009959E9" w:rsidP="009959E9">
      <w:pPr>
        <w:numPr>
          <w:ilvl w:val="0"/>
          <w:numId w:val="3"/>
        </w:numPr>
        <w:spacing w:after="0" w:line="240" w:lineRule="auto"/>
        <w:ind w:right="18"/>
        <w:jc w:val="both"/>
        <w:rPr>
          <w:rFonts w:ascii="Verdana" w:hAnsi="Verdana" w:cs="Verdana"/>
          <w:bCs/>
          <w:sz w:val="20"/>
          <w:szCs w:val="20"/>
        </w:rPr>
      </w:pPr>
      <w:r>
        <w:rPr>
          <w:rFonts w:ascii="Verdana" w:hAnsi="Verdana" w:cs="Verdana"/>
          <w:bCs/>
          <w:sz w:val="20"/>
          <w:szCs w:val="20"/>
        </w:rPr>
        <w:lastRenderedPageBreak/>
        <w:t>La Corte constata que el señor Carlos Rodríguez Mejía fue señalado por los representantes, en su lista definitiva, como uno de los declarantes que ellos consideraban que podía prestar su declaración en audiencia pública. Por otra parte, l</w:t>
      </w:r>
      <w:r w:rsidR="008D539E">
        <w:rPr>
          <w:rFonts w:ascii="Verdana" w:hAnsi="Verdana" w:cs="Verdana"/>
          <w:bCs/>
          <w:sz w:val="20"/>
          <w:szCs w:val="20"/>
        </w:rPr>
        <w:t>a</w:t>
      </w:r>
      <w:r>
        <w:rPr>
          <w:rFonts w:ascii="Verdana" w:hAnsi="Verdana" w:cs="Verdana"/>
          <w:bCs/>
          <w:sz w:val="20"/>
          <w:szCs w:val="20"/>
        </w:rPr>
        <w:t>s representantes no han indicado, al presentar su recurso, que era de “conveniencia” del perito rendir su declaración por escrito. L</w:t>
      </w:r>
      <w:r w:rsidR="008D539E">
        <w:rPr>
          <w:rFonts w:ascii="Verdana" w:hAnsi="Verdana" w:cs="Verdana"/>
          <w:bCs/>
          <w:sz w:val="20"/>
          <w:szCs w:val="20"/>
        </w:rPr>
        <w:t>a</w:t>
      </w:r>
      <w:r>
        <w:rPr>
          <w:rFonts w:ascii="Verdana" w:hAnsi="Verdana" w:cs="Verdana"/>
          <w:bCs/>
          <w:sz w:val="20"/>
          <w:szCs w:val="20"/>
        </w:rPr>
        <w:t>s representantes no había</w:t>
      </w:r>
      <w:r w:rsidR="008D539E">
        <w:rPr>
          <w:rFonts w:ascii="Verdana" w:hAnsi="Verdana" w:cs="Verdana"/>
          <w:bCs/>
          <w:sz w:val="20"/>
          <w:szCs w:val="20"/>
        </w:rPr>
        <w:t>n</w:t>
      </w:r>
      <w:r>
        <w:rPr>
          <w:rFonts w:ascii="Verdana" w:hAnsi="Verdana" w:cs="Verdana"/>
          <w:bCs/>
          <w:sz w:val="20"/>
          <w:szCs w:val="20"/>
        </w:rPr>
        <w:t xml:space="preserve"> manifestado tal “conveniencia” antes de la interposición del recurso y, al hacerlo, no especificaron motivos por los que sería más conveniente para el señor Carlos Rodríguez Mejía rendir su peritaje por </w:t>
      </w:r>
      <w:r w:rsidR="008D539E">
        <w:rPr>
          <w:rFonts w:ascii="Verdana" w:hAnsi="Verdana" w:cs="Verdana"/>
          <w:bCs/>
          <w:sz w:val="20"/>
          <w:szCs w:val="20"/>
        </w:rPr>
        <w:t>af</w:t>
      </w:r>
      <w:r w:rsidR="004C3C32">
        <w:rPr>
          <w:rFonts w:ascii="Verdana" w:hAnsi="Verdana" w:cs="Verdana"/>
          <w:bCs/>
          <w:sz w:val="20"/>
          <w:szCs w:val="20"/>
        </w:rPr>
        <w:t>f</w:t>
      </w:r>
      <w:r w:rsidR="008D539E">
        <w:rPr>
          <w:rFonts w:ascii="Verdana" w:hAnsi="Verdana" w:cs="Verdana"/>
          <w:bCs/>
          <w:sz w:val="20"/>
          <w:szCs w:val="20"/>
        </w:rPr>
        <w:t>idávit</w:t>
      </w:r>
      <w:r>
        <w:rPr>
          <w:rFonts w:ascii="Verdana" w:hAnsi="Verdana" w:cs="Verdana"/>
          <w:bCs/>
          <w:sz w:val="20"/>
          <w:szCs w:val="20"/>
        </w:rPr>
        <w:t>. Tampoco expresaron, en ningún momento, que el señor Carlos Rodríguez Mejía est</w:t>
      </w:r>
      <w:r w:rsidR="004E271B">
        <w:rPr>
          <w:rFonts w:ascii="Verdana" w:hAnsi="Verdana" w:cs="Verdana"/>
          <w:bCs/>
          <w:sz w:val="20"/>
          <w:szCs w:val="20"/>
        </w:rPr>
        <w:t>á</w:t>
      </w:r>
      <w:r>
        <w:rPr>
          <w:rFonts w:ascii="Verdana" w:hAnsi="Verdana" w:cs="Verdana"/>
          <w:bCs/>
          <w:sz w:val="20"/>
          <w:szCs w:val="20"/>
        </w:rPr>
        <w:t xml:space="preserve"> imposibilitado de acudir a la audiencia pública. </w:t>
      </w:r>
    </w:p>
    <w:p w:rsidR="009959E9" w:rsidRDefault="009959E9" w:rsidP="009959E9">
      <w:pPr>
        <w:pStyle w:val="Prrafodelista"/>
        <w:numPr>
          <w:ilvl w:val="0"/>
          <w:numId w:val="0"/>
        </w:numPr>
        <w:rPr>
          <w:bCs/>
        </w:rPr>
      </w:pPr>
    </w:p>
    <w:p w:rsidR="009959E9" w:rsidRDefault="00281E7A" w:rsidP="009959E9">
      <w:pPr>
        <w:numPr>
          <w:ilvl w:val="0"/>
          <w:numId w:val="3"/>
        </w:numPr>
        <w:spacing w:after="0" w:line="240" w:lineRule="auto"/>
        <w:ind w:right="18"/>
        <w:jc w:val="both"/>
        <w:rPr>
          <w:rFonts w:ascii="Verdana" w:hAnsi="Verdana" w:cs="Verdana"/>
          <w:bCs/>
          <w:sz w:val="20"/>
          <w:szCs w:val="20"/>
        </w:rPr>
      </w:pPr>
      <w:r>
        <w:rPr>
          <w:rFonts w:ascii="Verdana" w:hAnsi="Verdana" w:cs="Verdana"/>
          <w:bCs/>
          <w:sz w:val="20"/>
          <w:szCs w:val="20"/>
        </w:rPr>
        <w:t>Por otra parte</w:t>
      </w:r>
      <w:r w:rsidR="009959E9">
        <w:rPr>
          <w:rFonts w:ascii="Verdana" w:hAnsi="Verdana" w:cs="Verdana"/>
          <w:bCs/>
          <w:sz w:val="20"/>
          <w:szCs w:val="20"/>
        </w:rPr>
        <w:t xml:space="preserve"> es cierto que</w:t>
      </w:r>
      <w:r>
        <w:rPr>
          <w:rFonts w:ascii="Verdana" w:hAnsi="Verdana" w:cs="Verdana"/>
          <w:bCs/>
          <w:sz w:val="20"/>
          <w:szCs w:val="20"/>
        </w:rPr>
        <w:t>, de conformidad con</w:t>
      </w:r>
      <w:r w:rsidR="009959E9">
        <w:rPr>
          <w:rFonts w:ascii="Verdana" w:hAnsi="Verdana" w:cs="Verdana"/>
          <w:bCs/>
          <w:sz w:val="20"/>
          <w:szCs w:val="20"/>
        </w:rPr>
        <w:t xml:space="preserve"> la Resolución del Presidente en ejercicio, el peritaje del señor Michael Reed Hurtado se vincula al orden público interamericano</w:t>
      </w:r>
      <w:r w:rsidR="009959E9" w:rsidRPr="004C3C32">
        <w:rPr>
          <w:rStyle w:val="Refdenotaalpie"/>
          <w:bCs/>
          <w:sz w:val="20"/>
          <w:szCs w:val="20"/>
        </w:rPr>
        <w:footnoteReference w:id="6"/>
      </w:r>
      <w:r w:rsidR="009959E9">
        <w:rPr>
          <w:rFonts w:ascii="Verdana" w:hAnsi="Verdana" w:cs="Verdana"/>
          <w:bCs/>
          <w:sz w:val="20"/>
          <w:szCs w:val="20"/>
        </w:rPr>
        <w:t xml:space="preserve">. Ello no obliga a recibir dicho peritaje en audiencia pública ni menoscaba o restringe la facultad de la Corte o su Presidencia de determinar el modo de recibir la declaración. </w:t>
      </w:r>
      <w:r w:rsidR="00F6218A" w:rsidRPr="002555BD">
        <w:rPr>
          <w:rFonts w:ascii="Verdana" w:hAnsi="Verdana" w:cs="Verdana"/>
          <w:bCs/>
          <w:sz w:val="20"/>
          <w:szCs w:val="20"/>
        </w:rPr>
        <w:t>En efecto, l</w:t>
      </w:r>
      <w:r w:rsidR="0098628B" w:rsidRPr="002555BD">
        <w:rPr>
          <w:rFonts w:ascii="Verdana" w:hAnsi="Verdana" w:cs="Verdana"/>
          <w:bCs/>
          <w:sz w:val="20"/>
          <w:szCs w:val="20"/>
        </w:rPr>
        <w:t xml:space="preserve">a </w:t>
      </w:r>
      <w:r w:rsidR="00DE0475">
        <w:rPr>
          <w:rFonts w:ascii="Verdana" w:hAnsi="Verdana" w:cs="Verdana"/>
          <w:bCs/>
          <w:sz w:val="20"/>
          <w:szCs w:val="20"/>
        </w:rPr>
        <w:t>conexión</w:t>
      </w:r>
      <w:r w:rsidR="0098628B" w:rsidRPr="002555BD">
        <w:rPr>
          <w:rFonts w:ascii="Verdana" w:hAnsi="Verdana" w:cs="Verdana"/>
          <w:bCs/>
          <w:sz w:val="20"/>
          <w:szCs w:val="20"/>
        </w:rPr>
        <w:t xml:space="preserve"> de una declaración con el orden público interamericano no</w:t>
      </w:r>
      <w:r w:rsidR="00F6218A" w:rsidRPr="002555BD">
        <w:rPr>
          <w:rFonts w:ascii="Verdana" w:hAnsi="Verdana" w:cs="Verdana"/>
          <w:bCs/>
          <w:sz w:val="20"/>
          <w:szCs w:val="20"/>
        </w:rPr>
        <w:t xml:space="preserve"> es determinante para recibir</w:t>
      </w:r>
      <w:r w:rsidR="00242808" w:rsidRPr="002555BD">
        <w:rPr>
          <w:rFonts w:ascii="Verdana" w:hAnsi="Verdana" w:cs="Verdana"/>
          <w:bCs/>
          <w:sz w:val="20"/>
          <w:szCs w:val="20"/>
        </w:rPr>
        <w:t>la</w:t>
      </w:r>
      <w:r w:rsidR="00DE0475">
        <w:rPr>
          <w:rFonts w:ascii="Verdana" w:hAnsi="Verdana" w:cs="Verdana"/>
          <w:bCs/>
          <w:sz w:val="20"/>
          <w:szCs w:val="20"/>
        </w:rPr>
        <w:t xml:space="preserve"> en audiencia pública</w:t>
      </w:r>
      <w:r w:rsidR="00F6218A" w:rsidRPr="002555BD">
        <w:rPr>
          <w:rFonts w:ascii="Verdana" w:hAnsi="Verdana" w:cs="Verdana"/>
          <w:bCs/>
          <w:sz w:val="20"/>
          <w:szCs w:val="20"/>
        </w:rPr>
        <w:t>, y no</w:t>
      </w:r>
      <w:r w:rsidR="0098628B" w:rsidRPr="002555BD">
        <w:rPr>
          <w:rFonts w:ascii="Verdana" w:hAnsi="Verdana" w:cs="Verdana"/>
          <w:bCs/>
          <w:sz w:val="20"/>
          <w:szCs w:val="20"/>
        </w:rPr>
        <w:t xml:space="preserve"> obsta a que la Corte</w:t>
      </w:r>
      <w:r w:rsidR="004C3C32" w:rsidRPr="002555BD">
        <w:rPr>
          <w:rFonts w:ascii="Verdana" w:hAnsi="Verdana" w:cs="Verdana"/>
          <w:bCs/>
          <w:sz w:val="20"/>
          <w:szCs w:val="20"/>
        </w:rPr>
        <w:t xml:space="preserve"> o su P</w:t>
      </w:r>
      <w:r w:rsidR="00F6218A" w:rsidRPr="002555BD">
        <w:rPr>
          <w:rFonts w:ascii="Verdana" w:hAnsi="Verdana" w:cs="Verdana"/>
          <w:bCs/>
          <w:sz w:val="20"/>
          <w:szCs w:val="20"/>
        </w:rPr>
        <w:t xml:space="preserve">residencia considere otras circunstancias atinentes a la prueba, tales como, </w:t>
      </w:r>
      <w:r w:rsidR="00F6218A" w:rsidRPr="002555BD">
        <w:rPr>
          <w:rFonts w:ascii="Verdana" w:hAnsi="Verdana" w:cs="Verdana"/>
          <w:bCs/>
          <w:i/>
          <w:sz w:val="20"/>
          <w:szCs w:val="20"/>
        </w:rPr>
        <w:t>inter alia</w:t>
      </w:r>
      <w:r w:rsidR="00F6218A" w:rsidRPr="002555BD">
        <w:rPr>
          <w:rFonts w:ascii="Verdana" w:hAnsi="Verdana" w:cs="Verdana"/>
          <w:bCs/>
          <w:sz w:val="20"/>
          <w:szCs w:val="20"/>
        </w:rPr>
        <w:t xml:space="preserve">, los objetos de las </w:t>
      </w:r>
      <w:r w:rsidR="00DE0475">
        <w:rPr>
          <w:rFonts w:ascii="Verdana" w:hAnsi="Verdana" w:cs="Verdana"/>
          <w:bCs/>
          <w:sz w:val="20"/>
          <w:szCs w:val="20"/>
        </w:rPr>
        <w:t xml:space="preserve">demás </w:t>
      </w:r>
      <w:r w:rsidR="00F6218A" w:rsidRPr="002555BD">
        <w:rPr>
          <w:rFonts w:ascii="Verdana" w:hAnsi="Verdana" w:cs="Verdana"/>
          <w:bCs/>
          <w:sz w:val="20"/>
          <w:szCs w:val="20"/>
        </w:rPr>
        <w:t xml:space="preserve">declaraciones admitidas y </w:t>
      </w:r>
      <w:r w:rsidR="00DE0475">
        <w:rPr>
          <w:rFonts w:ascii="Verdana" w:hAnsi="Verdana" w:cs="Verdana"/>
          <w:bCs/>
          <w:sz w:val="20"/>
          <w:szCs w:val="20"/>
        </w:rPr>
        <w:t xml:space="preserve">su relación con </w:t>
      </w:r>
      <w:r w:rsidR="00F6218A" w:rsidRPr="002555BD">
        <w:rPr>
          <w:rFonts w:ascii="Verdana" w:hAnsi="Verdana" w:cs="Verdana"/>
          <w:bCs/>
          <w:sz w:val="20"/>
          <w:szCs w:val="20"/>
        </w:rPr>
        <w:t xml:space="preserve">aspectos </w:t>
      </w:r>
      <w:r w:rsidR="00DE0475">
        <w:rPr>
          <w:rFonts w:ascii="Verdana" w:hAnsi="Verdana" w:cs="Verdana"/>
          <w:bCs/>
          <w:sz w:val="20"/>
          <w:szCs w:val="20"/>
        </w:rPr>
        <w:t xml:space="preserve">esenciales del </w:t>
      </w:r>
      <w:r w:rsidR="00F6218A" w:rsidRPr="002555BD">
        <w:rPr>
          <w:rFonts w:ascii="Verdana" w:hAnsi="Verdana" w:cs="Verdana"/>
          <w:bCs/>
          <w:sz w:val="20"/>
          <w:szCs w:val="20"/>
        </w:rPr>
        <w:t>caso sometido a examen de este Tribunal.</w:t>
      </w:r>
      <w:r w:rsidR="004C3C32" w:rsidRPr="002555BD">
        <w:rPr>
          <w:rFonts w:ascii="Verdana" w:hAnsi="Verdana" w:cs="Verdana"/>
          <w:bCs/>
          <w:sz w:val="20"/>
          <w:szCs w:val="20"/>
        </w:rPr>
        <w:t xml:space="preserve"> </w:t>
      </w:r>
      <w:r w:rsidR="009959E9" w:rsidRPr="002555BD">
        <w:rPr>
          <w:rFonts w:ascii="Verdana" w:hAnsi="Verdana" w:cs="Verdana"/>
          <w:bCs/>
          <w:sz w:val="20"/>
          <w:szCs w:val="20"/>
        </w:rPr>
        <w:t>Además</w:t>
      </w:r>
      <w:r w:rsidR="009959E9">
        <w:rPr>
          <w:rFonts w:ascii="Verdana" w:hAnsi="Verdana" w:cs="Verdana"/>
          <w:bCs/>
          <w:sz w:val="20"/>
          <w:szCs w:val="20"/>
        </w:rPr>
        <w:t>, en atención a lo argüido por las representantes (</w:t>
      </w:r>
      <w:r w:rsidR="009959E9">
        <w:rPr>
          <w:rFonts w:ascii="Verdana" w:hAnsi="Verdana" w:cs="Verdana"/>
          <w:bCs/>
          <w:i/>
          <w:sz w:val="20"/>
          <w:szCs w:val="20"/>
        </w:rPr>
        <w:t>supra</w:t>
      </w:r>
      <w:r w:rsidR="009959E9">
        <w:rPr>
          <w:rFonts w:ascii="Verdana" w:hAnsi="Verdana" w:cs="Verdana"/>
          <w:bCs/>
          <w:sz w:val="20"/>
          <w:szCs w:val="20"/>
        </w:rPr>
        <w:t xml:space="preserve"> Considerando </w:t>
      </w:r>
      <w:r w:rsidR="009959E9" w:rsidRPr="00EE4442">
        <w:rPr>
          <w:rFonts w:ascii="Verdana" w:hAnsi="Verdana" w:cs="Verdana"/>
          <w:bCs/>
          <w:sz w:val="20"/>
          <w:szCs w:val="20"/>
        </w:rPr>
        <w:t>6</w:t>
      </w:r>
      <w:r w:rsidR="009959E9">
        <w:rPr>
          <w:rFonts w:ascii="Verdana" w:hAnsi="Verdana" w:cs="Verdana"/>
          <w:bCs/>
          <w:sz w:val="20"/>
          <w:szCs w:val="20"/>
        </w:rPr>
        <w:t xml:space="preserve">), es pertinente hacer notar que, de acuerdo a lo establecido por el artículo 50.5 del Reglamento, se dio la posibilidad al Estado y a la Comisión de presentar preguntas por escrito al perito Michael Reed Hurtado. </w:t>
      </w:r>
    </w:p>
    <w:p w:rsidR="009959E9" w:rsidRDefault="009959E9" w:rsidP="009959E9">
      <w:pPr>
        <w:pStyle w:val="Prrafodelista"/>
        <w:numPr>
          <w:ilvl w:val="0"/>
          <w:numId w:val="0"/>
        </w:numPr>
        <w:rPr>
          <w:bCs/>
        </w:rPr>
      </w:pPr>
    </w:p>
    <w:p w:rsidR="009959E9" w:rsidRPr="008B7C02" w:rsidRDefault="009959E9" w:rsidP="009959E9">
      <w:pPr>
        <w:numPr>
          <w:ilvl w:val="0"/>
          <w:numId w:val="3"/>
        </w:numPr>
        <w:spacing w:after="0" w:line="240" w:lineRule="auto"/>
        <w:ind w:right="18"/>
        <w:jc w:val="both"/>
        <w:rPr>
          <w:rFonts w:ascii="Verdana" w:hAnsi="Verdana" w:cs="Verdana"/>
          <w:bCs/>
          <w:sz w:val="20"/>
          <w:szCs w:val="20"/>
        </w:rPr>
      </w:pPr>
      <w:r w:rsidRPr="008B7C02">
        <w:rPr>
          <w:rFonts w:ascii="Verdana" w:hAnsi="Verdana" w:cs="Verdana"/>
          <w:bCs/>
          <w:sz w:val="20"/>
          <w:szCs w:val="20"/>
        </w:rPr>
        <w:t xml:space="preserve">Por último, las representantes </w:t>
      </w:r>
      <w:r w:rsidR="003A117B">
        <w:rPr>
          <w:rFonts w:ascii="Verdana" w:hAnsi="Verdana" w:cs="Verdana"/>
          <w:bCs/>
          <w:sz w:val="20"/>
          <w:szCs w:val="20"/>
        </w:rPr>
        <w:t>alegaron que dos peritos declararían sobre el mismo tema</w:t>
      </w:r>
      <w:r w:rsidRPr="008B7C02">
        <w:rPr>
          <w:rFonts w:ascii="Verdana" w:hAnsi="Verdana" w:cs="Verdana"/>
          <w:bCs/>
          <w:sz w:val="20"/>
          <w:szCs w:val="20"/>
        </w:rPr>
        <w:t xml:space="preserve"> (</w:t>
      </w:r>
      <w:r w:rsidRPr="008B7C02">
        <w:rPr>
          <w:rFonts w:ascii="Verdana" w:hAnsi="Verdana" w:cs="Verdana"/>
          <w:bCs/>
          <w:i/>
          <w:sz w:val="20"/>
          <w:szCs w:val="20"/>
        </w:rPr>
        <w:t>supra</w:t>
      </w:r>
      <w:r w:rsidR="00EE4442">
        <w:rPr>
          <w:rFonts w:ascii="Verdana" w:hAnsi="Verdana" w:cs="Verdana"/>
          <w:bCs/>
          <w:sz w:val="20"/>
          <w:szCs w:val="20"/>
        </w:rPr>
        <w:t xml:space="preserve"> Considerando</w:t>
      </w:r>
      <w:r w:rsidRPr="008B7C02">
        <w:rPr>
          <w:rFonts w:ascii="Verdana" w:hAnsi="Verdana" w:cs="Verdana"/>
          <w:bCs/>
          <w:sz w:val="20"/>
          <w:szCs w:val="20"/>
        </w:rPr>
        <w:t xml:space="preserve"> </w:t>
      </w:r>
      <w:r w:rsidRPr="00EE4442">
        <w:rPr>
          <w:rFonts w:ascii="Verdana" w:hAnsi="Verdana" w:cs="Verdana"/>
          <w:bCs/>
          <w:sz w:val="20"/>
          <w:szCs w:val="20"/>
        </w:rPr>
        <w:t>6</w:t>
      </w:r>
      <w:r w:rsidRPr="008B7C02">
        <w:rPr>
          <w:rFonts w:ascii="Verdana" w:hAnsi="Verdana" w:cs="Verdana"/>
          <w:bCs/>
          <w:sz w:val="20"/>
          <w:szCs w:val="20"/>
        </w:rPr>
        <w:t xml:space="preserve">) </w:t>
      </w:r>
      <w:r w:rsidR="003A117B">
        <w:rPr>
          <w:rFonts w:ascii="Verdana" w:hAnsi="Verdana" w:cs="Verdana"/>
          <w:bCs/>
          <w:sz w:val="20"/>
          <w:szCs w:val="20"/>
        </w:rPr>
        <w:t xml:space="preserve">pero </w:t>
      </w:r>
      <w:r w:rsidRPr="008B7C02">
        <w:rPr>
          <w:rFonts w:ascii="Verdana" w:hAnsi="Verdana" w:cs="Verdana"/>
          <w:bCs/>
          <w:sz w:val="20"/>
          <w:szCs w:val="20"/>
        </w:rPr>
        <w:t>no indicaron de modo concreto a qu</w:t>
      </w:r>
      <w:r w:rsidR="003A117B">
        <w:rPr>
          <w:rFonts w:ascii="Verdana" w:hAnsi="Verdana" w:cs="Verdana"/>
          <w:bCs/>
          <w:sz w:val="20"/>
          <w:szCs w:val="20"/>
        </w:rPr>
        <w:t>ienes</w:t>
      </w:r>
      <w:r w:rsidRPr="008B7C02">
        <w:rPr>
          <w:rFonts w:ascii="Verdana" w:hAnsi="Verdana" w:cs="Verdana"/>
          <w:bCs/>
          <w:sz w:val="20"/>
          <w:szCs w:val="20"/>
        </w:rPr>
        <w:t xml:space="preserve"> se referían</w:t>
      </w:r>
      <w:r w:rsidR="003A117B">
        <w:rPr>
          <w:rFonts w:ascii="Verdana" w:hAnsi="Verdana" w:cs="Verdana"/>
          <w:bCs/>
          <w:sz w:val="20"/>
          <w:szCs w:val="20"/>
        </w:rPr>
        <w:t>.</w:t>
      </w:r>
      <w:r w:rsidRPr="008B7C02">
        <w:rPr>
          <w:rFonts w:ascii="Verdana" w:hAnsi="Verdana" w:cs="Verdana"/>
          <w:bCs/>
          <w:sz w:val="20"/>
          <w:szCs w:val="20"/>
        </w:rPr>
        <w:t xml:space="preserve"> </w:t>
      </w:r>
      <w:r w:rsidR="003A117B">
        <w:rPr>
          <w:rFonts w:ascii="Verdana" w:hAnsi="Verdana" w:cs="Verdana"/>
          <w:bCs/>
          <w:sz w:val="20"/>
          <w:szCs w:val="20"/>
        </w:rPr>
        <w:t>En relación a este alegato l</w:t>
      </w:r>
      <w:r w:rsidRPr="008B7C02">
        <w:rPr>
          <w:rFonts w:ascii="Verdana" w:hAnsi="Verdana" w:cs="Verdana"/>
          <w:bCs/>
          <w:sz w:val="20"/>
          <w:szCs w:val="20"/>
        </w:rPr>
        <w:t xml:space="preserve">a Corte nota que, en efecto, </w:t>
      </w:r>
      <w:r w:rsidR="003A117B">
        <w:rPr>
          <w:rFonts w:ascii="Verdana" w:hAnsi="Verdana" w:cs="Verdana"/>
          <w:bCs/>
          <w:sz w:val="20"/>
          <w:szCs w:val="20"/>
        </w:rPr>
        <w:t xml:space="preserve">se </w:t>
      </w:r>
      <w:r w:rsidRPr="008B7C02">
        <w:rPr>
          <w:rFonts w:ascii="Verdana" w:hAnsi="Verdana" w:cs="Verdana"/>
          <w:bCs/>
          <w:sz w:val="20"/>
          <w:szCs w:val="20"/>
        </w:rPr>
        <w:t>rendirán peritajes sobre temas relacionados al objeto fijado para la declaración del perito Carlos Rodríguez Mejía. Sin perjuicio de ello, este Tribunal no advierte que la circunstancia descrita</w:t>
      </w:r>
      <w:r w:rsidR="003A117B">
        <w:rPr>
          <w:rFonts w:ascii="Verdana" w:hAnsi="Verdana" w:cs="Verdana"/>
          <w:bCs/>
          <w:sz w:val="20"/>
          <w:szCs w:val="20"/>
        </w:rPr>
        <w:t xml:space="preserve"> </w:t>
      </w:r>
      <w:r w:rsidRPr="008B7C02">
        <w:rPr>
          <w:rFonts w:ascii="Verdana" w:hAnsi="Verdana" w:cs="Verdana"/>
          <w:bCs/>
          <w:sz w:val="20"/>
          <w:szCs w:val="20"/>
        </w:rPr>
        <w:t>afecte el ámbito de discrecionalidad de la Corte o su Presidencia para determinar el modo de recibi</w:t>
      </w:r>
      <w:r w:rsidRPr="0084743A">
        <w:rPr>
          <w:rFonts w:ascii="Verdana" w:hAnsi="Verdana" w:cs="Verdana"/>
          <w:bCs/>
          <w:sz w:val="20"/>
          <w:szCs w:val="20"/>
        </w:rPr>
        <w:t xml:space="preserve">r las declaraciones periciales. </w:t>
      </w:r>
    </w:p>
    <w:p w:rsidR="009959E9" w:rsidRDefault="009959E9" w:rsidP="009959E9">
      <w:pPr>
        <w:pStyle w:val="Prrafodelista"/>
        <w:numPr>
          <w:ilvl w:val="0"/>
          <w:numId w:val="0"/>
        </w:numPr>
        <w:rPr>
          <w:bCs/>
        </w:rPr>
      </w:pPr>
    </w:p>
    <w:p w:rsidR="009959E9" w:rsidRDefault="009959E9" w:rsidP="009959E9">
      <w:pPr>
        <w:numPr>
          <w:ilvl w:val="0"/>
          <w:numId w:val="3"/>
        </w:numPr>
        <w:spacing w:after="0" w:line="240" w:lineRule="auto"/>
        <w:ind w:right="18"/>
        <w:jc w:val="both"/>
        <w:rPr>
          <w:rFonts w:ascii="Verdana" w:eastAsia="Arial" w:hAnsi="Verdana" w:cs="Arial"/>
          <w:sz w:val="20"/>
          <w:szCs w:val="20"/>
        </w:rPr>
      </w:pPr>
      <w:r w:rsidRPr="004E7CA2">
        <w:rPr>
          <w:rFonts w:ascii="Verdana" w:hAnsi="Verdana" w:cs="Verdana"/>
          <w:sz w:val="20"/>
          <w:szCs w:val="20"/>
        </w:rPr>
        <w:t>Con base en todo lo anterior, e</w:t>
      </w:r>
      <w:r>
        <w:rPr>
          <w:rFonts w:ascii="Verdana" w:hAnsi="Verdana" w:cs="Verdana"/>
          <w:sz w:val="20"/>
          <w:szCs w:val="20"/>
        </w:rPr>
        <w:t>ste</w:t>
      </w:r>
      <w:r w:rsidRPr="004E7CA2">
        <w:rPr>
          <w:rFonts w:ascii="Verdana" w:hAnsi="Verdana" w:cs="Verdana"/>
          <w:sz w:val="20"/>
          <w:szCs w:val="20"/>
        </w:rPr>
        <w:t xml:space="preserve"> Tribunal no encuentra razones para apartarse de l</w:t>
      </w:r>
      <w:r w:rsidR="003A117B">
        <w:rPr>
          <w:rFonts w:ascii="Verdana" w:hAnsi="Verdana" w:cs="Verdana"/>
          <w:sz w:val="20"/>
          <w:szCs w:val="20"/>
        </w:rPr>
        <w:t>a</w:t>
      </w:r>
      <w:r w:rsidRPr="004E7CA2">
        <w:rPr>
          <w:rFonts w:ascii="Verdana" w:hAnsi="Verdana" w:cs="Verdana"/>
          <w:sz w:val="20"/>
          <w:szCs w:val="20"/>
        </w:rPr>
        <w:t xml:space="preserve"> </w:t>
      </w:r>
      <w:r w:rsidR="003A117B">
        <w:rPr>
          <w:rFonts w:ascii="Verdana" w:hAnsi="Verdana" w:cs="Verdana"/>
          <w:sz w:val="20"/>
          <w:szCs w:val="20"/>
        </w:rPr>
        <w:t>resolución emitida</w:t>
      </w:r>
      <w:r w:rsidRPr="004E7CA2">
        <w:rPr>
          <w:rFonts w:ascii="Verdana" w:hAnsi="Verdana" w:cs="Verdana"/>
          <w:sz w:val="20"/>
          <w:szCs w:val="20"/>
        </w:rPr>
        <w:t xml:space="preserve"> por el Presidente en </w:t>
      </w:r>
      <w:r>
        <w:rPr>
          <w:rFonts w:ascii="Verdana" w:hAnsi="Verdana" w:cs="Verdana"/>
          <w:sz w:val="20"/>
          <w:szCs w:val="20"/>
        </w:rPr>
        <w:t>ejercicio</w:t>
      </w:r>
      <w:r w:rsidR="00213FFC">
        <w:rPr>
          <w:rFonts w:ascii="Verdana" w:hAnsi="Verdana" w:cs="Verdana"/>
          <w:sz w:val="20"/>
          <w:szCs w:val="20"/>
        </w:rPr>
        <w:t xml:space="preserve"> para el presente caso</w:t>
      </w:r>
      <w:r w:rsidRPr="004E7CA2">
        <w:rPr>
          <w:rFonts w:ascii="Verdana" w:hAnsi="Verdana" w:cs="Verdana"/>
          <w:sz w:val="20"/>
          <w:szCs w:val="20"/>
        </w:rPr>
        <w:t xml:space="preserve">, por lo que </w:t>
      </w:r>
      <w:r w:rsidRPr="004E7CA2">
        <w:rPr>
          <w:rFonts w:ascii="Verdana" w:hAnsi="Verdana"/>
          <w:sz w:val="20"/>
          <w:szCs w:val="20"/>
          <w:lang w:val="es-CR"/>
        </w:rPr>
        <w:t xml:space="preserve">mantiene </w:t>
      </w:r>
      <w:r>
        <w:rPr>
          <w:rFonts w:ascii="Verdana" w:hAnsi="Verdana"/>
          <w:sz w:val="20"/>
          <w:szCs w:val="20"/>
          <w:lang w:val="es-CR"/>
        </w:rPr>
        <w:t>su</w:t>
      </w:r>
      <w:r w:rsidRPr="004E7CA2">
        <w:rPr>
          <w:rFonts w:ascii="Verdana" w:hAnsi="Verdana"/>
          <w:sz w:val="20"/>
          <w:szCs w:val="20"/>
          <w:lang w:val="es-CR"/>
        </w:rPr>
        <w:t xml:space="preserve"> decisión de convocar a</w:t>
      </w:r>
      <w:r>
        <w:rPr>
          <w:rFonts w:ascii="Verdana" w:hAnsi="Verdana"/>
          <w:sz w:val="20"/>
          <w:szCs w:val="20"/>
          <w:lang w:val="es-CR"/>
        </w:rPr>
        <w:t xml:space="preserve">l perito Michael Reed Hurtado a rendir su dictamen por affidávit y al perito Carlos Rodríguez Mejía a rendir su dictamen en audiencia pública. En </w:t>
      </w:r>
      <w:r w:rsidR="003A117B">
        <w:rPr>
          <w:rFonts w:ascii="Verdana" w:hAnsi="Verdana"/>
          <w:sz w:val="20"/>
          <w:szCs w:val="20"/>
          <w:lang w:val="es-CR"/>
        </w:rPr>
        <w:t>consecuencia</w:t>
      </w:r>
      <w:r>
        <w:rPr>
          <w:rFonts w:ascii="Verdana" w:hAnsi="Verdana"/>
          <w:sz w:val="20"/>
          <w:szCs w:val="20"/>
          <w:lang w:val="es-CR"/>
        </w:rPr>
        <w:t>, no resulta necesario analizar la solicitud “en subsidio” presentada por el Estado (</w:t>
      </w:r>
      <w:r>
        <w:rPr>
          <w:rFonts w:ascii="Verdana" w:hAnsi="Verdana"/>
          <w:i/>
          <w:sz w:val="20"/>
          <w:szCs w:val="20"/>
          <w:lang w:val="es-CR"/>
        </w:rPr>
        <w:t>supra</w:t>
      </w:r>
      <w:r>
        <w:rPr>
          <w:rFonts w:ascii="Verdana" w:hAnsi="Verdana"/>
          <w:sz w:val="20"/>
          <w:szCs w:val="20"/>
          <w:lang w:val="es-CR"/>
        </w:rPr>
        <w:t xml:space="preserve"> Considerando </w:t>
      </w:r>
      <w:r w:rsidRPr="00EE4442">
        <w:rPr>
          <w:rFonts w:ascii="Verdana" w:hAnsi="Verdana"/>
          <w:sz w:val="20"/>
          <w:szCs w:val="20"/>
          <w:lang w:val="es-CR"/>
        </w:rPr>
        <w:t>8</w:t>
      </w:r>
      <w:r>
        <w:rPr>
          <w:rFonts w:ascii="Verdana" w:hAnsi="Verdana"/>
          <w:sz w:val="20"/>
          <w:szCs w:val="20"/>
          <w:lang w:val="es-CR"/>
        </w:rPr>
        <w:t>)</w:t>
      </w:r>
    </w:p>
    <w:p w:rsidR="00ED724A" w:rsidRDefault="00ED724A" w:rsidP="009959E9">
      <w:pPr>
        <w:pStyle w:val="Prrafodelista"/>
        <w:numPr>
          <w:ilvl w:val="0"/>
          <w:numId w:val="0"/>
        </w:numPr>
        <w:ind w:right="18"/>
        <w:rPr>
          <w:b/>
        </w:rPr>
      </w:pPr>
    </w:p>
    <w:p w:rsidR="009959E9" w:rsidRPr="001339A0" w:rsidRDefault="009959E9" w:rsidP="009959E9">
      <w:pPr>
        <w:pStyle w:val="Prrafodelista"/>
        <w:numPr>
          <w:ilvl w:val="0"/>
          <w:numId w:val="4"/>
        </w:numPr>
        <w:ind w:right="18"/>
        <w:rPr>
          <w:i/>
        </w:rPr>
      </w:pPr>
      <w:r>
        <w:rPr>
          <w:b/>
          <w:i/>
        </w:rPr>
        <w:t>Sobre la aclaración presentada por el Estado respecto a la declarante Claudia Patricia Vallejo</w:t>
      </w:r>
      <w:r w:rsidRPr="008B7C02">
        <w:rPr>
          <w:b/>
          <w:i/>
        </w:rPr>
        <w:t xml:space="preserve"> Avendaño</w:t>
      </w:r>
    </w:p>
    <w:p w:rsidR="009959E9" w:rsidRDefault="009959E9" w:rsidP="009959E9">
      <w:pPr>
        <w:pStyle w:val="Prrafodelista"/>
        <w:numPr>
          <w:ilvl w:val="0"/>
          <w:numId w:val="0"/>
        </w:numPr>
        <w:rPr>
          <w:sz w:val="18"/>
          <w:szCs w:val="18"/>
        </w:rPr>
      </w:pPr>
    </w:p>
    <w:p w:rsidR="009959E9" w:rsidRPr="008B7C02" w:rsidRDefault="009959E9" w:rsidP="009959E9">
      <w:pPr>
        <w:numPr>
          <w:ilvl w:val="0"/>
          <w:numId w:val="3"/>
        </w:numPr>
        <w:spacing w:after="0" w:line="240" w:lineRule="auto"/>
        <w:ind w:right="18"/>
        <w:jc w:val="both"/>
        <w:rPr>
          <w:rFonts w:ascii="Verdana" w:eastAsia="Arial" w:hAnsi="Verdana" w:cs="Arial"/>
          <w:sz w:val="20"/>
          <w:szCs w:val="20"/>
        </w:rPr>
      </w:pPr>
      <w:r w:rsidRPr="008B7C02">
        <w:rPr>
          <w:rFonts w:ascii="Verdana" w:hAnsi="Verdana"/>
          <w:sz w:val="20"/>
          <w:szCs w:val="20"/>
        </w:rPr>
        <w:t xml:space="preserve">En la Resolución del Presidente en ejercicio se llamó a la señora </w:t>
      </w:r>
      <w:r w:rsidRPr="008B7C02">
        <w:rPr>
          <w:rFonts w:ascii="Verdana" w:hAnsi="Verdana"/>
          <w:iCs/>
          <w:sz w:val="20"/>
          <w:szCs w:val="20"/>
          <w:lang w:val="es-CR"/>
        </w:rPr>
        <w:t>Claudia Patricia Vallejo Avendaño</w:t>
      </w:r>
      <w:r w:rsidRPr="008B7C02">
        <w:rPr>
          <w:rFonts w:ascii="Verdana" w:hAnsi="Verdana"/>
          <w:sz w:val="20"/>
          <w:szCs w:val="20"/>
          <w:lang w:val="es-CR"/>
        </w:rPr>
        <w:t xml:space="preserve">, Coordinadora de Derechos Humanos de la Procuraduría Regional de Antioquia, propuesta por el Estado, para declarar por escrito a título informativo “sobre la alegada asistencia prestada a las víctimas con respecto a su situación en la Comuna 13”. </w:t>
      </w:r>
    </w:p>
    <w:p w:rsidR="009959E9" w:rsidRPr="008B7C02" w:rsidRDefault="009959E9" w:rsidP="009959E9">
      <w:pPr>
        <w:spacing w:after="0" w:line="240" w:lineRule="auto"/>
        <w:ind w:right="18"/>
        <w:jc w:val="both"/>
        <w:rPr>
          <w:rFonts w:ascii="Verdana" w:eastAsia="Arial" w:hAnsi="Verdana" w:cs="Arial"/>
          <w:sz w:val="20"/>
          <w:szCs w:val="20"/>
        </w:rPr>
      </w:pPr>
    </w:p>
    <w:p w:rsidR="009959E9" w:rsidRPr="008B7C02" w:rsidRDefault="009959E9" w:rsidP="009959E9">
      <w:pPr>
        <w:numPr>
          <w:ilvl w:val="0"/>
          <w:numId w:val="3"/>
        </w:numPr>
        <w:spacing w:after="0" w:line="240" w:lineRule="auto"/>
        <w:ind w:right="18"/>
        <w:jc w:val="both"/>
        <w:rPr>
          <w:rFonts w:ascii="Verdana" w:eastAsia="Arial" w:hAnsi="Verdana" w:cs="Arial"/>
          <w:sz w:val="20"/>
          <w:szCs w:val="20"/>
        </w:rPr>
      </w:pPr>
      <w:r w:rsidRPr="008B7C02">
        <w:rPr>
          <w:rFonts w:ascii="Verdana" w:hAnsi="Verdana"/>
          <w:sz w:val="20"/>
          <w:szCs w:val="20"/>
          <w:lang w:val="es-CR"/>
        </w:rPr>
        <w:t>En su escrito de 1 de junio de 2015 (</w:t>
      </w:r>
      <w:r w:rsidRPr="008B7C02">
        <w:rPr>
          <w:rFonts w:ascii="Verdana" w:hAnsi="Verdana"/>
          <w:i/>
          <w:sz w:val="20"/>
          <w:szCs w:val="20"/>
          <w:lang w:val="es-CR"/>
        </w:rPr>
        <w:t>supra</w:t>
      </w:r>
      <w:r w:rsidRPr="008B7C02">
        <w:rPr>
          <w:rFonts w:ascii="Verdana" w:hAnsi="Verdana"/>
          <w:sz w:val="20"/>
          <w:szCs w:val="20"/>
          <w:lang w:val="es-CR"/>
        </w:rPr>
        <w:t xml:space="preserve"> Visto </w:t>
      </w:r>
      <w:r w:rsidRPr="00EE4442">
        <w:rPr>
          <w:rFonts w:ascii="Verdana" w:hAnsi="Verdana"/>
          <w:sz w:val="20"/>
          <w:szCs w:val="20"/>
          <w:lang w:val="es-CR"/>
        </w:rPr>
        <w:t>4</w:t>
      </w:r>
      <w:r w:rsidRPr="008B7C02">
        <w:rPr>
          <w:rFonts w:ascii="Verdana" w:hAnsi="Verdana"/>
          <w:sz w:val="20"/>
          <w:szCs w:val="20"/>
          <w:lang w:val="es-CR"/>
        </w:rPr>
        <w:t>) el Estado aclaró que “</w:t>
      </w:r>
      <w:r w:rsidRPr="008B7C02">
        <w:rPr>
          <w:rFonts w:ascii="Verdana" w:hAnsi="Verdana"/>
          <w:sz w:val="20"/>
          <w:szCs w:val="20"/>
        </w:rPr>
        <w:t>la declaración de Claudia [Patricia] Vallejo [Avendaño] no está relacionada con la asistencia a las víctimas de la Comuna 13 en general, sino con la asistencia brindada a las presuntas víctimas del caso”. Por ello, señaló que la “declaración sí se circunscribe a los hechos del caso”. “El Estado dej[ó] a consideración esta observación a la […] Corte para que determine lo que considere conveniente sobre el particular”.</w:t>
      </w:r>
    </w:p>
    <w:p w:rsidR="009959E9" w:rsidRPr="008B7C02" w:rsidRDefault="009959E9" w:rsidP="009959E9">
      <w:pPr>
        <w:pStyle w:val="Prrafodelista"/>
        <w:numPr>
          <w:ilvl w:val="0"/>
          <w:numId w:val="0"/>
        </w:numPr>
      </w:pPr>
    </w:p>
    <w:p w:rsidR="009959E9" w:rsidRPr="008B7C02" w:rsidRDefault="009959E9" w:rsidP="009959E9">
      <w:pPr>
        <w:numPr>
          <w:ilvl w:val="0"/>
          <w:numId w:val="3"/>
        </w:numPr>
        <w:spacing w:after="0" w:line="240" w:lineRule="auto"/>
        <w:ind w:right="18"/>
        <w:jc w:val="both"/>
        <w:rPr>
          <w:rFonts w:ascii="Verdana" w:eastAsia="Arial" w:hAnsi="Verdana" w:cs="Arial"/>
          <w:sz w:val="20"/>
          <w:szCs w:val="20"/>
        </w:rPr>
      </w:pPr>
      <w:r w:rsidRPr="008B7C02">
        <w:rPr>
          <w:rFonts w:ascii="Verdana" w:hAnsi="Verdana"/>
          <w:sz w:val="20"/>
          <w:szCs w:val="20"/>
        </w:rPr>
        <w:t>La Corte nota que, como señaló el Estado, la declaración de la señora Vallejo</w:t>
      </w:r>
      <w:r>
        <w:rPr>
          <w:rFonts w:ascii="Verdana" w:hAnsi="Verdana"/>
          <w:sz w:val="20"/>
          <w:szCs w:val="20"/>
        </w:rPr>
        <w:t xml:space="preserve"> Avendaño</w:t>
      </w:r>
      <w:r w:rsidRPr="008B7C02">
        <w:rPr>
          <w:rFonts w:ascii="Verdana" w:hAnsi="Verdana"/>
          <w:sz w:val="20"/>
          <w:szCs w:val="20"/>
        </w:rPr>
        <w:t xml:space="preserve"> se fijó “a título informativo” sobre la base de entenderse que la misma, según el objeto </w:t>
      </w:r>
      <w:r w:rsidRPr="008B7C02">
        <w:rPr>
          <w:rFonts w:ascii="Verdana" w:hAnsi="Verdana"/>
          <w:sz w:val="20"/>
          <w:szCs w:val="20"/>
        </w:rPr>
        <w:lastRenderedPageBreak/>
        <w:t>planteado</w:t>
      </w:r>
      <w:r>
        <w:rPr>
          <w:rFonts w:ascii="Verdana" w:hAnsi="Verdana"/>
          <w:sz w:val="20"/>
          <w:szCs w:val="20"/>
        </w:rPr>
        <w:t xml:space="preserve"> por el Estado y seguido en la Resolución del Pr</w:t>
      </w:r>
      <w:r w:rsidR="00E92434">
        <w:rPr>
          <w:rFonts w:ascii="Verdana" w:hAnsi="Verdana"/>
          <w:sz w:val="20"/>
          <w:szCs w:val="20"/>
        </w:rPr>
        <w:t>e</w:t>
      </w:r>
      <w:r>
        <w:rPr>
          <w:rFonts w:ascii="Verdana" w:hAnsi="Verdana"/>
          <w:sz w:val="20"/>
          <w:szCs w:val="20"/>
        </w:rPr>
        <w:t>sidente en ejercicio</w:t>
      </w:r>
      <w:r w:rsidRPr="008B7C02">
        <w:rPr>
          <w:rFonts w:ascii="Verdana" w:hAnsi="Verdana"/>
          <w:sz w:val="20"/>
          <w:szCs w:val="20"/>
        </w:rPr>
        <w:t xml:space="preserve">, no se vinculaba a </w:t>
      </w:r>
      <w:r>
        <w:rPr>
          <w:rFonts w:ascii="Verdana" w:hAnsi="Verdana"/>
          <w:sz w:val="20"/>
          <w:szCs w:val="20"/>
        </w:rPr>
        <w:t>h</w:t>
      </w:r>
      <w:r w:rsidRPr="008B7C02">
        <w:rPr>
          <w:rFonts w:ascii="Verdana" w:hAnsi="Verdana"/>
          <w:sz w:val="20"/>
          <w:szCs w:val="20"/>
        </w:rPr>
        <w:t>echos específicos del caso</w:t>
      </w:r>
      <w:r>
        <w:rPr>
          <w:rFonts w:ascii="Verdana" w:hAnsi="Verdana"/>
          <w:sz w:val="20"/>
          <w:szCs w:val="20"/>
        </w:rPr>
        <w:t xml:space="preserve"> o relativos a las presuntas víctimas</w:t>
      </w:r>
      <w:r w:rsidRPr="008B7C02">
        <w:rPr>
          <w:rFonts w:ascii="Verdana" w:hAnsi="Verdana"/>
          <w:sz w:val="20"/>
          <w:szCs w:val="20"/>
        </w:rPr>
        <w:t>. Este Tribunal considera que lo aclarado por el Estado</w:t>
      </w:r>
      <w:r>
        <w:rPr>
          <w:rFonts w:ascii="Verdana" w:hAnsi="Verdana"/>
          <w:sz w:val="20"/>
          <w:szCs w:val="20"/>
        </w:rPr>
        <w:t xml:space="preserve"> hace necesario precisar que, sobre la base del objeto de su declaración como quedó fijado en la Resolución del Presidente en ejercicio, debe entenderse que la señora Vallejo Avendaño se referirá a la asistencia prestada a las presuntas víctimas del caso.</w:t>
      </w:r>
      <w:r w:rsidRPr="008B7C02">
        <w:rPr>
          <w:rFonts w:ascii="Verdana" w:hAnsi="Verdana"/>
          <w:sz w:val="20"/>
          <w:szCs w:val="20"/>
        </w:rPr>
        <w:t xml:space="preserve"> </w:t>
      </w:r>
      <w:r>
        <w:rPr>
          <w:rFonts w:ascii="Verdana" w:hAnsi="Verdana"/>
          <w:sz w:val="20"/>
          <w:szCs w:val="20"/>
        </w:rPr>
        <w:t xml:space="preserve">Dado lo anterior, debe modificarse la Resolución del Presidente en ejercicio sólo al efecto de que quede establecido que </w:t>
      </w:r>
      <w:r w:rsidRPr="008B7C02">
        <w:rPr>
          <w:rFonts w:ascii="Verdana" w:hAnsi="Verdana"/>
          <w:sz w:val="20"/>
          <w:szCs w:val="20"/>
        </w:rPr>
        <w:t>la señora Vallejo Avendaño</w:t>
      </w:r>
      <w:r>
        <w:rPr>
          <w:rFonts w:ascii="Verdana" w:hAnsi="Verdana"/>
          <w:sz w:val="20"/>
          <w:szCs w:val="20"/>
        </w:rPr>
        <w:t xml:space="preserve"> declarará en calidad de testigo.</w:t>
      </w:r>
    </w:p>
    <w:p w:rsidR="009959E9" w:rsidRDefault="009959E9" w:rsidP="009959E9">
      <w:pPr>
        <w:pStyle w:val="Prrafodelista"/>
        <w:numPr>
          <w:ilvl w:val="0"/>
          <w:numId w:val="0"/>
        </w:numPr>
        <w:rPr>
          <w:rFonts w:eastAsia="Arial" w:cs="Arial"/>
        </w:rPr>
      </w:pPr>
    </w:p>
    <w:p w:rsidR="009959E9" w:rsidRPr="008B7C02" w:rsidRDefault="009959E9" w:rsidP="009959E9">
      <w:pPr>
        <w:numPr>
          <w:ilvl w:val="0"/>
          <w:numId w:val="3"/>
        </w:numPr>
        <w:spacing w:after="0" w:line="240" w:lineRule="auto"/>
        <w:ind w:right="18"/>
        <w:jc w:val="both"/>
        <w:rPr>
          <w:rFonts w:ascii="Verdana" w:eastAsia="Arial" w:hAnsi="Verdana" w:cs="Arial"/>
          <w:sz w:val="20"/>
          <w:szCs w:val="20"/>
        </w:rPr>
      </w:pPr>
      <w:r>
        <w:rPr>
          <w:rFonts w:ascii="Verdana" w:eastAsia="Arial" w:hAnsi="Verdana" w:cs="Arial"/>
          <w:sz w:val="20"/>
          <w:szCs w:val="20"/>
        </w:rPr>
        <w:t>Asimismo, en atención a la precisión y modificación antedichas, es necesario fijar nuevos plazos para que el Estado haga llegar a la Corte el affidávit correspondiente a la declaración de la señora Vallejo, así como para que las representantes presenten las preguntas correspondientes. Ello se indica en la parte resolutiva de la presente Resolución (</w:t>
      </w:r>
      <w:r>
        <w:rPr>
          <w:rFonts w:ascii="Verdana" w:eastAsia="Arial" w:hAnsi="Verdana" w:cs="Arial"/>
          <w:i/>
          <w:sz w:val="20"/>
          <w:szCs w:val="20"/>
        </w:rPr>
        <w:t>infra</w:t>
      </w:r>
      <w:r w:rsidR="00EE4442">
        <w:rPr>
          <w:rFonts w:ascii="Verdana" w:eastAsia="Arial" w:hAnsi="Verdana" w:cs="Arial"/>
          <w:sz w:val="20"/>
          <w:szCs w:val="20"/>
        </w:rPr>
        <w:t xml:space="preserve"> punto resolutivo 2</w:t>
      </w:r>
      <w:r>
        <w:rPr>
          <w:rFonts w:ascii="Verdana" w:eastAsia="Arial" w:hAnsi="Verdana" w:cs="Arial"/>
          <w:sz w:val="20"/>
          <w:szCs w:val="20"/>
        </w:rPr>
        <w:t>).</w:t>
      </w:r>
    </w:p>
    <w:p w:rsidR="009959E9" w:rsidRPr="00274C9A" w:rsidRDefault="009959E9" w:rsidP="009959E9">
      <w:pPr>
        <w:pStyle w:val="Prrafodelista"/>
        <w:numPr>
          <w:ilvl w:val="0"/>
          <w:numId w:val="0"/>
        </w:numPr>
        <w:rPr>
          <w:color w:val="000000"/>
          <w:lang w:val="es-CR" w:eastAsia="es-ES"/>
        </w:rPr>
      </w:pPr>
    </w:p>
    <w:p w:rsidR="009959E9" w:rsidRPr="0003632E" w:rsidRDefault="009959E9" w:rsidP="009959E9">
      <w:pPr>
        <w:spacing w:after="0"/>
        <w:jc w:val="both"/>
        <w:rPr>
          <w:rFonts w:ascii="Verdana" w:hAnsi="Verdana" w:cs="Verdana"/>
          <w:b/>
          <w:bCs/>
          <w:sz w:val="20"/>
          <w:szCs w:val="20"/>
          <w:lang w:val="es-CR"/>
        </w:rPr>
      </w:pPr>
      <w:r w:rsidRPr="0003632E">
        <w:rPr>
          <w:rFonts w:ascii="Verdana" w:hAnsi="Verdana" w:cs="Verdana"/>
          <w:b/>
          <w:bCs/>
          <w:sz w:val="20"/>
          <w:szCs w:val="20"/>
          <w:lang w:val="es-CR"/>
        </w:rPr>
        <w:t>POR TANTO:</w:t>
      </w:r>
    </w:p>
    <w:p w:rsidR="009959E9" w:rsidRPr="0003632E" w:rsidRDefault="009959E9" w:rsidP="009959E9">
      <w:pPr>
        <w:spacing w:after="0"/>
        <w:jc w:val="both"/>
        <w:rPr>
          <w:rFonts w:ascii="Verdana" w:hAnsi="Verdana" w:cs="Verdana"/>
          <w:b/>
          <w:bCs/>
          <w:sz w:val="20"/>
          <w:szCs w:val="20"/>
          <w:lang w:val="es-CR"/>
        </w:rPr>
      </w:pPr>
    </w:p>
    <w:p w:rsidR="009959E9" w:rsidRDefault="009959E9" w:rsidP="009959E9">
      <w:pPr>
        <w:spacing w:after="0"/>
        <w:jc w:val="both"/>
        <w:rPr>
          <w:rFonts w:ascii="Verdana" w:hAnsi="Verdana" w:cs="Verdana"/>
          <w:b/>
          <w:bCs/>
          <w:sz w:val="20"/>
          <w:szCs w:val="20"/>
          <w:lang w:val="es-CR"/>
        </w:rPr>
      </w:pPr>
      <w:r w:rsidRPr="0003632E">
        <w:rPr>
          <w:rFonts w:ascii="Verdana" w:hAnsi="Verdana" w:cs="Verdana"/>
          <w:b/>
          <w:bCs/>
          <w:sz w:val="20"/>
          <w:szCs w:val="20"/>
          <w:lang w:val="es-CR"/>
        </w:rPr>
        <w:t xml:space="preserve">LA CORTE INTERAMERICANA DE DERECHOS HUMANOS, </w:t>
      </w:r>
    </w:p>
    <w:p w:rsidR="009959E9" w:rsidRDefault="009959E9" w:rsidP="009959E9">
      <w:pPr>
        <w:autoSpaceDE w:val="0"/>
        <w:autoSpaceDN w:val="0"/>
        <w:adjustRightInd w:val="0"/>
        <w:spacing w:after="0"/>
        <w:ind w:right="18"/>
        <w:jc w:val="both"/>
        <w:rPr>
          <w:rFonts w:ascii="Garamond" w:hAnsi="Garamond"/>
          <w:lang w:val="es-CR"/>
        </w:rPr>
      </w:pPr>
    </w:p>
    <w:p w:rsidR="009959E9" w:rsidRPr="005C641D" w:rsidRDefault="009959E9" w:rsidP="009959E9">
      <w:pPr>
        <w:autoSpaceDE w:val="0"/>
        <w:autoSpaceDN w:val="0"/>
        <w:adjustRightInd w:val="0"/>
        <w:spacing w:after="0"/>
        <w:ind w:right="18"/>
        <w:jc w:val="both"/>
        <w:rPr>
          <w:rFonts w:ascii="Verdana" w:hAnsi="Verdana" w:cs="Verdana"/>
          <w:b/>
          <w:bCs/>
          <w:sz w:val="20"/>
          <w:szCs w:val="20"/>
          <w:lang w:val="es-ES"/>
        </w:rPr>
      </w:pPr>
      <w:proofErr w:type="gramStart"/>
      <w:r w:rsidRPr="005C641D">
        <w:rPr>
          <w:rFonts w:ascii="Verdana" w:hAnsi="Verdana" w:cs="Verdana"/>
          <w:sz w:val="20"/>
          <w:szCs w:val="20"/>
          <w:lang w:val="es-ES"/>
        </w:rPr>
        <w:t>de</w:t>
      </w:r>
      <w:proofErr w:type="gramEnd"/>
      <w:r w:rsidRPr="005C641D">
        <w:rPr>
          <w:rFonts w:ascii="Verdana" w:hAnsi="Verdana" w:cs="Verdana"/>
          <w:sz w:val="20"/>
          <w:szCs w:val="20"/>
          <w:lang w:val="es-ES"/>
        </w:rPr>
        <w:t xml:space="preserve"> conformidad con </w:t>
      </w:r>
      <w:r>
        <w:rPr>
          <w:rFonts w:ascii="Verdana" w:hAnsi="Verdana" w:cs="Verdana"/>
          <w:sz w:val="20"/>
          <w:szCs w:val="20"/>
          <w:lang w:val="es-ES"/>
        </w:rPr>
        <w:t>e</w:t>
      </w:r>
      <w:r w:rsidRPr="005C641D">
        <w:rPr>
          <w:rFonts w:ascii="Verdana" w:hAnsi="Verdana" w:cs="Verdana"/>
          <w:sz w:val="20"/>
          <w:szCs w:val="20"/>
          <w:lang w:val="es-ES"/>
        </w:rPr>
        <w:t xml:space="preserve">l artículo 25.2 del Estatuto de la Corte y con los </w:t>
      </w:r>
      <w:r w:rsidRPr="005C641D">
        <w:rPr>
          <w:rFonts w:ascii="Verdana" w:hAnsi="Verdana" w:cs="Verdana"/>
          <w:sz w:val="20"/>
          <w:szCs w:val="20"/>
        </w:rPr>
        <w:t xml:space="preserve">artículos 31.2, </w:t>
      </w:r>
      <w:r>
        <w:rPr>
          <w:rFonts w:ascii="Verdana" w:hAnsi="Verdana" w:cs="Verdana"/>
          <w:sz w:val="20"/>
          <w:szCs w:val="20"/>
        </w:rPr>
        <w:t>y</w:t>
      </w:r>
      <w:r w:rsidRPr="00E30617">
        <w:rPr>
          <w:rFonts w:ascii="Verdana" w:hAnsi="Verdana" w:cs="Verdana"/>
          <w:sz w:val="20"/>
          <w:szCs w:val="20"/>
        </w:rPr>
        <w:t xml:space="preserve"> 50</w:t>
      </w:r>
      <w:r w:rsidRPr="005C641D">
        <w:rPr>
          <w:rFonts w:ascii="Verdana" w:hAnsi="Verdana" w:cs="Verdana"/>
          <w:sz w:val="20"/>
          <w:szCs w:val="20"/>
        </w:rPr>
        <w:t xml:space="preserve"> del Reglamento</w:t>
      </w:r>
      <w:r w:rsidRPr="005C641D">
        <w:rPr>
          <w:rFonts w:ascii="Verdana" w:hAnsi="Verdana" w:cs="Verdana"/>
          <w:sz w:val="20"/>
          <w:szCs w:val="20"/>
          <w:lang w:val="es-ES"/>
        </w:rPr>
        <w:t xml:space="preserve">, </w:t>
      </w:r>
    </w:p>
    <w:p w:rsidR="009959E9" w:rsidRPr="005C641D" w:rsidRDefault="009959E9" w:rsidP="009959E9">
      <w:pPr>
        <w:autoSpaceDE w:val="0"/>
        <w:autoSpaceDN w:val="0"/>
        <w:adjustRightInd w:val="0"/>
        <w:spacing w:after="0"/>
        <w:ind w:right="18"/>
        <w:jc w:val="both"/>
        <w:rPr>
          <w:rFonts w:ascii="Verdana" w:hAnsi="Verdana" w:cs="Verdana"/>
          <w:b/>
          <w:bCs/>
          <w:sz w:val="20"/>
          <w:szCs w:val="20"/>
          <w:lang w:val="es-ES"/>
        </w:rPr>
      </w:pPr>
    </w:p>
    <w:p w:rsidR="009959E9" w:rsidRPr="005C641D" w:rsidRDefault="009959E9" w:rsidP="009959E9">
      <w:pPr>
        <w:autoSpaceDE w:val="0"/>
        <w:autoSpaceDN w:val="0"/>
        <w:adjustRightInd w:val="0"/>
        <w:spacing w:after="0"/>
        <w:ind w:right="18"/>
        <w:jc w:val="both"/>
        <w:rPr>
          <w:rFonts w:ascii="Verdana" w:hAnsi="Verdana" w:cs="Verdana"/>
          <w:b/>
          <w:bCs/>
          <w:sz w:val="20"/>
          <w:szCs w:val="20"/>
          <w:lang w:val="es-ES"/>
        </w:rPr>
      </w:pPr>
      <w:r w:rsidRPr="005C641D">
        <w:rPr>
          <w:rFonts w:ascii="Verdana" w:hAnsi="Verdana" w:cs="Verdana"/>
          <w:b/>
          <w:bCs/>
          <w:sz w:val="20"/>
          <w:szCs w:val="20"/>
          <w:lang w:val="es-ES"/>
        </w:rPr>
        <w:t>RESUELVE:</w:t>
      </w:r>
    </w:p>
    <w:p w:rsidR="009959E9" w:rsidRPr="005C641D" w:rsidRDefault="009959E9" w:rsidP="009959E9">
      <w:pPr>
        <w:autoSpaceDE w:val="0"/>
        <w:autoSpaceDN w:val="0"/>
        <w:adjustRightInd w:val="0"/>
        <w:spacing w:after="0"/>
        <w:ind w:right="18"/>
        <w:jc w:val="both"/>
        <w:rPr>
          <w:rFonts w:ascii="Verdana" w:hAnsi="Verdana" w:cs="Verdana"/>
          <w:sz w:val="20"/>
          <w:szCs w:val="20"/>
          <w:lang w:val="es-ES"/>
        </w:rPr>
      </w:pPr>
    </w:p>
    <w:p w:rsidR="009959E9" w:rsidRDefault="009959E9" w:rsidP="009959E9">
      <w:pPr>
        <w:pStyle w:val="Prrafodelista"/>
        <w:numPr>
          <w:ilvl w:val="0"/>
          <w:numId w:val="5"/>
        </w:numPr>
        <w:ind w:left="0" w:right="18" w:firstLine="0"/>
        <w:rPr>
          <w:lang w:val="es-CR"/>
        </w:rPr>
      </w:pPr>
      <w:r w:rsidRPr="008B7C02">
        <w:t xml:space="preserve">Desestimar el recurso interpuesto por las representantes, y en consecuencia, ratificar lo resuelto por la Resolución del Presidente de 26 de mayo de 2015 </w:t>
      </w:r>
      <w:r w:rsidR="00213FFC" w:rsidRPr="008B7C02">
        <w:t>en ejercicio</w:t>
      </w:r>
      <w:r w:rsidR="00213FFC">
        <w:t xml:space="preserve"> para el presente caso,</w:t>
      </w:r>
      <w:r w:rsidR="00213FFC" w:rsidRPr="008B7C02">
        <w:t xml:space="preserve"> </w:t>
      </w:r>
      <w:r w:rsidRPr="008B7C02">
        <w:t xml:space="preserve">en cuanto a convocar </w:t>
      </w:r>
      <w:r w:rsidRPr="008B7C02">
        <w:rPr>
          <w:lang w:val="es-CR"/>
        </w:rPr>
        <w:t>al señor Michael Reed Hurtado a rendir un dictamen pericial por affidávit y convocar al señor Carlos Rodríguez Mejía a rendir un dictamen pericial en audiencia pública.</w:t>
      </w:r>
    </w:p>
    <w:p w:rsidR="00D333CC" w:rsidRDefault="00D333CC">
      <w:pPr>
        <w:pStyle w:val="Prrafodelista"/>
        <w:numPr>
          <w:ilvl w:val="0"/>
          <w:numId w:val="0"/>
        </w:numPr>
        <w:rPr>
          <w:lang w:val="es-CR"/>
        </w:rPr>
      </w:pPr>
    </w:p>
    <w:p w:rsidR="009959E9" w:rsidRPr="00C61C97" w:rsidRDefault="009959E9" w:rsidP="00C61C97">
      <w:pPr>
        <w:pStyle w:val="Prrafodelista"/>
        <w:numPr>
          <w:ilvl w:val="0"/>
          <w:numId w:val="5"/>
        </w:numPr>
        <w:ind w:left="0" w:right="18" w:firstLine="0"/>
        <w:rPr>
          <w:lang w:val="es-CR"/>
        </w:rPr>
      </w:pPr>
      <w:r w:rsidRPr="008B7C02">
        <w:rPr>
          <w:lang w:val="es-CR"/>
        </w:rPr>
        <w:t xml:space="preserve">Modificar, en lo pertinente, el punto resolutivo tercero de la Resolución del Presidente </w:t>
      </w:r>
      <w:r w:rsidR="00213FFC">
        <w:rPr>
          <w:lang w:val="es-CR"/>
        </w:rPr>
        <w:t xml:space="preserve">de </w:t>
      </w:r>
      <w:r w:rsidRPr="008B7C02">
        <w:rPr>
          <w:lang w:val="es-CR"/>
        </w:rPr>
        <w:t>26 de mayo de 2015</w:t>
      </w:r>
      <w:r w:rsidR="00213FFC">
        <w:rPr>
          <w:lang w:val="es-CR"/>
        </w:rPr>
        <w:t xml:space="preserve"> en ejercicio para el presente caso</w:t>
      </w:r>
      <w:r w:rsidRPr="008B7C02">
        <w:rPr>
          <w:lang w:val="es-CR"/>
        </w:rPr>
        <w:t xml:space="preserve">, convocando a la señora </w:t>
      </w:r>
      <w:r w:rsidRPr="008B7C02">
        <w:rPr>
          <w:iCs/>
          <w:lang w:val="es-CR"/>
        </w:rPr>
        <w:t>Claudia Patricia Vallejo Avendaño a declarar</w:t>
      </w:r>
      <w:r>
        <w:rPr>
          <w:iCs/>
          <w:lang w:val="es-CR"/>
        </w:rPr>
        <w:t>, mediante affid</w:t>
      </w:r>
      <w:r w:rsidR="00C61C97">
        <w:rPr>
          <w:iCs/>
          <w:lang w:val="es-CR"/>
        </w:rPr>
        <w:t>á</w:t>
      </w:r>
      <w:r>
        <w:rPr>
          <w:iCs/>
          <w:lang w:val="es-CR"/>
        </w:rPr>
        <w:t>vit,</w:t>
      </w:r>
      <w:r w:rsidRPr="008B7C02">
        <w:rPr>
          <w:iCs/>
          <w:lang w:val="es-CR"/>
        </w:rPr>
        <w:t xml:space="preserve"> como testigo</w:t>
      </w:r>
      <w:r w:rsidR="00C61C97">
        <w:t xml:space="preserve">, precisando que el objeto de su declaración </w:t>
      </w:r>
      <w:r w:rsidR="00654F00">
        <w:t xml:space="preserve">versa sobre </w:t>
      </w:r>
      <w:r w:rsidR="00C61C97">
        <w:t>“la alegada asistencia prestada a las presuntas víctimas del caso con respecto a su situación en la Comuna 13”.</w:t>
      </w:r>
      <w:r w:rsidR="00C61C97">
        <w:rPr>
          <w:lang w:val="es-CR"/>
        </w:rPr>
        <w:t xml:space="preserve"> </w:t>
      </w:r>
    </w:p>
    <w:p w:rsidR="009959E9" w:rsidRPr="008B7C02" w:rsidRDefault="009959E9" w:rsidP="009959E9">
      <w:pPr>
        <w:pStyle w:val="Prrafodelista"/>
        <w:numPr>
          <w:ilvl w:val="0"/>
          <w:numId w:val="0"/>
        </w:numPr>
        <w:ind w:right="18"/>
        <w:rPr>
          <w:lang w:val="es-CR"/>
        </w:rPr>
      </w:pPr>
    </w:p>
    <w:p w:rsidR="009959E9" w:rsidRPr="008B7C02" w:rsidRDefault="009959E9" w:rsidP="009959E9">
      <w:pPr>
        <w:pStyle w:val="Prrafodelista"/>
        <w:numPr>
          <w:ilvl w:val="0"/>
          <w:numId w:val="5"/>
        </w:numPr>
        <w:ind w:left="0" w:right="18" w:firstLine="0"/>
      </w:pPr>
      <w:r w:rsidRPr="008B7C02">
        <w:rPr>
          <w:lang w:val="es-CR"/>
        </w:rPr>
        <w:t xml:space="preserve">Requerir a las representantes que remitan, de considerarlo pertinente, en el plazo improrrogable que vence el </w:t>
      </w:r>
      <w:r w:rsidR="00035568">
        <w:rPr>
          <w:lang w:val="es-CR"/>
        </w:rPr>
        <w:t>16</w:t>
      </w:r>
      <w:r w:rsidRPr="008B7C02">
        <w:rPr>
          <w:lang w:val="es-CR"/>
        </w:rPr>
        <w:t xml:space="preserve"> de junio de 2015, las preguntas que estimen pertinentes formular a través de la Corte Interamericana a la</w:t>
      </w:r>
      <w:r>
        <w:rPr>
          <w:lang w:val="es-CR"/>
        </w:rPr>
        <w:t xml:space="preserve"> testigo </w:t>
      </w:r>
      <w:r w:rsidRPr="008B7C02">
        <w:rPr>
          <w:iCs/>
          <w:lang w:val="es-CR"/>
        </w:rPr>
        <w:t>Claudia Patricia Vallejo Avendaño</w:t>
      </w:r>
      <w:r>
        <w:rPr>
          <w:iCs/>
          <w:lang w:val="es-CR"/>
        </w:rPr>
        <w:t>.</w:t>
      </w:r>
      <w:r w:rsidR="00035568" w:rsidRPr="00035568">
        <w:rPr>
          <w:lang w:val="es-CR"/>
        </w:rPr>
        <w:t xml:space="preserve"> </w:t>
      </w:r>
      <w:r w:rsidR="00035568" w:rsidRPr="00C61C97">
        <w:rPr>
          <w:lang w:val="es-CR"/>
        </w:rPr>
        <w:t>La declaración deberá ser presentada</w:t>
      </w:r>
      <w:r w:rsidR="00035568">
        <w:rPr>
          <w:lang w:val="es-CR"/>
        </w:rPr>
        <w:t xml:space="preserve"> por el Estado</w:t>
      </w:r>
      <w:r w:rsidR="00035568" w:rsidRPr="00C61C97">
        <w:rPr>
          <w:lang w:val="es-CR"/>
        </w:rPr>
        <w:t xml:space="preserve"> al Tribunal en el pla</w:t>
      </w:r>
      <w:r w:rsidR="00035568">
        <w:rPr>
          <w:lang w:val="es-CR"/>
        </w:rPr>
        <w:t xml:space="preserve">zo improrrogable que vence el 22 </w:t>
      </w:r>
      <w:r w:rsidR="00035568" w:rsidRPr="00C61C97">
        <w:rPr>
          <w:lang w:val="es-CR"/>
        </w:rPr>
        <w:t>de junio de 2015.</w:t>
      </w:r>
    </w:p>
    <w:p w:rsidR="009959E9" w:rsidRPr="008B7C02" w:rsidRDefault="009959E9" w:rsidP="009959E9">
      <w:pPr>
        <w:pStyle w:val="Prrafodelista"/>
        <w:numPr>
          <w:ilvl w:val="0"/>
          <w:numId w:val="0"/>
        </w:numPr>
        <w:ind w:right="18"/>
      </w:pPr>
    </w:p>
    <w:p w:rsidR="009959E9" w:rsidRDefault="009959E9" w:rsidP="009959E9">
      <w:pPr>
        <w:pStyle w:val="Prrafodelista"/>
        <w:numPr>
          <w:ilvl w:val="0"/>
          <w:numId w:val="5"/>
        </w:numPr>
        <w:ind w:left="0" w:right="18" w:firstLine="0"/>
      </w:pPr>
      <w:r w:rsidRPr="008B7C02">
        <w:rPr>
          <w:color w:val="000000"/>
          <w:lang w:val="es-CR" w:eastAsia="es-ES"/>
        </w:rPr>
        <w:t>Disponer que la Secretaría de la Corte Interamericana notifique la presente Resolución a la Comisión Interamericana de Derechos Humanos, a las representantes de las presuntas víctimas y al Estado de Colombia</w:t>
      </w:r>
      <w:r>
        <w:rPr>
          <w:color w:val="000000"/>
          <w:lang w:val="es-CR" w:eastAsia="es-ES"/>
        </w:rPr>
        <w:t>.</w:t>
      </w:r>
      <w:r>
        <w:t xml:space="preserve"> </w:t>
      </w:r>
    </w:p>
    <w:p w:rsidR="004C3C32" w:rsidRDefault="004C3C32"/>
    <w:p w:rsidR="008929D4" w:rsidRDefault="008929D4"/>
    <w:p w:rsidR="00F5169E" w:rsidRDefault="00F5169E" w:rsidP="00F5169E">
      <w:pPr>
        <w:jc w:val="both"/>
        <w:rPr>
          <w:rFonts w:ascii="Verdana" w:hAnsi="Verdana"/>
          <w:sz w:val="20"/>
          <w:lang w:val="es-CR"/>
        </w:rPr>
      </w:pPr>
      <w:r w:rsidRPr="00355747">
        <w:rPr>
          <w:rFonts w:ascii="Verdana" w:hAnsi="Verdana"/>
          <w:sz w:val="20"/>
          <w:lang w:val="es-CR"/>
        </w:rPr>
        <w:t xml:space="preserve">Resolución de la Corte Interamericana de Derechos Humanos, caso </w:t>
      </w:r>
      <w:proofErr w:type="spellStart"/>
      <w:r w:rsidRPr="00355747">
        <w:rPr>
          <w:rFonts w:ascii="Verdana" w:hAnsi="Verdana"/>
          <w:sz w:val="20"/>
          <w:lang w:val="es-CR"/>
        </w:rPr>
        <w:t>Yarce</w:t>
      </w:r>
      <w:proofErr w:type="spellEnd"/>
      <w:r w:rsidRPr="00355747">
        <w:rPr>
          <w:rFonts w:ascii="Verdana" w:hAnsi="Verdana"/>
          <w:sz w:val="20"/>
          <w:lang w:val="es-CR"/>
        </w:rPr>
        <w:t xml:space="preserve"> y otras Vs. Colombia.</w:t>
      </w:r>
    </w:p>
    <w:p w:rsidR="00F5169E" w:rsidRDefault="00F5169E" w:rsidP="00F5169E">
      <w:pPr>
        <w:jc w:val="both"/>
        <w:rPr>
          <w:rFonts w:ascii="Verdana" w:hAnsi="Verdana"/>
          <w:sz w:val="20"/>
          <w:lang w:val="es-CR"/>
        </w:rPr>
      </w:pPr>
    </w:p>
    <w:p w:rsidR="00F5169E" w:rsidRDefault="00F5169E" w:rsidP="00F5169E">
      <w:pPr>
        <w:spacing w:after="0"/>
        <w:jc w:val="both"/>
        <w:rPr>
          <w:rFonts w:ascii="Verdana" w:hAnsi="Verdana"/>
          <w:sz w:val="20"/>
          <w:lang w:val="es-CR"/>
        </w:rPr>
      </w:pPr>
    </w:p>
    <w:p w:rsidR="00F5169E" w:rsidRDefault="00F5169E" w:rsidP="00F5169E">
      <w:pPr>
        <w:spacing w:after="0"/>
        <w:jc w:val="both"/>
        <w:rPr>
          <w:rFonts w:ascii="Verdana" w:hAnsi="Verdana"/>
          <w:sz w:val="20"/>
          <w:lang w:val="es-CR"/>
        </w:rPr>
      </w:pPr>
    </w:p>
    <w:p w:rsidR="00F5169E" w:rsidRDefault="00F5169E" w:rsidP="00F5169E">
      <w:pPr>
        <w:spacing w:after="0"/>
        <w:jc w:val="center"/>
        <w:rPr>
          <w:rFonts w:ascii="Verdana" w:hAnsi="Verdana"/>
          <w:sz w:val="20"/>
          <w:lang w:val="es-CR"/>
        </w:rPr>
      </w:pPr>
      <w:r>
        <w:rPr>
          <w:rFonts w:ascii="Verdana" w:hAnsi="Verdana"/>
          <w:sz w:val="20"/>
          <w:lang w:val="es-ES"/>
        </w:rPr>
        <w:t>Roberto F. Caldas</w:t>
      </w:r>
    </w:p>
    <w:p w:rsidR="00F5169E" w:rsidRPr="00370276" w:rsidRDefault="00F5169E" w:rsidP="00F5169E">
      <w:pPr>
        <w:spacing w:after="0"/>
        <w:jc w:val="center"/>
        <w:rPr>
          <w:rFonts w:ascii="Verdana" w:hAnsi="Verdana"/>
          <w:sz w:val="20"/>
          <w:lang w:val="es-ES"/>
        </w:rPr>
      </w:pPr>
      <w:r>
        <w:rPr>
          <w:rFonts w:ascii="Verdana" w:hAnsi="Verdana"/>
          <w:sz w:val="20"/>
          <w:lang w:val="es-ES"/>
        </w:rPr>
        <w:t>Presidente en ejercicio</w:t>
      </w:r>
    </w:p>
    <w:p w:rsidR="00F5169E" w:rsidRDefault="00F5169E" w:rsidP="00F5169E">
      <w:pPr>
        <w:spacing w:after="0"/>
        <w:rPr>
          <w:rFonts w:ascii="Verdana" w:hAnsi="Verdana"/>
          <w:sz w:val="20"/>
          <w:lang w:val="es-ES"/>
        </w:rPr>
      </w:pPr>
    </w:p>
    <w:p w:rsidR="00F5169E" w:rsidRDefault="00F5169E" w:rsidP="00F5169E">
      <w:pPr>
        <w:spacing w:after="0"/>
        <w:rPr>
          <w:rFonts w:ascii="Verdana" w:hAnsi="Verdana"/>
          <w:sz w:val="20"/>
          <w:lang w:val="es-ES"/>
        </w:rPr>
      </w:pPr>
    </w:p>
    <w:p w:rsidR="00F5169E" w:rsidRDefault="00F5169E" w:rsidP="00F5169E">
      <w:pPr>
        <w:spacing w:after="0"/>
        <w:rPr>
          <w:rFonts w:ascii="Verdana" w:hAnsi="Verdana"/>
          <w:sz w:val="20"/>
          <w:lang w:val="es-ES"/>
        </w:rPr>
      </w:pPr>
    </w:p>
    <w:p w:rsidR="00F5169E" w:rsidRDefault="00F5169E" w:rsidP="00F5169E">
      <w:pPr>
        <w:spacing w:after="0"/>
        <w:rPr>
          <w:rFonts w:ascii="Verdana" w:hAnsi="Verdana"/>
          <w:sz w:val="20"/>
          <w:lang w:val="es-ES"/>
        </w:rPr>
      </w:pPr>
    </w:p>
    <w:p w:rsidR="00F5169E" w:rsidRDefault="00F5169E" w:rsidP="00F5169E">
      <w:pPr>
        <w:spacing w:after="0"/>
        <w:rPr>
          <w:rFonts w:ascii="Verdana" w:hAnsi="Verdana"/>
          <w:sz w:val="20"/>
          <w:lang w:val="es-ES"/>
        </w:rPr>
      </w:pPr>
      <w:r>
        <w:rPr>
          <w:rFonts w:ascii="Verdana" w:hAnsi="Verdana"/>
          <w:sz w:val="20"/>
          <w:lang w:val="es-ES"/>
        </w:rPr>
        <w:t>Manuel E. Ventura Robles</w:t>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t xml:space="preserve">Alberto Pérez </w:t>
      </w:r>
      <w:proofErr w:type="spellStart"/>
      <w:r>
        <w:rPr>
          <w:rFonts w:ascii="Verdana" w:hAnsi="Verdana"/>
          <w:sz w:val="20"/>
          <w:lang w:val="es-ES"/>
        </w:rPr>
        <w:t>Pérez</w:t>
      </w:r>
      <w:proofErr w:type="spellEnd"/>
      <w:r>
        <w:rPr>
          <w:rFonts w:ascii="Verdana" w:hAnsi="Verdana"/>
          <w:sz w:val="20"/>
          <w:lang w:val="es-ES"/>
        </w:rPr>
        <w:tab/>
      </w:r>
      <w:r>
        <w:rPr>
          <w:rFonts w:ascii="Verdana" w:hAnsi="Verdana"/>
          <w:sz w:val="20"/>
          <w:lang w:val="es-ES"/>
        </w:rPr>
        <w:tab/>
      </w:r>
    </w:p>
    <w:p w:rsidR="00F5169E" w:rsidRDefault="00F5169E" w:rsidP="00F5169E">
      <w:pPr>
        <w:spacing w:after="0"/>
        <w:jc w:val="both"/>
        <w:rPr>
          <w:rFonts w:ascii="Verdana" w:hAnsi="Verdana"/>
          <w:sz w:val="20"/>
          <w:lang w:val="es-ES"/>
        </w:rPr>
      </w:pPr>
    </w:p>
    <w:p w:rsidR="00F5169E" w:rsidRDefault="00F5169E" w:rsidP="00F5169E">
      <w:pPr>
        <w:spacing w:after="0"/>
        <w:jc w:val="both"/>
        <w:rPr>
          <w:rFonts w:ascii="Verdana" w:hAnsi="Verdana"/>
          <w:sz w:val="20"/>
          <w:lang w:val="es-ES"/>
        </w:rPr>
      </w:pPr>
    </w:p>
    <w:p w:rsidR="00F5169E" w:rsidRDefault="00F5169E" w:rsidP="00F5169E">
      <w:pPr>
        <w:spacing w:after="0"/>
        <w:jc w:val="both"/>
        <w:rPr>
          <w:rFonts w:ascii="Verdana" w:hAnsi="Verdana"/>
          <w:sz w:val="20"/>
          <w:lang w:val="es-ES"/>
        </w:rPr>
      </w:pPr>
    </w:p>
    <w:p w:rsidR="00F5169E" w:rsidRDefault="00F5169E" w:rsidP="00F5169E">
      <w:pPr>
        <w:spacing w:after="0"/>
        <w:jc w:val="both"/>
        <w:rPr>
          <w:rFonts w:ascii="Verdana" w:hAnsi="Verdana"/>
          <w:sz w:val="20"/>
          <w:lang w:val="es-ES"/>
        </w:rPr>
      </w:pPr>
    </w:p>
    <w:p w:rsidR="00F5169E" w:rsidRDefault="00F5169E" w:rsidP="00F5169E">
      <w:pPr>
        <w:spacing w:after="0"/>
        <w:jc w:val="both"/>
        <w:rPr>
          <w:rFonts w:ascii="Verdana" w:hAnsi="Verdana"/>
          <w:sz w:val="20"/>
          <w:lang w:val="es-ES"/>
        </w:rPr>
      </w:pPr>
    </w:p>
    <w:p w:rsidR="00F5169E" w:rsidRDefault="00F5169E" w:rsidP="00F5169E">
      <w:pPr>
        <w:spacing w:after="0"/>
        <w:jc w:val="both"/>
        <w:rPr>
          <w:rFonts w:ascii="Verdana" w:hAnsi="Verdana"/>
          <w:sz w:val="20"/>
          <w:lang w:val="es-ES"/>
        </w:rPr>
      </w:pPr>
      <w:r>
        <w:rPr>
          <w:rFonts w:ascii="Verdana" w:hAnsi="Verdana"/>
          <w:sz w:val="20"/>
          <w:lang w:val="es-ES"/>
        </w:rPr>
        <w:t xml:space="preserve">Diego García-Sayán  </w:t>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t>Eduardo Vio Grossi</w:t>
      </w:r>
    </w:p>
    <w:p w:rsidR="00F5169E" w:rsidRDefault="00F5169E" w:rsidP="00F5169E">
      <w:pPr>
        <w:spacing w:after="0"/>
        <w:jc w:val="both"/>
        <w:rPr>
          <w:rFonts w:ascii="Verdana" w:hAnsi="Verdana"/>
          <w:sz w:val="20"/>
          <w:lang w:val="es-ES"/>
        </w:rPr>
      </w:pPr>
    </w:p>
    <w:p w:rsidR="00F5169E" w:rsidRDefault="00F5169E" w:rsidP="00F5169E">
      <w:pPr>
        <w:spacing w:after="0"/>
        <w:jc w:val="both"/>
        <w:rPr>
          <w:rFonts w:ascii="Verdana" w:hAnsi="Verdana"/>
          <w:sz w:val="20"/>
          <w:lang w:val="es-ES"/>
        </w:rPr>
      </w:pPr>
    </w:p>
    <w:p w:rsidR="00F5169E" w:rsidRDefault="00F5169E" w:rsidP="00F5169E">
      <w:pPr>
        <w:spacing w:after="0"/>
        <w:jc w:val="both"/>
        <w:rPr>
          <w:rFonts w:ascii="Verdana" w:hAnsi="Verdana"/>
          <w:sz w:val="20"/>
          <w:lang w:val="es-ES"/>
        </w:rPr>
      </w:pPr>
    </w:p>
    <w:p w:rsidR="00F5169E" w:rsidRDefault="00F5169E" w:rsidP="00F5169E">
      <w:pPr>
        <w:spacing w:after="0"/>
        <w:jc w:val="both"/>
        <w:rPr>
          <w:rFonts w:ascii="Verdana" w:hAnsi="Verdana"/>
          <w:sz w:val="20"/>
          <w:lang w:val="es-ES"/>
        </w:rPr>
      </w:pPr>
    </w:p>
    <w:p w:rsidR="00F5169E" w:rsidRDefault="00F5169E" w:rsidP="00F5169E">
      <w:pPr>
        <w:spacing w:after="0"/>
        <w:jc w:val="both"/>
        <w:rPr>
          <w:rFonts w:ascii="Verdana" w:hAnsi="Verdana"/>
          <w:sz w:val="20"/>
          <w:lang w:val="es-ES"/>
        </w:rPr>
      </w:pPr>
    </w:p>
    <w:p w:rsidR="00F5169E" w:rsidRPr="00370276" w:rsidRDefault="00F5169E" w:rsidP="00F5169E">
      <w:pPr>
        <w:spacing w:after="0"/>
        <w:jc w:val="center"/>
        <w:rPr>
          <w:rFonts w:ascii="Verdana" w:hAnsi="Verdana"/>
          <w:sz w:val="20"/>
          <w:lang w:val="es-ES"/>
        </w:rPr>
      </w:pPr>
      <w:r>
        <w:rPr>
          <w:rFonts w:ascii="Verdana" w:hAnsi="Verdana"/>
          <w:sz w:val="20"/>
          <w:lang w:val="es-ES"/>
        </w:rPr>
        <w:t xml:space="preserve">Eduardo Ferrer Mac-Gregor </w:t>
      </w:r>
      <w:proofErr w:type="spellStart"/>
      <w:r>
        <w:rPr>
          <w:rFonts w:ascii="Verdana" w:hAnsi="Verdana"/>
          <w:sz w:val="20"/>
          <w:lang w:val="es-ES"/>
        </w:rPr>
        <w:t>Poisot</w:t>
      </w:r>
      <w:proofErr w:type="spellEnd"/>
    </w:p>
    <w:p w:rsidR="00F5169E" w:rsidRPr="007C06A1" w:rsidRDefault="00F5169E" w:rsidP="00F5169E">
      <w:pPr>
        <w:spacing w:after="0"/>
        <w:rPr>
          <w:rFonts w:ascii="Verdana" w:hAnsi="Verdana"/>
          <w:sz w:val="20"/>
          <w:lang w:val="es-ES"/>
        </w:rPr>
      </w:pPr>
    </w:p>
    <w:p w:rsidR="00F5169E" w:rsidRDefault="00F5169E" w:rsidP="00F5169E">
      <w:pPr>
        <w:spacing w:after="0"/>
        <w:rPr>
          <w:rFonts w:ascii="Verdana" w:hAnsi="Verdana"/>
          <w:sz w:val="20"/>
          <w:lang w:val="es-CR"/>
        </w:rPr>
      </w:pPr>
    </w:p>
    <w:p w:rsidR="00F5169E" w:rsidRPr="00154412" w:rsidRDefault="00F5169E" w:rsidP="00F5169E">
      <w:pPr>
        <w:spacing w:after="0"/>
        <w:rPr>
          <w:rFonts w:ascii="Verdana" w:hAnsi="Verdana"/>
          <w:sz w:val="20"/>
          <w:lang w:val="es-CR"/>
        </w:rPr>
      </w:pPr>
    </w:p>
    <w:p w:rsidR="00F5169E" w:rsidRDefault="00F5169E" w:rsidP="00F5169E">
      <w:pPr>
        <w:spacing w:after="0"/>
        <w:jc w:val="both"/>
        <w:rPr>
          <w:rFonts w:ascii="Verdana" w:hAnsi="Verdana"/>
          <w:sz w:val="20"/>
          <w:lang w:val="es-CR"/>
        </w:rPr>
      </w:pPr>
    </w:p>
    <w:p w:rsidR="00F5169E" w:rsidRDefault="00F5169E" w:rsidP="00F5169E">
      <w:pPr>
        <w:spacing w:after="0"/>
        <w:jc w:val="both"/>
        <w:rPr>
          <w:rFonts w:ascii="Verdana" w:hAnsi="Verdana"/>
          <w:sz w:val="20"/>
          <w:lang w:val="es-CR"/>
        </w:rPr>
      </w:pPr>
    </w:p>
    <w:p w:rsidR="00F5169E" w:rsidRDefault="00F5169E" w:rsidP="00F5169E">
      <w:pPr>
        <w:spacing w:after="0"/>
        <w:jc w:val="both"/>
        <w:rPr>
          <w:rFonts w:ascii="Verdana" w:hAnsi="Verdana"/>
          <w:sz w:val="20"/>
          <w:lang w:val="es-CR"/>
        </w:rPr>
      </w:pPr>
    </w:p>
    <w:p w:rsidR="00F5169E" w:rsidRPr="00370276" w:rsidRDefault="00F5169E" w:rsidP="00F5169E">
      <w:pPr>
        <w:spacing w:after="0"/>
        <w:jc w:val="center"/>
        <w:rPr>
          <w:rFonts w:ascii="Verdana" w:hAnsi="Verdana"/>
          <w:sz w:val="20"/>
          <w:lang w:val="es-ES"/>
        </w:rPr>
      </w:pPr>
      <w:r w:rsidRPr="00370276">
        <w:rPr>
          <w:rFonts w:ascii="Verdana" w:hAnsi="Verdana"/>
          <w:sz w:val="20"/>
          <w:lang w:val="es-ES"/>
        </w:rPr>
        <w:t>Pablo Saavedra Ales</w:t>
      </w:r>
      <w:r>
        <w:rPr>
          <w:rFonts w:ascii="Verdana" w:hAnsi="Verdana"/>
          <w:sz w:val="20"/>
          <w:lang w:val="es-ES"/>
        </w:rPr>
        <w:t>s</w:t>
      </w:r>
      <w:r w:rsidRPr="00370276">
        <w:rPr>
          <w:rFonts w:ascii="Verdana" w:hAnsi="Verdana"/>
          <w:sz w:val="20"/>
          <w:lang w:val="es-ES"/>
        </w:rPr>
        <w:t>andri</w:t>
      </w:r>
    </w:p>
    <w:p w:rsidR="00F5169E" w:rsidRPr="00370276" w:rsidRDefault="00F5169E" w:rsidP="00F5169E">
      <w:pPr>
        <w:spacing w:after="0"/>
        <w:jc w:val="center"/>
        <w:rPr>
          <w:rFonts w:ascii="Verdana" w:hAnsi="Verdana"/>
          <w:sz w:val="20"/>
          <w:lang w:val="es-ES"/>
        </w:rPr>
      </w:pPr>
      <w:r>
        <w:rPr>
          <w:rFonts w:ascii="Verdana" w:hAnsi="Verdana"/>
          <w:sz w:val="20"/>
          <w:lang w:val="es-ES"/>
        </w:rPr>
        <w:t>S</w:t>
      </w:r>
      <w:r w:rsidRPr="00370276">
        <w:rPr>
          <w:rFonts w:ascii="Verdana" w:hAnsi="Verdana"/>
          <w:sz w:val="20"/>
          <w:lang w:val="es-ES"/>
        </w:rPr>
        <w:t>ecretario</w:t>
      </w:r>
    </w:p>
    <w:p w:rsidR="00F5169E" w:rsidRPr="00370276" w:rsidRDefault="00F5169E" w:rsidP="00F5169E">
      <w:pPr>
        <w:spacing w:after="0"/>
        <w:rPr>
          <w:rFonts w:ascii="Verdana" w:hAnsi="Verdana"/>
          <w:sz w:val="20"/>
          <w:lang w:val="es-ES"/>
        </w:rPr>
      </w:pPr>
    </w:p>
    <w:p w:rsidR="00F5169E" w:rsidRDefault="00F5169E" w:rsidP="00F5169E">
      <w:pPr>
        <w:pStyle w:val="Textonotapie"/>
        <w:rPr>
          <w:lang w:val="es-ES"/>
        </w:rPr>
      </w:pPr>
    </w:p>
    <w:p w:rsidR="00F5169E" w:rsidRPr="00370276" w:rsidRDefault="00F5169E" w:rsidP="00F5169E">
      <w:pPr>
        <w:pStyle w:val="Textonotapie"/>
        <w:rPr>
          <w:lang w:val="es-ES"/>
        </w:rPr>
      </w:pPr>
    </w:p>
    <w:p w:rsidR="00F5169E" w:rsidRPr="00370276" w:rsidRDefault="00F5169E" w:rsidP="00F5169E">
      <w:pPr>
        <w:spacing w:after="0"/>
        <w:jc w:val="both"/>
        <w:rPr>
          <w:rFonts w:ascii="Verdana" w:hAnsi="Verdana"/>
          <w:sz w:val="20"/>
          <w:lang w:val="es-ES"/>
        </w:rPr>
      </w:pPr>
      <w:r w:rsidRPr="00370276">
        <w:rPr>
          <w:rFonts w:ascii="Verdana" w:hAnsi="Verdana"/>
          <w:sz w:val="20"/>
          <w:lang w:val="es-ES"/>
        </w:rPr>
        <w:t>Comuníquese y ejecútese,</w:t>
      </w:r>
    </w:p>
    <w:p w:rsidR="00F5169E" w:rsidRDefault="00F5169E" w:rsidP="00F5169E">
      <w:pPr>
        <w:spacing w:after="0"/>
        <w:rPr>
          <w:rFonts w:ascii="Verdana" w:hAnsi="Verdana"/>
          <w:sz w:val="20"/>
          <w:lang w:val="es-ES"/>
        </w:rPr>
      </w:pPr>
    </w:p>
    <w:p w:rsidR="00F5169E" w:rsidRDefault="00F5169E" w:rsidP="00F5169E">
      <w:pPr>
        <w:spacing w:after="0"/>
        <w:rPr>
          <w:rFonts w:ascii="Verdana" w:hAnsi="Verdana"/>
          <w:sz w:val="20"/>
          <w:lang w:val="es-ES"/>
        </w:rPr>
      </w:pPr>
    </w:p>
    <w:p w:rsidR="00F5169E" w:rsidRDefault="00F5169E" w:rsidP="00F5169E">
      <w:pPr>
        <w:spacing w:after="0"/>
        <w:rPr>
          <w:rFonts w:ascii="Verdana" w:hAnsi="Verdana"/>
          <w:sz w:val="20"/>
          <w:lang w:val="es-ES"/>
        </w:rPr>
      </w:pPr>
    </w:p>
    <w:p w:rsidR="00F5169E" w:rsidRDefault="00F5169E" w:rsidP="00F5169E">
      <w:pPr>
        <w:spacing w:after="0"/>
        <w:ind w:left="5760" w:firstLine="720"/>
        <w:rPr>
          <w:rFonts w:ascii="Verdana" w:hAnsi="Verdana"/>
          <w:sz w:val="20"/>
          <w:lang w:val="es-CR"/>
        </w:rPr>
      </w:pPr>
      <w:r>
        <w:rPr>
          <w:rFonts w:ascii="Verdana" w:hAnsi="Verdana"/>
          <w:sz w:val="20"/>
          <w:lang w:val="es-ES"/>
        </w:rPr>
        <w:t>Roberto F. Caldas</w:t>
      </w:r>
    </w:p>
    <w:p w:rsidR="00F5169E" w:rsidRPr="00370276" w:rsidRDefault="00F5169E" w:rsidP="00F5169E">
      <w:pPr>
        <w:spacing w:after="0"/>
        <w:jc w:val="center"/>
        <w:rPr>
          <w:rFonts w:ascii="Verdana" w:hAnsi="Verdana"/>
          <w:sz w:val="20"/>
          <w:lang w:val="es-ES"/>
        </w:rPr>
      </w:pPr>
      <w:r>
        <w:rPr>
          <w:rFonts w:ascii="Verdana" w:hAnsi="Verdana"/>
          <w:sz w:val="20"/>
          <w:lang w:val="es-ES"/>
        </w:rPr>
        <w:t xml:space="preserve">                                                                                         Presidente en ejercicio  </w:t>
      </w:r>
    </w:p>
    <w:p w:rsidR="00F5169E" w:rsidRDefault="00F5169E" w:rsidP="00F5169E">
      <w:pPr>
        <w:spacing w:after="0"/>
        <w:ind w:left="5040" w:firstLine="720"/>
        <w:jc w:val="center"/>
        <w:rPr>
          <w:rFonts w:ascii="Verdana" w:hAnsi="Verdana"/>
          <w:sz w:val="20"/>
          <w:lang w:val="es-ES"/>
        </w:rPr>
      </w:pPr>
    </w:p>
    <w:p w:rsidR="00F5169E" w:rsidRDefault="00F5169E" w:rsidP="00F5169E">
      <w:pPr>
        <w:spacing w:after="0"/>
        <w:jc w:val="both"/>
        <w:rPr>
          <w:rFonts w:ascii="Verdana" w:hAnsi="Verdana"/>
          <w:sz w:val="20"/>
          <w:lang w:val="es-ES"/>
        </w:rPr>
      </w:pPr>
    </w:p>
    <w:p w:rsidR="00F5169E" w:rsidRDefault="00F5169E" w:rsidP="00F5169E">
      <w:pPr>
        <w:spacing w:after="0"/>
        <w:jc w:val="both"/>
        <w:rPr>
          <w:rFonts w:ascii="Verdana" w:hAnsi="Verdana"/>
          <w:sz w:val="20"/>
          <w:lang w:val="es-ES"/>
        </w:rPr>
      </w:pPr>
      <w:r w:rsidRPr="00370276">
        <w:rPr>
          <w:rFonts w:ascii="Verdana" w:hAnsi="Verdana"/>
          <w:sz w:val="20"/>
          <w:lang w:val="es-ES"/>
        </w:rPr>
        <w:t>Pablo Saavedra Alessandri</w:t>
      </w:r>
    </w:p>
    <w:p w:rsidR="00F5169E" w:rsidRPr="00507746" w:rsidRDefault="00F5169E" w:rsidP="00F5169E">
      <w:pPr>
        <w:spacing w:after="0"/>
        <w:rPr>
          <w:rFonts w:ascii="Verdana" w:hAnsi="Verdana"/>
          <w:sz w:val="20"/>
          <w:lang w:val="es-ES"/>
        </w:rPr>
      </w:pPr>
      <w:r w:rsidRPr="00370276">
        <w:rPr>
          <w:rFonts w:ascii="Verdana" w:hAnsi="Verdana"/>
          <w:sz w:val="20"/>
          <w:lang w:val="es-ES"/>
        </w:rPr>
        <w:tab/>
      </w:r>
      <w:r w:rsidRPr="00355747">
        <w:rPr>
          <w:rFonts w:ascii="Verdana" w:hAnsi="Verdana"/>
          <w:sz w:val="20"/>
          <w:lang w:val="es-CR"/>
        </w:rPr>
        <w:t>Secretario</w:t>
      </w:r>
    </w:p>
    <w:p w:rsidR="00F5169E" w:rsidRPr="00355747" w:rsidRDefault="00F5169E" w:rsidP="00F5169E">
      <w:pPr>
        <w:spacing w:after="0"/>
        <w:rPr>
          <w:rFonts w:ascii="Verdana" w:hAnsi="Verdana"/>
          <w:sz w:val="20"/>
          <w:lang w:val="es-CR"/>
        </w:rPr>
      </w:pPr>
    </w:p>
    <w:p w:rsidR="008929D4" w:rsidRDefault="008929D4" w:rsidP="00F5169E">
      <w:pPr>
        <w:spacing w:after="0"/>
      </w:pPr>
    </w:p>
    <w:sectPr w:rsidR="008929D4" w:rsidSect="002563F8">
      <w:headerReference w:type="default" r:id="rId8"/>
      <w:pgSz w:w="12240" w:h="15840"/>
      <w:pgMar w:top="1152" w:right="1152" w:bottom="1152" w:left="1296"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2D59" w:rsidRDefault="008A2D59" w:rsidP="009959E9">
      <w:pPr>
        <w:spacing w:after="0" w:line="240" w:lineRule="auto"/>
      </w:pPr>
      <w:r>
        <w:separator/>
      </w:r>
    </w:p>
  </w:endnote>
  <w:endnote w:type="continuationSeparator" w:id="0">
    <w:p w:rsidR="008A2D59" w:rsidRDefault="008A2D59" w:rsidP="009959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2D59" w:rsidRDefault="008A2D59" w:rsidP="009959E9">
      <w:pPr>
        <w:spacing w:after="0" w:line="240" w:lineRule="auto"/>
      </w:pPr>
      <w:r>
        <w:separator/>
      </w:r>
    </w:p>
  </w:footnote>
  <w:footnote w:type="continuationSeparator" w:id="0">
    <w:p w:rsidR="008A2D59" w:rsidRDefault="008A2D59" w:rsidP="009959E9">
      <w:pPr>
        <w:spacing w:after="0" w:line="240" w:lineRule="auto"/>
      </w:pPr>
      <w:r>
        <w:continuationSeparator/>
      </w:r>
    </w:p>
  </w:footnote>
  <w:footnote w:id="1">
    <w:p w:rsidR="00AD6B71" w:rsidRPr="005A456D" w:rsidRDefault="00AD6B71" w:rsidP="00AD6B71">
      <w:pPr>
        <w:pStyle w:val="Textonotapie"/>
      </w:pPr>
      <w:r w:rsidRPr="003B027A">
        <w:rPr>
          <w:rStyle w:val="Refdenotaalpie"/>
        </w:rPr>
        <w:sym w:font="Symbol" w:char="F02A"/>
      </w:r>
      <w:r>
        <w:t xml:space="preserve"> </w:t>
      </w:r>
      <w:r>
        <w:tab/>
      </w:r>
      <w:r w:rsidRPr="005C7A50">
        <w:t>El Presi</w:t>
      </w:r>
      <w:r w:rsidRPr="00AD4E88">
        <w:t>den</w:t>
      </w:r>
      <w:r w:rsidRPr="005A456D">
        <w:t>te de la Corte,</w:t>
      </w:r>
      <w:r w:rsidRPr="005A456D">
        <w:rPr>
          <w:rFonts w:cs="Times New Roman"/>
        </w:rPr>
        <w:t xml:space="preserve"> </w:t>
      </w:r>
      <w:r w:rsidRPr="005A456D">
        <w:t>Juez Humberto Antonio Sierra Porto, de nacionalidad colombiana, no participó en el conocimiento y deliberación de la presente Resolución, de conformidad con lo dispuesto en el artículo 19.1 del Reglamento de la Corte. Por tal motivo, de conformidad con los artículos 4.2 y 5 del Reglamento de este Tribunal, el Juez Roberto F. Caldas, Vicepresidente de la Corte, asumió la Presidencia en ejercicio respecto del presente caso.</w:t>
      </w:r>
    </w:p>
  </w:footnote>
  <w:footnote w:id="2">
    <w:p w:rsidR="004C3C32" w:rsidRPr="00285F6D" w:rsidRDefault="004C3C32" w:rsidP="009959E9">
      <w:pPr>
        <w:pStyle w:val="Textonotapie"/>
        <w:rPr>
          <w:lang w:val="es-CR"/>
        </w:rPr>
      </w:pPr>
      <w:r>
        <w:rPr>
          <w:rStyle w:val="Refdenotaalpie"/>
        </w:rPr>
        <w:footnoteRef/>
      </w:r>
      <w:r>
        <w:t xml:space="preserve"> </w:t>
      </w:r>
      <w:r>
        <w:rPr>
          <w:i/>
        </w:rPr>
        <w:t xml:space="preserve">Cfr. </w:t>
      </w:r>
      <w:r w:rsidRPr="00242808">
        <w:t>Resolución del Presidente en ejercicio,</w:t>
      </w:r>
      <w:r>
        <w:t xml:space="preserve"> Considerandos trigésimo quinto, trigésimo noveno, quincuagésimo quinto, septuagésimo tercero, octogésimo quinto y octogésimo séptimo, y puntos resolutivos primero y tercero. El señor Michael Reed Hurtado, de conformidad al objeto establecido en el punto resolutivo tercero de la Resolución del Presidente en ejercicio, rendirá peritaje sobre “</w:t>
      </w:r>
      <w:r w:rsidRPr="00285F6D">
        <w:rPr>
          <w:lang w:val="es-CR"/>
        </w:rPr>
        <w:t xml:space="preserve">i) los procesos de Desarme, Desmovilización, y Reinserción (DDR) y su compatibilidad con los estándares del derecho internacional de los derechos humanos, en especial se referirá al proceso DDR en Colombia de los grupos paramilitares, sus efectos y consecuencias, </w:t>
      </w:r>
      <w:r w:rsidRPr="00285F6D">
        <w:rPr>
          <w:i/>
          <w:iCs/>
          <w:lang w:val="es-CR"/>
        </w:rPr>
        <w:t xml:space="preserve">vis a vis </w:t>
      </w:r>
      <w:r w:rsidRPr="00285F6D">
        <w:rPr>
          <w:lang w:val="es-CR"/>
        </w:rPr>
        <w:t>los derechos de las víctimas de graves violaciones de derechos humanos; ii) la responsabilidad internacional del Estado colombiano tras la desmovilización de grupos armados ilegales, con los que se ha probado en el ámbito nacional e Internacional actuó en supuesta connivencia, y iii) las obligaciones especiales que se derivan para los Estados con posterioridad a estos procesos en aras de la observancia y vigencia de los derechos humanos, así como la responsabilidad que le cabe por el desarrollo y los resultados de dichos procesos</w:t>
      </w:r>
      <w:r>
        <w:rPr>
          <w:lang w:val="es-CR"/>
        </w:rPr>
        <w:t>”</w:t>
      </w:r>
      <w:r w:rsidRPr="00285F6D">
        <w:rPr>
          <w:lang w:val="es-CR"/>
        </w:rPr>
        <w:t>.</w:t>
      </w:r>
      <w:r>
        <w:rPr>
          <w:lang w:val="es-CR"/>
        </w:rPr>
        <w:t xml:space="preserve"> De acuerdo al punto resolutivo primero de la misma resolución, el señor Carlos Rodríguez Mejía se pronunciará sobre: “</w:t>
      </w:r>
      <w:r w:rsidRPr="00285F6D">
        <w:rPr>
          <w:lang w:val="es-CR"/>
        </w:rPr>
        <w:t>i) el alcance y contenido de la reparación administrativa y la reparación judicial en Colombia a la luz de las obligaciones y estándares internacionales sobre el deber de reparar a las víctimas de violaciones de derechos humanos de manera integral, así como de garantizar este derecho a las víctimas; ii) el alcance en el marco de la doctrina y la jurisprudencia internacional que puede tener cada una de estas formas de reparación, como consecuencia de un hecho ilícito internacional en que incurra un</w:t>
      </w:r>
      <w:r>
        <w:rPr>
          <w:lang w:val="es-CR"/>
        </w:rPr>
        <w:t xml:space="preserve"> </w:t>
      </w:r>
      <w:r w:rsidRPr="00285F6D">
        <w:rPr>
          <w:lang w:val="es-CR"/>
        </w:rPr>
        <w:t>Estado, y iii) la actual normativa en Colombia que regula estas dos formas de reparación, su aplicación e impacto</w:t>
      </w:r>
      <w:r>
        <w:rPr>
          <w:lang w:val="es-CR"/>
        </w:rPr>
        <w:t>”</w:t>
      </w:r>
      <w:r w:rsidRPr="00285F6D">
        <w:rPr>
          <w:lang w:val="es-CR"/>
        </w:rPr>
        <w:t xml:space="preserve">.  </w:t>
      </w:r>
    </w:p>
    <w:p w:rsidR="004C3C32" w:rsidRPr="00285F6D" w:rsidRDefault="004C3C32" w:rsidP="009959E9">
      <w:pPr>
        <w:pStyle w:val="Textonotapie"/>
        <w:rPr>
          <w:lang w:val="es-CR"/>
        </w:rPr>
      </w:pPr>
    </w:p>
  </w:footnote>
  <w:footnote w:id="3">
    <w:p w:rsidR="004C3C32" w:rsidRPr="000B4991" w:rsidRDefault="004C3C32" w:rsidP="009959E9">
      <w:pPr>
        <w:pStyle w:val="Textonotapie"/>
      </w:pPr>
      <w:r w:rsidRPr="000B4991">
        <w:rPr>
          <w:rStyle w:val="Refdenotaalpie"/>
        </w:rPr>
        <w:footnoteRef/>
      </w:r>
      <w:r w:rsidRPr="000B4991">
        <w:t xml:space="preserve"> De acuerdo a la Resolución del Presidente en ejercicio de 26 de mayo de 2015, la perita Magdalena Correa, propuesta por el Estado, declarará en audiencia pública sobre “i) los estados de excepción y, en particular, sobre los efectos de la declaración de inconstitucionalidad de una norma en el marco de un estado de conmoción interior, en relación con el artículo 27 de la Convención Americana sobre Derechos Humanos, y ii) el marco constitucional colombiano frente a la detención de personas sin orden previa de autoridad judicial, y la aplicación de los criterios de razonabilidad, temporalidad y necesidad en dichas detenciones.”</w:t>
      </w:r>
    </w:p>
  </w:footnote>
  <w:footnote w:id="4">
    <w:p w:rsidR="004C3C32" w:rsidRPr="009959E9" w:rsidRDefault="004C3C32" w:rsidP="009959E9">
      <w:pPr>
        <w:pStyle w:val="Default"/>
        <w:jc w:val="both"/>
        <w:rPr>
          <w:rFonts w:ascii="Verdana" w:hAnsi="Verdana"/>
        </w:rPr>
      </w:pPr>
      <w:r w:rsidRPr="009959E9">
        <w:rPr>
          <w:rStyle w:val="Refdenotaalpie"/>
        </w:rPr>
        <w:footnoteRef/>
      </w:r>
      <w:r w:rsidRPr="009959E9">
        <w:rPr>
          <w:rFonts w:ascii="Verdana" w:hAnsi="Verdana"/>
          <w:sz w:val="16"/>
          <w:szCs w:val="16"/>
        </w:rPr>
        <w:t xml:space="preserve"> De acuerdo a la Resolución del Presidente en ejercicio de 26 de mayo de 2015, el perito Nelson Camilo Sánchez, propuesto por el Estado, declarará por affidávit sobre “los programas de reparación administrativa en contextos de justicia transicional y la adecuación de la Ley de Víctimas y Restitución de Tierras (Ley 1448 de 2011) a los estándares internacionales en la materia”. </w:t>
      </w:r>
    </w:p>
  </w:footnote>
  <w:footnote w:id="5">
    <w:p w:rsidR="004C3C32" w:rsidRPr="00DE1A9D" w:rsidRDefault="004C3C32" w:rsidP="009959E9">
      <w:pPr>
        <w:pStyle w:val="Textonotapie"/>
      </w:pPr>
      <w:r w:rsidRPr="00DE1A9D">
        <w:rPr>
          <w:rStyle w:val="Refdenotaalpie"/>
        </w:rPr>
        <w:footnoteRef/>
      </w:r>
      <w:r w:rsidRPr="00DE1A9D">
        <w:t xml:space="preserve"> </w:t>
      </w:r>
      <w:r w:rsidRPr="00DE1A9D">
        <w:rPr>
          <w:bCs/>
          <w:i/>
        </w:rPr>
        <w:t>Caso Mohamed Vs. Argentina</w:t>
      </w:r>
      <w:r w:rsidRPr="00DE1A9D">
        <w:rPr>
          <w:bCs/>
        </w:rPr>
        <w:t>. Resolución de la Corte Interamericana de Derechos</w:t>
      </w:r>
      <w:r>
        <w:rPr>
          <w:bCs/>
        </w:rPr>
        <w:t xml:space="preserve"> Humanos de 18 de junio de 2012, Considerando 26.</w:t>
      </w:r>
    </w:p>
  </w:footnote>
  <w:footnote w:id="6">
    <w:p w:rsidR="004C3C32" w:rsidRPr="008B7C02" w:rsidRDefault="004C3C32" w:rsidP="009959E9">
      <w:pPr>
        <w:pStyle w:val="Textonotapie"/>
        <w:rPr>
          <w:i/>
        </w:rPr>
      </w:pPr>
      <w:r w:rsidRPr="008B7C02">
        <w:rPr>
          <w:rStyle w:val="Refdenotaalpie"/>
        </w:rPr>
        <w:footnoteRef/>
      </w:r>
      <w:r w:rsidRPr="008B7C02">
        <w:t xml:space="preserve"> </w:t>
      </w:r>
      <w:r w:rsidRPr="008B7C02">
        <w:rPr>
          <w:i/>
        </w:rPr>
        <w:t xml:space="preserve">Cfr. </w:t>
      </w:r>
      <w:r w:rsidRPr="00242808">
        <w:t>Resolución del Presidente en ejercicio,</w:t>
      </w:r>
      <w:r w:rsidRPr="008B7C02">
        <w:t xml:space="preserve"> Considerando septuagésimo octavo.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C32" w:rsidRDefault="006D694A">
    <w:pPr>
      <w:pStyle w:val="Encabezado"/>
      <w:jc w:val="center"/>
    </w:pPr>
    <w:r w:rsidRPr="00902F6D">
      <w:rPr>
        <w:rFonts w:ascii="Verdana" w:hAnsi="Verdana" w:cs="Verdana"/>
        <w:sz w:val="20"/>
        <w:szCs w:val="20"/>
      </w:rPr>
      <w:fldChar w:fldCharType="begin"/>
    </w:r>
    <w:r w:rsidR="004C3C32" w:rsidRPr="00902F6D">
      <w:rPr>
        <w:rFonts w:ascii="Verdana" w:hAnsi="Verdana" w:cs="Verdana"/>
        <w:sz w:val="20"/>
        <w:szCs w:val="20"/>
      </w:rPr>
      <w:instrText xml:space="preserve"> PAGE   \* MERGEFORMAT </w:instrText>
    </w:r>
    <w:r w:rsidRPr="00902F6D">
      <w:rPr>
        <w:rFonts w:ascii="Verdana" w:hAnsi="Verdana" w:cs="Verdana"/>
        <w:sz w:val="20"/>
        <w:szCs w:val="20"/>
      </w:rPr>
      <w:fldChar w:fldCharType="separate"/>
    </w:r>
    <w:r w:rsidR="00F0291B">
      <w:rPr>
        <w:rFonts w:ascii="Verdana" w:hAnsi="Verdana" w:cs="Verdana"/>
        <w:noProof/>
        <w:sz w:val="20"/>
        <w:szCs w:val="20"/>
      </w:rPr>
      <w:t>2</w:t>
    </w:r>
    <w:r w:rsidRPr="00902F6D">
      <w:rPr>
        <w:rFonts w:ascii="Verdana" w:hAnsi="Verdana" w:cs="Verdana"/>
        <w:sz w:val="20"/>
        <w:szCs w:val="20"/>
      </w:rPr>
      <w:fldChar w:fldCharType="end"/>
    </w:r>
  </w:p>
  <w:p w:rsidR="004C3C32" w:rsidRDefault="004C3C3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225513"/>
    <w:multiLevelType w:val="hybridMultilevel"/>
    <w:tmpl w:val="3C30622E"/>
    <w:lvl w:ilvl="0" w:tplc="D118455C">
      <w:start w:val="1"/>
      <w:numFmt w:val="decimal"/>
      <w:lvlText w:val="%1."/>
      <w:lvlJc w:val="left"/>
      <w:pPr>
        <w:ind w:left="1065" w:hanging="705"/>
      </w:pPr>
      <w:rPr>
        <w:rFonts w:cs="Verdana"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nsid w:val="542C5A46"/>
    <w:multiLevelType w:val="hybridMultilevel"/>
    <w:tmpl w:val="C088D672"/>
    <w:lvl w:ilvl="0" w:tplc="647C7CB4">
      <w:start w:val="1"/>
      <w:numFmt w:val="decimal"/>
      <w:lvlText w:val="%1."/>
      <w:lvlJc w:val="left"/>
      <w:pPr>
        <w:ind w:left="644" w:hanging="360"/>
      </w:pPr>
      <w:rPr>
        <w:rFonts w:ascii="Verdana" w:hAnsi="Verdana" w:hint="default"/>
        <w:sz w:val="20"/>
        <w:szCs w:val="20"/>
      </w:rPr>
    </w:lvl>
    <w:lvl w:ilvl="1" w:tplc="140A0019" w:tentative="1">
      <w:start w:val="1"/>
      <w:numFmt w:val="lowerLetter"/>
      <w:lvlText w:val="%2."/>
      <w:lvlJc w:val="left"/>
      <w:pPr>
        <w:ind w:left="1364" w:hanging="360"/>
      </w:pPr>
    </w:lvl>
    <w:lvl w:ilvl="2" w:tplc="140A001B" w:tentative="1">
      <w:start w:val="1"/>
      <w:numFmt w:val="lowerRoman"/>
      <w:lvlText w:val="%3."/>
      <w:lvlJc w:val="right"/>
      <w:pPr>
        <w:ind w:left="2084" w:hanging="180"/>
      </w:pPr>
    </w:lvl>
    <w:lvl w:ilvl="3" w:tplc="140A000F" w:tentative="1">
      <w:start w:val="1"/>
      <w:numFmt w:val="decimal"/>
      <w:lvlText w:val="%4."/>
      <w:lvlJc w:val="left"/>
      <w:pPr>
        <w:ind w:left="2804" w:hanging="360"/>
      </w:pPr>
    </w:lvl>
    <w:lvl w:ilvl="4" w:tplc="140A0019" w:tentative="1">
      <w:start w:val="1"/>
      <w:numFmt w:val="lowerLetter"/>
      <w:lvlText w:val="%5."/>
      <w:lvlJc w:val="left"/>
      <w:pPr>
        <w:ind w:left="3524" w:hanging="360"/>
      </w:pPr>
    </w:lvl>
    <w:lvl w:ilvl="5" w:tplc="140A001B" w:tentative="1">
      <w:start w:val="1"/>
      <w:numFmt w:val="lowerRoman"/>
      <w:lvlText w:val="%6."/>
      <w:lvlJc w:val="right"/>
      <w:pPr>
        <w:ind w:left="4244" w:hanging="180"/>
      </w:pPr>
    </w:lvl>
    <w:lvl w:ilvl="6" w:tplc="140A000F" w:tentative="1">
      <w:start w:val="1"/>
      <w:numFmt w:val="decimal"/>
      <w:lvlText w:val="%7."/>
      <w:lvlJc w:val="left"/>
      <w:pPr>
        <w:ind w:left="4964" w:hanging="360"/>
      </w:pPr>
    </w:lvl>
    <w:lvl w:ilvl="7" w:tplc="140A0019" w:tentative="1">
      <w:start w:val="1"/>
      <w:numFmt w:val="lowerLetter"/>
      <w:lvlText w:val="%8."/>
      <w:lvlJc w:val="left"/>
      <w:pPr>
        <w:ind w:left="5684" w:hanging="360"/>
      </w:pPr>
    </w:lvl>
    <w:lvl w:ilvl="8" w:tplc="140A001B" w:tentative="1">
      <w:start w:val="1"/>
      <w:numFmt w:val="lowerRoman"/>
      <w:lvlText w:val="%9."/>
      <w:lvlJc w:val="right"/>
      <w:pPr>
        <w:ind w:left="6404" w:hanging="180"/>
      </w:pPr>
    </w:lvl>
  </w:abstractNum>
  <w:abstractNum w:abstractNumId="2">
    <w:nsid w:val="615D6ECD"/>
    <w:multiLevelType w:val="hybridMultilevel"/>
    <w:tmpl w:val="ED9C2C40"/>
    <w:lvl w:ilvl="0" w:tplc="ED0459E8">
      <w:start w:val="1"/>
      <w:numFmt w:val="lowerLetter"/>
      <w:lvlText w:val="%1)"/>
      <w:lvlJc w:val="left"/>
      <w:pPr>
        <w:ind w:left="1080" w:hanging="360"/>
      </w:pPr>
      <w:rPr>
        <w:rFonts w:ascii="Verdana" w:hAnsi="Verdana" w:cs="Verdana" w:hint="default"/>
        <w:sz w:val="20"/>
        <w:szCs w:val="20"/>
      </w:rPr>
    </w:lvl>
    <w:lvl w:ilvl="1" w:tplc="323EEAAC">
      <w:start w:val="1"/>
      <w:numFmt w:val="decimal"/>
      <w:pStyle w:val="Prrafodelista"/>
      <w:lvlText w:val="%2."/>
      <w:lvlJc w:val="left"/>
      <w:pPr>
        <w:tabs>
          <w:tab w:val="num" w:pos="0"/>
        </w:tabs>
      </w:pPr>
      <w:rPr>
        <w:rFonts w:hint="default"/>
        <w:b w:val="0"/>
        <w:bCs w:val="0"/>
        <w:sz w:val="20"/>
        <w:szCs w:val="20"/>
      </w:rPr>
    </w:lvl>
    <w:lvl w:ilvl="2" w:tplc="B96C1A40">
      <w:start w:val="1"/>
      <w:numFmt w:val="lowerLetter"/>
      <w:lvlText w:val="%3)"/>
      <w:lvlJc w:val="left"/>
      <w:pPr>
        <w:ind w:left="2700" w:hanging="360"/>
      </w:pPr>
      <w:rPr>
        <w:rFonts w:ascii="Verdana" w:hAnsi="Verdana" w:cs="Verdana" w:hint="default"/>
        <w:b w:val="0"/>
        <w:bCs w:val="0"/>
        <w:sz w:val="20"/>
        <w:szCs w:val="20"/>
      </w:rPr>
    </w:lvl>
    <w:lvl w:ilvl="3" w:tplc="2C0A000F">
      <w:start w:val="1"/>
      <w:numFmt w:val="decimal"/>
      <w:lvlText w:val="%4."/>
      <w:lvlJc w:val="left"/>
      <w:pPr>
        <w:ind w:left="3240" w:hanging="360"/>
      </w:pPr>
    </w:lvl>
    <w:lvl w:ilvl="4" w:tplc="2C0A0019">
      <w:start w:val="1"/>
      <w:numFmt w:val="lowerLetter"/>
      <w:lvlText w:val="%5."/>
      <w:lvlJc w:val="left"/>
      <w:pPr>
        <w:ind w:left="3960" w:hanging="360"/>
      </w:pPr>
    </w:lvl>
    <w:lvl w:ilvl="5" w:tplc="2C0A001B">
      <w:start w:val="1"/>
      <w:numFmt w:val="lowerRoman"/>
      <w:lvlText w:val="%6."/>
      <w:lvlJc w:val="right"/>
      <w:pPr>
        <w:ind w:left="4680" w:hanging="180"/>
      </w:pPr>
    </w:lvl>
    <w:lvl w:ilvl="6" w:tplc="2C0A000F">
      <w:start w:val="1"/>
      <w:numFmt w:val="decimal"/>
      <w:lvlText w:val="%7."/>
      <w:lvlJc w:val="left"/>
      <w:pPr>
        <w:ind w:left="5400" w:hanging="360"/>
      </w:pPr>
    </w:lvl>
    <w:lvl w:ilvl="7" w:tplc="2C0A0019">
      <w:start w:val="1"/>
      <w:numFmt w:val="lowerLetter"/>
      <w:lvlText w:val="%8."/>
      <w:lvlJc w:val="left"/>
      <w:pPr>
        <w:ind w:left="6120" w:hanging="360"/>
      </w:pPr>
    </w:lvl>
    <w:lvl w:ilvl="8" w:tplc="2C0A001B">
      <w:start w:val="1"/>
      <w:numFmt w:val="lowerRoman"/>
      <w:lvlText w:val="%9."/>
      <w:lvlJc w:val="right"/>
      <w:pPr>
        <w:ind w:left="6840" w:hanging="180"/>
      </w:pPr>
    </w:lvl>
  </w:abstractNum>
  <w:abstractNum w:abstractNumId="3">
    <w:nsid w:val="68154407"/>
    <w:multiLevelType w:val="hybridMultilevel"/>
    <w:tmpl w:val="FFFCF612"/>
    <w:lvl w:ilvl="0" w:tplc="E83A9E88">
      <w:start w:val="1"/>
      <w:numFmt w:val="decimal"/>
      <w:lvlText w:val="%1."/>
      <w:lvlJc w:val="left"/>
      <w:pPr>
        <w:tabs>
          <w:tab w:val="num" w:pos="680"/>
        </w:tabs>
      </w:pPr>
      <w:rPr>
        <w:rFonts w:hint="default"/>
        <w:b w:val="0"/>
        <w:bCs w:val="0"/>
        <w:i w:val="0"/>
        <w:iCs w:val="0"/>
        <w:strike w:val="0"/>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78517E35"/>
    <w:multiLevelType w:val="hybridMultilevel"/>
    <w:tmpl w:val="F35CCCAA"/>
    <w:lvl w:ilvl="0" w:tplc="D2A2151A">
      <w:start w:val="1"/>
      <w:numFmt w:val="upp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959E9"/>
    <w:rsid w:val="00035568"/>
    <w:rsid w:val="00086816"/>
    <w:rsid w:val="000E323B"/>
    <w:rsid w:val="00160A0C"/>
    <w:rsid w:val="001B573A"/>
    <w:rsid w:val="001E693C"/>
    <w:rsid w:val="00213FFC"/>
    <w:rsid w:val="00242808"/>
    <w:rsid w:val="00244492"/>
    <w:rsid w:val="002555BD"/>
    <w:rsid w:val="002563F8"/>
    <w:rsid w:val="00281E7A"/>
    <w:rsid w:val="002A0D9F"/>
    <w:rsid w:val="003604C3"/>
    <w:rsid w:val="003A117B"/>
    <w:rsid w:val="00413C60"/>
    <w:rsid w:val="00430B0C"/>
    <w:rsid w:val="00475F19"/>
    <w:rsid w:val="004C3C32"/>
    <w:rsid w:val="004E271B"/>
    <w:rsid w:val="004F542B"/>
    <w:rsid w:val="00513E73"/>
    <w:rsid w:val="00541E1F"/>
    <w:rsid w:val="00583814"/>
    <w:rsid w:val="005945E1"/>
    <w:rsid w:val="00605DAC"/>
    <w:rsid w:val="00647200"/>
    <w:rsid w:val="00654F00"/>
    <w:rsid w:val="00672D3A"/>
    <w:rsid w:val="006A2FC7"/>
    <w:rsid w:val="006D694A"/>
    <w:rsid w:val="0084743A"/>
    <w:rsid w:val="008929D4"/>
    <w:rsid w:val="008A2D59"/>
    <w:rsid w:val="008D539E"/>
    <w:rsid w:val="00911554"/>
    <w:rsid w:val="00941601"/>
    <w:rsid w:val="0098628B"/>
    <w:rsid w:val="009958E4"/>
    <w:rsid w:val="009959E9"/>
    <w:rsid w:val="00A36294"/>
    <w:rsid w:val="00A950EE"/>
    <w:rsid w:val="00AA0581"/>
    <w:rsid w:val="00AC6EAF"/>
    <w:rsid w:val="00AD6B71"/>
    <w:rsid w:val="00B23CE7"/>
    <w:rsid w:val="00B26F03"/>
    <w:rsid w:val="00BE0A44"/>
    <w:rsid w:val="00C13613"/>
    <w:rsid w:val="00C60F20"/>
    <w:rsid w:val="00C61C97"/>
    <w:rsid w:val="00CB364F"/>
    <w:rsid w:val="00CC22EA"/>
    <w:rsid w:val="00D333CC"/>
    <w:rsid w:val="00D9390C"/>
    <w:rsid w:val="00DE0475"/>
    <w:rsid w:val="00DE1A9D"/>
    <w:rsid w:val="00E22E43"/>
    <w:rsid w:val="00E7665B"/>
    <w:rsid w:val="00E92434"/>
    <w:rsid w:val="00EA0467"/>
    <w:rsid w:val="00ED724A"/>
    <w:rsid w:val="00EE4442"/>
    <w:rsid w:val="00F0291B"/>
    <w:rsid w:val="00F5169E"/>
    <w:rsid w:val="00F6038A"/>
    <w:rsid w:val="00F6218A"/>
    <w:rsid w:val="00FB6709"/>
    <w:rsid w:val="00FF1EE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59E9"/>
    <w:pPr>
      <w:spacing w:after="200" w:line="276" w:lineRule="auto"/>
    </w:pPr>
    <w:rPr>
      <w:rFonts w:cs="Calibri"/>
      <w:sz w:val="22"/>
      <w:szCs w:val="22"/>
      <w:lang w:val="es-MX"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ootnote,List Paragraph2"/>
    <w:basedOn w:val="Normal"/>
    <w:uiPriority w:val="34"/>
    <w:qFormat/>
    <w:rsid w:val="009959E9"/>
    <w:pPr>
      <w:widowControl w:val="0"/>
      <w:numPr>
        <w:ilvl w:val="1"/>
        <w:numId w:val="1"/>
      </w:numPr>
      <w:autoSpaceDE w:val="0"/>
      <w:autoSpaceDN w:val="0"/>
      <w:adjustRightInd w:val="0"/>
      <w:spacing w:after="0" w:line="240" w:lineRule="auto"/>
      <w:ind w:right="22"/>
      <w:jc w:val="both"/>
    </w:pPr>
    <w:rPr>
      <w:rFonts w:ascii="Verdana" w:hAnsi="Verdana" w:cs="Verdana"/>
      <w:sz w:val="20"/>
      <w:szCs w:val="20"/>
    </w:rPr>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qFormat/>
    <w:rsid w:val="009959E9"/>
    <w:rPr>
      <w:rFonts w:ascii="Verdana" w:hAnsi="Verdana" w:cs="Verdana"/>
      <w:sz w:val="16"/>
      <w:szCs w:val="16"/>
      <w:vertAlign w:val="superscript"/>
    </w:rPr>
  </w:style>
  <w:style w:type="paragraph" w:styleId="Textonotapie">
    <w:name w:val="footnote text"/>
    <w:aliases w:val="FA Fu,Footnote Text Char Char Char Char Char,Footnote Text Char Char Char Char,Footnote reference,Footnote Text Char Char Char,Texto nota pie Car,FA Fu Car,FA Fu Car Car,Footnote Text Cha,FA Fußnotentext,FA Fuﬂnotentext,FA Fu?notentext,Ca"/>
    <w:basedOn w:val="Normal"/>
    <w:link w:val="TextonotapieCar1"/>
    <w:autoRedefine/>
    <w:qFormat/>
    <w:rsid w:val="009959E9"/>
    <w:pPr>
      <w:tabs>
        <w:tab w:val="left" w:pos="567"/>
      </w:tabs>
      <w:spacing w:after="0" w:line="240" w:lineRule="auto"/>
      <w:jc w:val="both"/>
    </w:pPr>
    <w:rPr>
      <w:rFonts w:ascii="Verdana" w:hAnsi="Verdana" w:cs="Verdana"/>
      <w:sz w:val="16"/>
      <w:szCs w:val="16"/>
      <w:lang w:val="es-ES_tradnl" w:eastAsia="es-ES"/>
    </w:rPr>
  </w:style>
  <w:style w:type="character" w:customStyle="1" w:styleId="FootnoteTextChar">
    <w:name w:val="Footnote Text Char"/>
    <w:uiPriority w:val="99"/>
    <w:semiHidden/>
    <w:rsid w:val="009959E9"/>
    <w:rPr>
      <w:rFonts w:ascii="Calibri" w:eastAsia="Calibri" w:hAnsi="Calibri" w:cs="Calibri"/>
      <w:sz w:val="20"/>
      <w:szCs w:val="20"/>
      <w:lang w:val="es-MX"/>
    </w:rPr>
  </w:style>
  <w:style w:type="character" w:customStyle="1" w:styleId="TextonotapieCar1">
    <w:name w:val="Texto nota pie Car1"/>
    <w:aliases w:val="FA Fu Car1,Footnote Text Char Char Char Char Char Car,Footnote Text Char Char Char Char Car,Footnote reference Car,Footnote Text Char Char Char Car,Texto nota pie Car Car,FA Fu Car Car1,FA Fu Car Car Car,Footnote Text Cha Car,Ca Car"/>
    <w:link w:val="Textonotapie"/>
    <w:locked/>
    <w:rsid w:val="009959E9"/>
    <w:rPr>
      <w:rFonts w:ascii="Verdana" w:eastAsia="Calibri" w:hAnsi="Verdana" w:cs="Verdana"/>
      <w:sz w:val="16"/>
      <w:szCs w:val="16"/>
      <w:lang w:val="es-ES_tradnl" w:eastAsia="es-ES"/>
    </w:rPr>
  </w:style>
  <w:style w:type="paragraph" w:styleId="Encabezado">
    <w:name w:val="header"/>
    <w:basedOn w:val="Normal"/>
    <w:link w:val="EncabezadoCar"/>
    <w:uiPriority w:val="99"/>
    <w:rsid w:val="009959E9"/>
    <w:pPr>
      <w:tabs>
        <w:tab w:val="center" w:pos="4252"/>
        <w:tab w:val="right" w:pos="8504"/>
      </w:tabs>
      <w:spacing w:after="0" w:line="240" w:lineRule="auto"/>
    </w:pPr>
  </w:style>
  <w:style w:type="character" w:customStyle="1" w:styleId="EncabezadoCar">
    <w:name w:val="Encabezado Car"/>
    <w:link w:val="Encabezado"/>
    <w:uiPriority w:val="99"/>
    <w:rsid w:val="009959E9"/>
    <w:rPr>
      <w:rFonts w:ascii="Calibri" w:eastAsia="Calibri" w:hAnsi="Calibri" w:cs="Calibri"/>
      <w:lang w:val="es-MX"/>
    </w:rPr>
  </w:style>
  <w:style w:type="paragraph" w:customStyle="1" w:styleId="Default">
    <w:name w:val="Default"/>
    <w:rsid w:val="009959E9"/>
    <w:pPr>
      <w:autoSpaceDE w:val="0"/>
      <w:autoSpaceDN w:val="0"/>
      <w:adjustRightInd w:val="0"/>
    </w:pPr>
    <w:rPr>
      <w:rFonts w:ascii="Arial" w:eastAsia="MS Mincho" w:hAnsi="Arial" w:cs="Arial"/>
      <w:color w:val="000000"/>
      <w:sz w:val="24"/>
      <w:szCs w:val="24"/>
      <w:lang w:val="es-ES" w:eastAsia="es-ES"/>
    </w:rPr>
  </w:style>
  <w:style w:type="character" w:styleId="Refdecomentario">
    <w:name w:val="annotation reference"/>
    <w:uiPriority w:val="99"/>
    <w:semiHidden/>
    <w:rsid w:val="009959E9"/>
    <w:rPr>
      <w:sz w:val="16"/>
      <w:szCs w:val="16"/>
    </w:rPr>
  </w:style>
  <w:style w:type="paragraph" w:styleId="Textocomentario">
    <w:name w:val="annotation text"/>
    <w:basedOn w:val="Normal"/>
    <w:link w:val="TextocomentarioCar"/>
    <w:uiPriority w:val="99"/>
    <w:semiHidden/>
    <w:rsid w:val="009959E9"/>
    <w:pPr>
      <w:spacing w:line="240" w:lineRule="auto"/>
    </w:pPr>
    <w:rPr>
      <w:sz w:val="20"/>
      <w:szCs w:val="20"/>
    </w:rPr>
  </w:style>
  <w:style w:type="character" w:customStyle="1" w:styleId="TextocomentarioCar">
    <w:name w:val="Texto comentario Car"/>
    <w:link w:val="Textocomentario"/>
    <w:uiPriority w:val="99"/>
    <w:semiHidden/>
    <w:rsid w:val="009959E9"/>
    <w:rPr>
      <w:rFonts w:ascii="Calibri" w:eastAsia="Calibri" w:hAnsi="Calibri" w:cs="Calibri"/>
      <w:sz w:val="20"/>
      <w:szCs w:val="20"/>
      <w:lang w:val="es-MX"/>
    </w:rPr>
  </w:style>
  <w:style w:type="paragraph" w:styleId="Textodeglobo">
    <w:name w:val="Balloon Text"/>
    <w:basedOn w:val="Normal"/>
    <w:link w:val="TextodegloboCar"/>
    <w:uiPriority w:val="99"/>
    <w:semiHidden/>
    <w:unhideWhenUsed/>
    <w:rsid w:val="009959E9"/>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959E9"/>
    <w:rPr>
      <w:rFonts w:ascii="Tahoma" w:eastAsia="Calibri" w:hAnsi="Tahoma" w:cs="Tahoma"/>
      <w:sz w:val="16"/>
      <w:szCs w:val="16"/>
      <w:lang w:val="es-MX"/>
    </w:rPr>
  </w:style>
  <w:style w:type="character" w:styleId="Nmerodelnea">
    <w:name w:val="line number"/>
    <w:basedOn w:val="Fuentedeprrafopredeter"/>
    <w:uiPriority w:val="99"/>
    <w:semiHidden/>
    <w:unhideWhenUsed/>
    <w:rsid w:val="009959E9"/>
  </w:style>
  <w:style w:type="character" w:styleId="Textoennegrita">
    <w:name w:val="Strong"/>
    <w:uiPriority w:val="22"/>
    <w:qFormat/>
    <w:rsid w:val="00DE1A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0B0FDC-CB7D-444F-B601-F7655F320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2421</Words>
  <Characters>13320</Characters>
  <Application>Microsoft Office Word</Application>
  <DocSecurity>0</DocSecurity>
  <Lines>111</Lines>
  <Paragraphs>31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Company>
  <LinksUpToDate>false</LinksUpToDate>
  <CharactersWithSpaces>15710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2</cp:revision>
  <cp:lastPrinted>2015-06-22T13:22:00Z</cp:lastPrinted>
  <dcterms:created xsi:type="dcterms:W3CDTF">2017-07-09T17:42:00Z</dcterms:created>
  <dcterms:modified xsi:type="dcterms:W3CDTF">2017-07-09T17:42:00Z</dcterms:modified>
</cp:coreProperties>
</file>