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044" w:rsidRDefault="00006044" w:rsidP="00006044">
      <w:pPr>
        <w:pStyle w:val="Ttulo1"/>
        <w:rPr>
          <w:sz w:val="20"/>
        </w:rPr>
      </w:pPr>
      <w:bookmarkStart w:id="0" w:name="_GoBack"/>
      <w:bookmarkEnd w:id="0"/>
    </w:p>
    <w:p w:rsidR="00006044" w:rsidRDefault="00006044" w:rsidP="00006044">
      <w:pPr>
        <w:pStyle w:val="Ttulo1"/>
        <w:rPr>
          <w:sz w:val="20"/>
        </w:rPr>
      </w:pPr>
      <w:r>
        <w:rPr>
          <w:sz w:val="20"/>
        </w:rPr>
        <w:t xml:space="preserve">Resolución </w:t>
      </w:r>
    </w:p>
    <w:p w:rsidR="00006044" w:rsidRDefault="00006044" w:rsidP="00006044">
      <w:pPr>
        <w:jc w:val="center"/>
        <w:rPr>
          <w:rFonts w:ascii="Verdana" w:hAnsi="Verdana"/>
          <w:b/>
          <w:caps/>
          <w:sz w:val="20"/>
        </w:rPr>
      </w:pPr>
      <w:r>
        <w:rPr>
          <w:rFonts w:ascii="Verdana" w:hAnsi="Verdana"/>
          <w:b/>
          <w:caps/>
          <w:sz w:val="20"/>
        </w:rPr>
        <w:t>de la Corte Interamericana de Derechos Humanos</w:t>
      </w:r>
    </w:p>
    <w:p w:rsidR="00006044" w:rsidRDefault="007C2C28" w:rsidP="00006044">
      <w:pPr>
        <w:jc w:val="center"/>
        <w:rPr>
          <w:rFonts w:ascii="Verdana" w:hAnsi="Verdana"/>
          <w:b/>
          <w:caps/>
          <w:sz w:val="20"/>
        </w:rPr>
      </w:pPr>
      <w:r>
        <w:rPr>
          <w:rFonts w:ascii="Verdana" w:hAnsi="Verdana"/>
          <w:b/>
          <w:caps/>
          <w:sz w:val="20"/>
        </w:rPr>
        <w:t>de 20</w:t>
      </w:r>
      <w:r w:rsidR="00006044">
        <w:rPr>
          <w:rFonts w:ascii="Verdana" w:hAnsi="Verdana"/>
          <w:b/>
          <w:caps/>
          <w:sz w:val="20"/>
        </w:rPr>
        <w:t xml:space="preserve"> de FEBRERO de 2012</w:t>
      </w:r>
    </w:p>
    <w:p w:rsidR="00006044" w:rsidRDefault="00006044" w:rsidP="00006044">
      <w:pPr>
        <w:jc w:val="center"/>
        <w:rPr>
          <w:rFonts w:ascii="Verdana" w:hAnsi="Verdana"/>
          <w:b/>
          <w:caps/>
          <w:sz w:val="20"/>
        </w:rPr>
      </w:pPr>
    </w:p>
    <w:p w:rsidR="00006044" w:rsidRDefault="00006044" w:rsidP="00006044">
      <w:pPr>
        <w:jc w:val="center"/>
        <w:rPr>
          <w:rFonts w:ascii="Verdana" w:hAnsi="Verdana"/>
          <w:b/>
          <w:caps/>
          <w:sz w:val="20"/>
        </w:rPr>
      </w:pPr>
      <w:r>
        <w:rPr>
          <w:rFonts w:ascii="Verdana" w:hAnsi="Verdana"/>
          <w:b/>
          <w:caps/>
          <w:sz w:val="20"/>
        </w:rPr>
        <w:t xml:space="preserve">Medidas Provisionales Respecto de </w:t>
      </w:r>
    </w:p>
    <w:p w:rsidR="00006044" w:rsidRDefault="00006044" w:rsidP="00006044">
      <w:pPr>
        <w:jc w:val="center"/>
        <w:rPr>
          <w:rFonts w:ascii="Verdana" w:hAnsi="Verdana"/>
          <w:b/>
          <w:caps/>
          <w:sz w:val="20"/>
        </w:rPr>
      </w:pPr>
      <w:r>
        <w:rPr>
          <w:rFonts w:ascii="Verdana" w:hAnsi="Verdana"/>
          <w:b/>
          <w:caps/>
          <w:sz w:val="20"/>
        </w:rPr>
        <w:t>LOS ESTADOS UNIDOS MEXICANOS</w:t>
      </w:r>
    </w:p>
    <w:p w:rsidR="00006044" w:rsidRDefault="00006044" w:rsidP="00006044">
      <w:pPr>
        <w:jc w:val="center"/>
        <w:rPr>
          <w:rFonts w:ascii="Verdana" w:hAnsi="Verdana"/>
          <w:b/>
          <w:caps/>
          <w:sz w:val="20"/>
        </w:rPr>
      </w:pPr>
    </w:p>
    <w:p w:rsidR="00006044" w:rsidRDefault="00006044" w:rsidP="00006044">
      <w:pPr>
        <w:jc w:val="center"/>
        <w:rPr>
          <w:rFonts w:ascii="Verdana" w:hAnsi="Verdana"/>
          <w:b/>
          <w:caps/>
          <w:sz w:val="20"/>
        </w:rPr>
      </w:pPr>
      <w:r>
        <w:rPr>
          <w:rFonts w:ascii="Verdana" w:hAnsi="Verdana"/>
          <w:b/>
          <w:caps/>
          <w:sz w:val="20"/>
        </w:rPr>
        <w:t xml:space="preserve">cASO Fernández ORTEGA y otros </w:t>
      </w:r>
    </w:p>
    <w:p w:rsidR="00006044" w:rsidRDefault="00006044" w:rsidP="00006044"/>
    <w:p w:rsidR="00006044" w:rsidRDefault="00006044" w:rsidP="00006044">
      <w:pPr>
        <w:rPr>
          <w:rFonts w:ascii="Verdana" w:hAnsi="Verdana"/>
          <w:b/>
          <w:caps/>
          <w:sz w:val="20"/>
        </w:rPr>
      </w:pPr>
      <w:r>
        <w:rPr>
          <w:rFonts w:ascii="Verdana" w:hAnsi="Verdana"/>
          <w:b/>
          <w:caps/>
          <w:sz w:val="20"/>
        </w:rPr>
        <w:t>VISTO:</w:t>
      </w:r>
    </w:p>
    <w:p w:rsidR="00006044" w:rsidRDefault="00006044" w:rsidP="00006044">
      <w:pPr>
        <w:rPr>
          <w:rFonts w:ascii="Verdana" w:hAnsi="Verdana"/>
          <w:b/>
          <w:caps/>
          <w:sz w:val="20"/>
        </w:rPr>
      </w:pPr>
    </w:p>
    <w:p w:rsidR="00006044" w:rsidRDefault="00006044" w:rsidP="00006044">
      <w:pPr>
        <w:rPr>
          <w:rFonts w:ascii="Verdana" w:hAnsi="Verdana"/>
          <w:b/>
          <w:caps/>
          <w:sz w:val="20"/>
        </w:rPr>
      </w:pPr>
    </w:p>
    <w:p w:rsidR="00006044" w:rsidRPr="00BC3EDA" w:rsidRDefault="00006044" w:rsidP="00006044">
      <w:pPr>
        <w:numPr>
          <w:ilvl w:val="0"/>
          <w:numId w:val="18"/>
        </w:numPr>
        <w:ind w:left="0" w:firstLine="0"/>
        <w:jc w:val="both"/>
        <w:rPr>
          <w:rFonts w:ascii="Verdana" w:hAnsi="Verdana"/>
          <w:sz w:val="20"/>
          <w:lang w:val="es-AR"/>
        </w:rPr>
      </w:pPr>
      <w:r>
        <w:rPr>
          <w:rFonts w:ascii="Verdana" w:hAnsi="Verdana"/>
          <w:sz w:val="20"/>
        </w:rPr>
        <w:t xml:space="preserve">La Sentencia de </w:t>
      </w:r>
      <w:r w:rsidRPr="00BC3EDA">
        <w:rPr>
          <w:rFonts w:ascii="Verdana" w:hAnsi="Verdana"/>
          <w:bCs/>
          <w:iCs/>
          <w:sz w:val="20"/>
          <w:lang w:bidi="en-US"/>
        </w:rPr>
        <w:t>Excepción Preliminar, Fondo, Reparaciones y Costas</w:t>
      </w:r>
      <w:r w:rsidRPr="00BC3EDA">
        <w:rPr>
          <w:rFonts w:ascii="Verdana" w:hAnsi="Verdana"/>
          <w:bCs/>
          <w:sz w:val="20"/>
          <w:lang w:bidi="en-US"/>
        </w:rPr>
        <w:t xml:space="preserve"> (en adelante también </w:t>
      </w:r>
      <w:r>
        <w:rPr>
          <w:rFonts w:ascii="Verdana" w:hAnsi="Verdana"/>
          <w:bCs/>
          <w:sz w:val="20"/>
          <w:lang w:bidi="en-US"/>
        </w:rPr>
        <w:t>“</w:t>
      </w:r>
      <w:r w:rsidRPr="00BC3EDA">
        <w:rPr>
          <w:rFonts w:ascii="Verdana" w:hAnsi="Verdana"/>
          <w:bCs/>
          <w:sz w:val="20"/>
          <w:lang w:bidi="en-US"/>
        </w:rPr>
        <w:t xml:space="preserve">la Sentencia”) emitida por </w:t>
      </w:r>
      <w:r>
        <w:rPr>
          <w:rFonts w:ascii="Verdana" w:hAnsi="Verdana"/>
          <w:sz w:val="20"/>
        </w:rPr>
        <w:t>la Corte Interamericana de Derechos Humanos (en adelante “la Corte Interamericana”, “la Corte” o “el Tribunal”) el 30 de agosto de 2011.</w:t>
      </w:r>
    </w:p>
    <w:p w:rsidR="00006044" w:rsidRPr="00BC3EDA" w:rsidRDefault="00006044" w:rsidP="00006044">
      <w:pPr>
        <w:jc w:val="both"/>
        <w:rPr>
          <w:rFonts w:ascii="Verdana" w:hAnsi="Verdana"/>
          <w:sz w:val="20"/>
          <w:lang w:val="es-AR"/>
        </w:rPr>
      </w:pPr>
    </w:p>
    <w:p w:rsidR="00006044" w:rsidRDefault="00006044" w:rsidP="00006044">
      <w:pPr>
        <w:numPr>
          <w:ilvl w:val="0"/>
          <w:numId w:val="18"/>
        </w:numPr>
        <w:ind w:left="0" w:firstLine="0"/>
        <w:jc w:val="both"/>
        <w:rPr>
          <w:rFonts w:ascii="Verdana" w:hAnsi="Verdana"/>
          <w:sz w:val="20"/>
          <w:lang w:val="es-AR"/>
        </w:rPr>
      </w:pPr>
      <w:r>
        <w:rPr>
          <w:rFonts w:ascii="Verdana" w:hAnsi="Verdana"/>
          <w:sz w:val="20"/>
        </w:rPr>
        <w:t>La Resolución de la Presidenta de la Corte de 9 de abril de 2009</w:t>
      </w:r>
      <w:r w:rsidRPr="00BC3EDA">
        <w:rPr>
          <w:rFonts w:ascii="Verdana" w:hAnsi="Verdana"/>
          <w:bCs/>
          <w:sz w:val="20"/>
          <w:lang w:bidi="en-US"/>
        </w:rPr>
        <w:t xml:space="preserve">, mediante la cual, </w:t>
      </w:r>
      <w:r w:rsidRPr="00BC3EDA">
        <w:rPr>
          <w:rFonts w:ascii="Verdana" w:hAnsi="Verdana"/>
          <w:bCs/>
          <w:i/>
          <w:sz w:val="20"/>
          <w:lang w:bidi="en-US"/>
        </w:rPr>
        <w:t xml:space="preserve">inter </w:t>
      </w:r>
      <w:proofErr w:type="spellStart"/>
      <w:r w:rsidRPr="00BC3EDA">
        <w:rPr>
          <w:rFonts w:ascii="Verdana" w:hAnsi="Verdana"/>
          <w:bCs/>
          <w:i/>
          <w:sz w:val="20"/>
          <w:lang w:bidi="en-US"/>
        </w:rPr>
        <w:t>alia</w:t>
      </w:r>
      <w:proofErr w:type="spellEnd"/>
      <w:r w:rsidRPr="00BC3EDA">
        <w:rPr>
          <w:rFonts w:ascii="Verdana" w:hAnsi="Verdana"/>
          <w:bCs/>
          <w:i/>
          <w:sz w:val="20"/>
          <w:lang w:bidi="en-US"/>
        </w:rPr>
        <w:t>,</w:t>
      </w:r>
      <w:r>
        <w:rPr>
          <w:rFonts w:ascii="Verdana" w:hAnsi="Verdana"/>
          <w:sz w:val="20"/>
        </w:rPr>
        <w:t xml:space="preserve"> requirió a los Estados Unidos Mexicanos (en adelante “México” o “el Estado”) que adoptara de forma inmediata las medidas que fueran necesarias para proteger la vida e integridad personal de </w:t>
      </w:r>
      <w:r>
        <w:rPr>
          <w:rFonts w:ascii="Verdana" w:hAnsi="Verdana"/>
          <w:sz w:val="20"/>
          <w:szCs w:val="16"/>
        </w:rPr>
        <w:t xml:space="preserve">las siguientes personas: a) </w:t>
      </w:r>
      <w:r>
        <w:rPr>
          <w:rFonts w:ascii="Verdana" w:hAnsi="Verdana"/>
          <w:sz w:val="20"/>
          <w:szCs w:val="16"/>
          <w:lang w:val="es-CL"/>
        </w:rPr>
        <w:t xml:space="preserve">Obtilia Eugenio Manuel y determinados familiares; </w:t>
      </w:r>
      <w:r>
        <w:rPr>
          <w:rFonts w:ascii="Verdana" w:hAnsi="Verdana"/>
          <w:sz w:val="20"/>
          <w:szCs w:val="16"/>
        </w:rPr>
        <w:t xml:space="preserve">b) </w:t>
      </w:r>
      <w:r>
        <w:rPr>
          <w:rFonts w:ascii="Verdana" w:hAnsi="Verdana"/>
          <w:sz w:val="20"/>
          <w:szCs w:val="16"/>
          <w:lang w:val="es-CL"/>
        </w:rPr>
        <w:t xml:space="preserve">Inés Fernández Ortega y determinados familiares; c) 41 integrantes de la </w:t>
      </w:r>
      <w:r>
        <w:rPr>
          <w:rFonts w:ascii="Verdana" w:hAnsi="Verdana"/>
          <w:sz w:val="20"/>
          <w:szCs w:val="16"/>
          <w:lang w:val="es-ES"/>
        </w:rPr>
        <w:t xml:space="preserve">Organización del Pueblo Indígena </w:t>
      </w:r>
      <w:proofErr w:type="spellStart"/>
      <w:r>
        <w:rPr>
          <w:rFonts w:ascii="Verdana" w:hAnsi="Verdana"/>
          <w:sz w:val="20"/>
          <w:szCs w:val="16"/>
          <w:lang w:val="es-ES"/>
        </w:rPr>
        <w:t>Tlapaneco</w:t>
      </w:r>
      <w:proofErr w:type="spellEnd"/>
      <w:r>
        <w:rPr>
          <w:rFonts w:ascii="Verdana" w:hAnsi="Verdana"/>
          <w:sz w:val="20"/>
          <w:szCs w:val="16"/>
          <w:lang w:val="es-ES"/>
        </w:rPr>
        <w:t xml:space="preserve"> A.C. </w:t>
      </w:r>
      <w:r>
        <w:rPr>
          <w:rFonts w:ascii="Verdana" w:hAnsi="Verdana"/>
          <w:sz w:val="20"/>
        </w:rPr>
        <w:t xml:space="preserve">(en adelante también “OPIT” </w:t>
      </w:r>
      <w:r w:rsidR="001350A0">
        <w:rPr>
          <w:rFonts w:ascii="Verdana" w:hAnsi="Verdana"/>
          <w:sz w:val="20"/>
        </w:rPr>
        <w:t>u</w:t>
      </w:r>
      <w:r>
        <w:rPr>
          <w:rFonts w:ascii="Verdana" w:hAnsi="Verdana"/>
          <w:sz w:val="20"/>
        </w:rPr>
        <w:t xml:space="preserve"> “OPIM”)</w:t>
      </w:r>
      <w:r>
        <w:rPr>
          <w:rFonts w:ascii="Verdana" w:hAnsi="Verdana"/>
          <w:sz w:val="20"/>
          <w:szCs w:val="16"/>
          <w:lang w:val="es-CL"/>
        </w:rPr>
        <w:t>; d) 29 miembros de</w:t>
      </w:r>
      <w:r>
        <w:rPr>
          <w:rFonts w:ascii="Verdana" w:hAnsi="Verdana"/>
          <w:sz w:val="20"/>
          <w:szCs w:val="16"/>
          <w:lang w:val="es-ES"/>
        </w:rPr>
        <w:t xml:space="preserve">l </w:t>
      </w:r>
      <w:r>
        <w:rPr>
          <w:rFonts w:ascii="Verdana" w:hAnsi="Verdana"/>
          <w:sz w:val="20"/>
        </w:rPr>
        <w:t xml:space="preserve">Centro de Derechos Humanos de la Montaña </w:t>
      </w:r>
      <w:proofErr w:type="spellStart"/>
      <w:r>
        <w:rPr>
          <w:rFonts w:ascii="Verdana" w:hAnsi="Verdana"/>
          <w:sz w:val="20"/>
        </w:rPr>
        <w:t>Tlachinollan</w:t>
      </w:r>
      <w:proofErr w:type="spellEnd"/>
      <w:r>
        <w:rPr>
          <w:rFonts w:ascii="Verdana" w:hAnsi="Verdana"/>
          <w:sz w:val="20"/>
          <w:szCs w:val="16"/>
          <w:lang w:val="es-ES"/>
        </w:rPr>
        <w:t xml:space="preserve"> A.C. </w:t>
      </w:r>
      <w:r>
        <w:rPr>
          <w:rFonts w:ascii="Verdana" w:hAnsi="Verdana"/>
          <w:sz w:val="20"/>
        </w:rPr>
        <w:t>(en adelante “</w:t>
      </w:r>
      <w:proofErr w:type="spellStart"/>
      <w:r>
        <w:rPr>
          <w:rFonts w:ascii="Verdana" w:hAnsi="Verdana"/>
          <w:sz w:val="20"/>
        </w:rPr>
        <w:t>Tlachinollan</w:t>
      </w:r>
      <w:proofErr w:type="spellEnd"/>
      <w:r>
        <w:rPr>
          <w:rFonts w:ascii="Verdana" w:hAnsi="Verdana"/>
          <w:sz w:val="20"/>
        </w:rPr>
        <w:t>”)</w:t>
      </w:r>
      <w:r>
        <w:rPr>
          <w:rFonts w:ascii="Verdana" w:hAnsi="Verdana"/>
          <w:sz w:val="20"/>
          <w:szCs w:val="16"/>
          <w:lang w:val="es-ES"/>
        </w:rPr>
        <w:t>, y</w:t>
      </w:r>
      <w:r>
        <w:rPr>
          <w:rFonts w:ascii="Verdana" w:hAnsi="Verdana"/>
          <w:sz w:val="20"/>
          <w:szCs w:val="16"/>
          <w:lang w:val="es-CL"/>
        </w:rPr>
        <w:t xml:space="preserve"> e) determinados familiares de Raúl Lucas </w:t>
      </w:r>
      <w:r w:rsidR="00750187">
        <w:rPr>
          <w:rFonts w:ascii="Verdana" w:hAnsi="Verdana"/>
          <w:sz w:val="20"/>
          <w:szCs w:val="16"/>
          <w:lang w:val="es-CL"/>
        </w:rPr>
        <w:t>Lucía</w:t>
      </w:r>
      <w:r>
        <w:rPr>
          <w:rFonts w:ascii="Verdana" w:hAnsi="Verdana"/>
          <w:sz w:val="20"/>
          <w:szCs w:val="16"/>
          <w:lang w:val="es-CL"/>
        </w:rPr>
        <w:t xml:space="preserve"> y Manuel Ponce Rosas</w:t>
      </w:r>
      <w:r>
        <w:rPr>
          <w:rFonts w:ascii="Verdana" w:hAnsi="Verdana"/>
          <w:sz w:val="20"/>
          <w:szCs w:val="16"/>
          <w:lang w:val="es-AR"/>
        </w:rPr>
        <w:t>.</w:t>
      </w:r>
      <w:r>
        <w:rPr>
          <w:rFonts w:ascii="Verdana" w:hAnsi="Verdana"/>
          <w:sz w:val="20"/>
          <w:lang w:val="es-AR"/>
        </w:rPr>
        <w:t xml:space="preserve"> </w:t>
      </w:r>
    </w:p>
    <w:p w:rsidR="00006044" w:rsidRPr="00750187" w:rsidRDefault="00006044" w:rsidP="00006044">
      <w:pPr>
        <w:jc w:val="both"/>
        <w:rPr>
          <w:rFonts w:ascii="Verdana" w:hAnsi="Verdana"/>
          <w:sz w:val="20"/>
          <w:lang w:val="es-AR"/>
        </w:rPr>
      </w:pPr>
    </w:p>
    <w:p w:rsidR="00006044" w:rsidRDefault="00006044" w:rsidP="00006044">
      <w:pPr>
        <w:numPr>
          <w:ilvl w:val="0"/>
          <w:numId w:val="18"/>
        </w:numPr>
        <w:ind w:left="0" w:firstLine="0"/>
        <w:jc w:val="both"/>
        <w:rPr>
          <w:rFonts w:ascii="Verdana" w:hAnsi="Verdana"/>
          <w:sz w:val="20"/>
          <w:szCs w:val="16"/>
          <w:lang w:val="es-CL"/>
        </w:rPr>
      </w:pPr>
      <w:r>
        <w:rPr>
          <w:rFonts w:ascii="Verdana" w:hAnsi="Verdana"/>
          <w:sz w:val="20"/>
        </w:rPr>
        <w:t>La Resolución emitida por el Tribunal el 30 de abril de 2009, mediante la cual ratificó</w:t>
      </w:r>
      <w:r>
        <w:rPr>
          <w:rFonts w:ascii="Verdana" w:hAnsi="Verdana"/>
          <w:sz w:val="20"/>
          <w:szCs w:val="16"/>
        </w:rPr>
        <w:t xml:space="preserve"> la Resolución de la Presidenta de la Corte y requirió al Estado mantener las medidas que estuviere implementando, así como adoptar las medidas complementarias que fueran necesarias para proteger la vida e integridad de las personas antes mencionadas.</w:t>
      </w:r>
    </w:p>
    <w:p w:rsidR="00006044" w:rsidRDefault="00006044" w:rsidP="00006044">
      <w:pPr>
        <w:jc w:val="both"/>
        <w:rPr>
          <w:rFonts w:ascii="Verdana" w:hAnsi="Verdana"/>
          <w:sz w:val="20"/>
          <w:lang w:val="es-CL"/>
        </w:rPr>
      </w:pPr>
    </w:p>
    <w:p w:rsidR="00006044" w:rsidRPr="00FB6801" w:rsidRDefault="00006044" w:rsidP="00006044">
      <w:pPr>
        <w:numPr>
          <w:ilvl w:val="0"/>
          <w:numId w:val="18"/>
        </w:numPr>
        <w:ind w:left="0" w:firstLine="0"/>
        <w:jc w:val="both"/>
        <w:rPr>
          <w:rFonts w:ascii="Verdana" w:hAnsi="Verdana"/>
          <w:sz w:val="20"/>
        </w:rPr>
      </w:pPr>
      <w:r w:rsidRPr="00FB6801">
        <w:rPr>
          <w:rFonts w:ascii="Verdana" w:hAnsi="Verdana"/>
          <w:sz w:val="20"/>
        </w:rPr>
        <w:t>La</w:t>
      </w:r>
      <w:r w:rsidR="001350A0">
        <w:rPr>
          <w:rFonts w:ascii="Verdana" w:hAnsi="Verdana"/>
          <w:sz w:val="20"/>
        </w:rPr>
        <w:t>s</w:t>
      </w:r>
      <w:r w:rsidRPr="00FB6801">
        <w:rPr>
          <w:rFonts w:ascii="Verdana" w:hAnsi="Verdana"/>
          <w:sz w:val="20"/>
        </w:rPr>
        <w:t xml:space="preserve"> Resoluci</w:t>
      </w:r>
      <w:r w:rsidR="001350A0">
        <w:rPr>
          <w:rFonts w:ascii="Verdana" w:hAnsi="Verdana"/>
          <w:sz w:val="20"/>
        </w:rPr>
        <w:t>o</w:t>
      </w:r>
      <w:r w:rsidRPr="00FB6801">
        <w:rPr>
          <w:rFonts w:ascii="Verdana" w:hAnsi="Verdana"/>
          <w:sz w:val="20"/>
        </w:rPr>
        <w:t>n</w:t>
      </w:r>
      <w:r w:rsidR="001350A0">
        <w:rPr>
          <w:rFonts w:ascii="Verdana" w:hAnsi="Verdana"/>
          <w:sz w:val="20"/>
        </w:rPr>
        <w:t>es</w:t>
      </w:r>
      <w:r w:rsidRPr="00FB6801">
        <w:rPr>
          <w:rFonts w:ascii="Verdana" w:hAnsi="Verdana"/>
          <w:sz w:val="20"/>
        </w:rPr>
        <w:t xml:space="preserve"> de la Presidenta del Tribunal de 23 de diciembre de 2009 y de la Corte Interamericana de 23 de noviembre de 2010, mediante las cuales se desestimaron solicitudes de ampliación de las presentes medidas provisionales requeridas por los representantes.</w:t>
      </w:r>
    </w:p>
    <w:p w:rsidR="00006044" w:rsidRPr="00FB6801" w:rsidRDefault="00006044" w:rsidP="00006044">
      <w:pPr>
        <w:jc w:val="both"/>
        <w:rPr>
          <w:rFonts w:ascii="Verdana" w:hAnsi="Verdana"/>
          <w:sz w:val="20"/>
        </w:rPr>
      </w:pPr>
    </w:p>
    <w:p w:rsidR="00006044" w:rsidRDefault="00006044" w:rsidP="00006044">
      <w:pPr>
        <w:numPr>
          <w:ilvl w:val="0"/>
          <w:numId w:val="18"/>
        </w:numPr>
        <w:ind w:left="0" w:firstLine="0"/>
        <w:jc w:val="both"/>
        <w:rPr>
          <w:rFonts w:ascii="Verdana" w:hAnsi="Verdana"/>
          <w:sz w:val="20"/>
        </w:rPr>
      </w:pPr>
      <w:r>
        <w:rPr>
          <w:rFonts w:ascii="Verdana" w:hAnsi="Verdana"/>
          <w:sz w:val="20"/>
        </w:rPr>
        <w:t>Los escritos presentados entre el 20 de julio de 2009 y el 2 de diciembre de 2011</w:t>
      </w:r>
      <w:r w:rsidR="001350A0">
        <w:rPr>
          <w:rFonts w:ascii="Verdana" w:hAnsi="Verdana"/>
          <w:sz w:val="20"/>
        </w:rPr>
        <w:t xml:space="preserve"> y sus respectivos anexos</w:t>
      </w:r>
      <w:r>
        <w:rPr>
          <w:rFonts w:ascii="Verdana" w:hAnsi="Verdana"/>
          <w:sz w:val="20"/>
        </w:rPr>
        <w:t xml:space="preserve">, mediante los cuales el Estado remitió sus informes primero al décimo quinto sobre el cumplimiento de las medidas provisionales. </w:t>
      </w:r>
    </w:p>
    <w:p w:rsidR="00006044" w:rsidRDefault="00006044" w:rsidP="00006044">
      <w:pPr>
        <w:pStyle w:val="ListParagraph"/>
        <w:rPr>
          <w:rFonts w:ascii="Verdana" w:hAnsi="Verdana"/>
          <w:sz w:val="20"/>
        </w:rPr>
      </w:pPr>
    </w:p>
    <w:p w:rsidR="00006044" w:rsidRPr="00AF7835" w:rsidRDefault="00006044" w:rsidP="00006044">
      <w:pPr>
        <w:numPr>
          <w:ilvl w:val="0"/>
          <w:numId w:val="18"/>
        </w:numPr>
        <w:ind w:left="0" w:firstLine="0"/>
        <w:jc w:val="both"/>
        <w:rPr>
          <w:rFonts w:ascii="Verdana" w:hAnsi="Verdana"/>
          <w:sz w:val="20"/>
        </w:rPr>
      </w:pPr>
      <w:r>
        <w:rPr>
          <w:rFonts w:ascii="Verdana" w:hAnsi="Verdana"/>
          <w:sz w:val="20"/>
        </w:rPr>
        <w:t xml:space="preserve">Los escritos </w:t>
      </w:r>
      <w:r w:rsidR="001350A0">
        <w:rPr>
          <w:rFonts w:ascii="Verdana" w:hAnsi="Verdana"/>
          <w:sz w:val="20"/>
        </w:rPr>
        <w:t>presentados entre el</w:t>
      </w:r>
      <w:r>
        <w:rPr>
          <w:rFonts w:ascii="Verdana" w:hAnsi="Verdana"/>
          <w:sz w:val="20"/>
        </w:rPr>
        <w:t xml:space="preserve"> 21 de agosto de 2009 </w:t>
      </w:r>
      <w:r w:rsidR="001350A0">
        <w:rPr>
          <w:rFonts w:ascii="Verdana" w:hAnsi="Verdana"/>
          <w:sz w:val="20"/>
        </w:rPr>
        <w:t>y el</w:t>
      </w:r>
      <w:r>
        <w:rPr>
          <w:rFonts w:ascii="Verdana" w:hAnsi="Verdana"/>
          <w:sz w:val="20"/>
        </w:rPr>
        <w:t xml:space="preserve"> 10 de enero de 2012</w:t>
      </w:r>
      <w:r w:rsidR="001350A0">
        <w:rPr>
          <w:rFonts w:ascii="Verdana" w:hAnsi="Verdana"/>
          <w:sz w:val="20"/>
        </w:rPr>
        <w:t xml:space="preserve"> y sus respectivos anexos</w:t>
      </w:r>
      <w:r>
        <w:rPr>
          <w:rFonts w:ascii="Verdana" w:hAnsi="Verdana"/>
          <w:sz w:val="20"/>
        </w:rPr>
        <w:t xml:space="preserve">, mediante los cuales los representantes </w:t>
      </w:r>
      <w:r w:rsidR="00D3373F">
        <w:rPr>
          <w:rFonts w:ascii="Verdana" w:hAnsi="Verdana"/>
          <w:sz w:val="20"/>
        </w:rPr>
        <w:t xml:space="preserve">de los beneficiarios (en adelante también “los representantes”) </w:t>
      </w:r>
      <w:r>
        <w:rPr>
          <w:rFonts w:ascii="Verdana" w:hAnsi="Verdana"/>
          <w:sz w:val="20"/>
        </w:rPr>
        <w:t>remitieron observaciones a los informes estatales de cumplimiento.</w:t>
      </w:r>
    </w:p>
    <w:p w:rsidR="00006044" w:rsidRDefault="00006044" w:rsidP="00006044">
      <w:pPr>
        <w:jc w:val="both"/>
        <w:rPr>
          <w:rFonts w:ascii="Verdana" w:hAnsi="Verdana"/>
          <w:sz w:val="20"/>
        </w:rPr>
      </w:pPr>
    </w:p>
    <w:p w:rsidR="00006044" w:rsidRDefault="00006044" w:rsidP="00006044">
      <w:pPr>
        <w:numPr>
          <w:ilvl w:val="0"/>
          <w:numId w:val="18"/>
        </w:numPr>
        <w:ind w:left="0" w:firstLine="0"/>
        <w:jc w:val="both"/>
        <w:rPr>
          <w:rFonts w:ascii="Verdana" w:hAnsi="Verdana"/>
          <w:sz w:val="20"/>
        </w:rPr>
      </w:pPr>
      <w:r>
        <w:rPr>
          <w:rFonts w:ascii="Verdana" w:hAnsi="Verdana"/>
          <w:sz w:val="20"/>
        </w:rPr>
        <w:t xml:space="preserve">Los escritos </w:t>
      </w:r>
      <w:r w:rsidR="001350A0">
        <w:rPr>
          <w:rFonts w:ascii="Verdana" w:hAnsi="Verdana"/>
          <w:sz w:val="20"/>
        </w:rPr>
        <w:t>presentados entre</w:t>
      </w:r>
      <w:r>
        <w:rPr>
          <w:rFonts w:ascii="Verdana" w:hAnsi="Verdana"/>
          <w:sz w:val="20"/>
        </w:rPr>
        <w:t xml:space="preserve"> </w:t>
      </w:r>
      <w:r w:rsidR="001350A0">
        <w:rPr>
          <w:rFonts w:ascii="Verdana" w:hAnsi="Verdana"/>
          <w:sz w:val="20"/>
        </w:rPr>
        <w:t xml:space="preserve">el </w:t>
      </w:r>
      <w:r>
        <w:rPr>
          <w:rFonts w:ascii="Verdana" w:hAnsi="Verdana"/>
          <w:sz w:val="20"/>
        </w:rPr>
        <w:t xml:space="preserve">8 de septiembre de 2009 </w:t>
      </w:r>
      <w:r w:rsidR="001350A0">
        <w:rPr>
          <w:rFonts w:ascii="Verdana" w:hAnsi="Verdana"/>
          <w:sz w:val="20"/>
        </w:rPr>
        <w:t>y el</w:t>
      </w:r>
      <w:r>
        <w:rPr>
          <w:rFonts w:ascii="Verdana" w:hAnsi="Verdana"/>
          <w:sz w:val="20"/>
        </w:rPr>
        <w:t xml:space="preserve"> 18 de noviembre de 2011, mediante los cuales la Comisión Interamericana de Derechos Humanos </w:t>
      </w:r>
      <w:r w:rsidR="00D3373F">
        <w:rPr>
          <w:rFonts w:ascii="Verdana" w:hAnsi="Verdana"/>
          <w:sz w:val="20"/>
        </w:rPr>
        <w:t>(en adelante también “</w:t>
      </w:r>
      <w:r w:rsidR="001350A0">
        <w:rPr>
          <w:rFonts w:ascii="Verdana" w:hAnsi="Verdana"/>
          <w:sz w:val="20"/>
        </w:rPr>
        <w:t xml:space="preserve">la </w:t>
      </w:r>
      <w:r w:rsidR="00D3373F">
        <w:rPr>
          <w:rFonts w:ascii="Verdana" w:hAnsi="Verdana"/>
          <w:sz w:val="20"/>
        </w:rPr>
        <w:t>Comisión Interamericana” o “</w:t>
      </w:r>
      <w:r w:rsidR="001350A0">
        <w:rPr>
          <w:rFonts w:ascii="Verdana" w:hAnsi="Verdana"/>
          <w:sz w:val="20"/>
        </w:rPr>
        <w:t xml:space="preserve">la </w:t>
      </w:r>
      <w:r w:rsidR="00D3373F">
        <w:rPr>
          <w:rFonts w:ascii="Verdana" w:hAnsi="Verdana"/>
          <w:sz w:val="20"/>
        </w:rPr>
        <w:t xml:space="preserve">Comisión”) </w:t>
      </w:r>
      <w:r>
        <w:rPr>
          <w:rFonts w:ascii="Verdana" w:hAnsi="Verdana"/>
          <w:sz w:val="20"/>
        </w:rPr>
        <w:t>remitió sus observaciones a los informes estatales y a las observaciones de los representantes.</w:t>
      </w:r>
    </w:p>
    <w:p w:rsidR="00006044" w:rsidRDefault="00006044" w:rsidP="00006044">
      <w:pPr>
        <w:pStyle w:val="ListParagraph"/>
        <w:rPr>
          <w:rFonts w:ascii="Verdana" w:hAnsi="Verdana"/>
          <w:sz w:val="20"/>
        </w:rPr>
      </w:pPr>
    </w:p>
    <w:p w:rsidR="00006044" w:rsidRPr="0051453F" w:rsidRDefault="00006044" w:rsidP="00006044">
      <w:pPr>
        <w:numPr>
          <w:ilvl w:val="0"/>
          <w:numId w:val="18"/>
        </w:numPr>
        <w:ind w:left="0" w:firstLine="0"/>
        <w:jc w:val="both"/>
        <w:rPr>
          <w:rFonts w:ascii="Verdana" w:hAnsi="Verdana"/>
          <w:sz w:val="20"/>
        </w:rPr>
      </w:pPr>
      <w:r>
        <w:rPr>
          <w:rFonts w:ascii="Verdana" w:hAnsi="Verdana"/>
          <w:sz w:val="20"/>
        </w:rPr>
        <w:lastRenderedPageBreak/>
        <w:t xml:space="preserve">Los escritos de 20 de noviembre y 18 de diciembre de 2009, de 22 de enero, 16 y  18 de marzo, </w:t>
      </w:r>
      <w:r w:rsidR="00D3373F">
        <w:rPr>
          <w:rFonts w:ascii="Verdana" w:hAnsi="Verdana"/>
          <w:sz w:val="20"/>
        </w:rPr>
        <w:t>19 de julio, 31 de agosto y</w:t>
      </w:r>
      <w:r>
        <w:rPr>
          <w:rFonts w:ascii="Verdana" w:hAnsi="Verdana"/>
          <w:sz w:val="20"/>
        </w:rPr>
        <w:t xml:space="preserve"> 1 de diciembre de 2010, y de 22 de marzo, 23 de junio, 4 y 6 de julio de 2011 y sus anexos, </w:t>
      </w:r>
      <w:r w:rsidR="00FD0AE9">
        <w:rPr>
          <w:rFonts w:ascii="Verdana" w:hAnsi="Verdana"/>
          <w:sz w:val="20"/>
        </w:rPr>
        <w:t xml:space="preserve">entre otros, </w:t>
      </w:r>
      <w:r>
        <w:rPr>
          <w:rFonts w:ascii="Verdana" w:hAnsi="Verdana"/>
          <w:sz w:val="20"/>
        </w:rPr>
        <w:t xml:space="preserve">mediante los cuales los representantes informaron, respectivamente, sobre alegados hechos de amenaza, hostigamiento o violencia en contra de </w:t>
      </w:r>
      <w:r w:rsidR="007C2C28">
        <w:rPr>
          <w:rFonts w:ascii="Verdana" w:hAnsi="Verdana"/>
          <w:sz w:val="20"/>
        </w:rPr>
        <w:t xml:space="preserve">determinados </w:t>
      </w:r>
      <w:r>
        <w:rPr>
          <w:rFonts w:ascii="Verdana" w:hAnsi="Verdana"/>
          <w:sz w:val="20"/>
        </w:rPr>
        <w:t xml:space="preserve">beneficiarios de las medidas provisionales.  </w:t>
      </w:r>
    </w:p>
    <w:p w:rsidR="00006044" w:rsidRDefault="00006044" w:rsidP="00006044">
      <w:pPr>
        <w:pStyle w:val="ListParagraph"/>
        <w:ind w:left="0"/>
        <w:jc w:val="both"/>
        <w:rPr>
          <w:rFonts w:ascii="Verdana" w:hAnsi="Verdana"/>
          <w:b/>
          <w:sz w:val="20"/>
        </w:rPr>
      </w:pPr>
    </w:p>
    <w:p w:rsidR="00006044" w:rsidRPr="00384BCC" w:rsidRDefault="00006044" w:rsidP="00006044">
      <w:pPr>
        <w:pStyle w:val="ListParagraph"/>
        <w:numPr>
          <w:ilvl w:val="0"/>
          <w:numId w:val="18"/>
        </w:numPr>
        <w:ind w:left="0" w:firstLine="0"/>
        <w:jc w:val="both"/>
        <w:rPr>
          <w:rFonts w:ascii="Verdana" w:hAnsi="Verdana"/>
          <w:b/>
          <w:sz w:val="20"/>
        </w:rPr>
      </w:pPr>
      <w:r w:rsidRPr="00384BCC">
        <w:rPr>
          <w:rFonts w:ascii="Verdana" w:hAnsi="Verdana"/>
          <w:sz w:val="20"/>
        </w:rPr>
        <w:t xml:space="preserve">El escrito de 28 de mayo de 2010, mediante el cual la Comisión informó </w:t>
      </w:r>
      <w:r>
        <w:rPr>
          <w:rFonts w:ascii="Verdana" w:hAnsi="Verdana"/>
          <w:sz w:val="20"/>
        </w:rPr>
        <w:t xml:space="preserve">sobre un hecho en contra de </w:t>
      </w:r>
      <w:r w:rsidRPr="00384BCC">
        <w:rPr>
          <w:rFonts w:ascii="Verdana" w:hAnsi="Verdana"/>
          <w:sz w:val="20"/>
        </w:rPr>
        <w:t xml:space="preserve">Ana Luz Prisciliano Fernández. </w:t>
      </w:r>
    </w:p>
    <w:p w:rsidR="00006044" w:rsidRPr="00BC3EDA" w:rsidRDefault="00006044" w:rsidP="00006044">
      <w:pPr>
        <w:pStyle w:val="ListParagraph"/>
        <w:ind w:left="0"/>
        <w:jc w:val="both"/>
        <w:rPr>
          <w:rFonts w:ascii="Verdana" w:hAnsi="Verdana"/>
          <w:sz w:val="20"/>
        </w:rPr>
      </w:pPr>
    </w:p>
    <w:p w:rsidR="00006044" w:rsidRPr="00BC3EDA" w:rsidRDefault="00006044" w:rsidP="00006044">
      <w:pPr>
        <w:pStyle w:val="ListParagraph"/>
        <w:numPr>
          <w:ilvl w:val="0"/>
          <w:numId w:val="18"/>
        </w:numPr>
        <w:ind w:left="0" w:firstLine="0"/>
        <w:jc w:val="both"/>
        <w:rPr>
          <w:rFonts w:ascii="Verdana" w:hAnsi="Verdana"/>
          <w:sz w:val="20"/>
        </w:rPr>
      </w:pPr>
      <w:r w:rsidRPr="00245B9E">
        <w:rPr>
          <w:rFonts w:ascii="Verdana" w:hAnsi="Verdana"/>
          <w:sz w:val="20"/>
          <w:lang w:bidi="en-US"/>
        </w:rPr>
        <w:t xml:space="preserve">La audiencia pública sobre las presentes medidas provisionales llevada a cabo el 28 de junio de 2011 durante el 91 Período Ordinario de Sesiones de la Corte Interamericana, en San José, Costa Rica. </w:t>
      </w:r>
    </w:p>
    <w:p w:rsidR="00006044" w:rsidRDefault="00006044" w:rsidP="00006044">
      <w:pPr>
        <w:pStyle w:val="ListParagraph"/>
        <w:rPr>
          <w:rFonts w:ascii="Verdana" w:hAnsi="Verdana"/>
          <w:sz w:val="20"/>
        </w:rPr>
      </w:pPr>
    </w:p>
    <w:p w:rsidR="00A475CA" w:rsidRDefault="00A475CA" w:rsidP="00006044">
      <w:pPr>
        <w:pStyle w:val="Ttulo4"/>
        <w:spacing w:before="0" w:after="0"/>
        <w:rPr>
          <w:rFonts w:ascii="Verdana" w:hAnsi="Verdana"/>
          <w:sz w:val="20"/>
          <w:szCs w:val="20"/>
        </w:rPr>
      </w:pPr>
    </w:p>
    <w:p w:rsidR="00006044" w:rsidRDefault="00006044" w:rsidP="00006044">
      <w:pPr>
        <w:pStyle w:val="Ttulo4"/>
        <w:spacing w:before="0" w:after="0"/>
        <w:rPr>
          <w:rFonts w:ascii="Verdana" w:hAnsi="Verdana"/>
          <w:sz w:val="20"/>
          <w:szCs w:val="20"/>
        </w:rPr>
      </w:pPr>
      <w:r>
        <w:rPr>
          <w:rFonts w:ascii="Verdana" w:hAnsi="Verdana"/>
          <w:sz w:val="20"/>
          <w:szCs w:val="20"/>
        </w:rPr>
        <w:t>C</w:t>
      </w:r>
      <w:r>
        <w:rPr>
          <w:rFonts w:ascii="Verdana" w:hAnsi="Verdana"/>
          <w:caps/>
          <w:smallCaps/>
          <w:sz w:val="20"/>
          <w:szCs w:val="20"/>
        </w:rPr>
        <w:t>onsiderando QUE:</w:t>
      </w:r>
    </w:p>
    <w:p w:rsidR="00006044" w:rsidRDefault="00006044" w:rsidP="00006044">
      <w:pPr>
        <w:jc w:val="both"/>
        <w:rPr>
          <w:rFonts w:ascii="Verdana" w:hAnsi="Verdana"/>
          <w:smallCaps/>
          <w:sz w:val="20"/>
        </w:rPr>
      </w:pPr>
    </w:p>
    <w:p w:rsidR="00006044" w:rsidRDefault="00006044" w:rsidP="00006044">
      <w:pPr>
        <w:numPr>
          <w:ilvl w:val="6"/>
          <w:numId w:val="2"/>
        </w:numPr>
        <w:tabs>
          <w:tab w:val="clear" w:pos="4680"/>
        </w:tabs>
        <w:ind w:left="0" w:firstLine="0"/>
        <w:jc w:val="both"/>
        <w:rPr>
          <w:rFonts w:ascii="Verdana" w:hAnsi="Verdana"/>
          <w:sz w:val="20"/>
        </w:rPr>
      </w:pPr>
      <w:r>
        <w:rPr>
          <w:rFonts w:ascii="Verdana" w:hAnsi="Verdana"/>
          <w:sz w:val="20"/>
        </w:rPr>
        <w:t>México es Estado Parte en la Convención Americana desde el 24 de marzo de 1981 y, de acuerdo con el artículo 62 de la Convención, reconoció la competencia contenciosa de la Corte el 16 de diciembre de 1998.</w:t>
      </w:r>
    </w:p>
    <w:p w:rsidR="00006044" w:rsidRDefault="00006044" w:rsidP="00006044">
      <w:pPr>
        <w:ind w:right="22"/>
        <w:jc w:val="both"/>
        <w:rPr>
          <w:rFonts w:ascii="Verdana" w:hAnsi="Verdana"/>
          <w:sz w:val="20"/>
        </w:rPr>
      </w:pPr>
    </w:p>
    <w:p w:rsidR="00006044" w:rsidRDefault="00006044" w:rsidP="00006044">
      <w:pPr>
        <w:numPr>
          <w:ilvl w:val="0"/>
          <w:numId w:val="2"/>
        </w:numPr>
        <w:ind w:left="0" w:right="22" w:firstLine="0"/>
        <w:jc w:val="both"/>
        <w:rPr>
          <w:rFonts w:ascii="Verdana" w:hAnsi="Verdana"/>
          <w:sz w:val="20"/>
        </w:rPr>
      </w:pPr>
      <w:r w:rsidRPr="00F02631">
        <w:rPr>
          <w:rFonts w:ascii="Verdana" w:hAnsi="Verdana"/>
          <w:sz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w:t>
      </w:r>
      <w:r w:rsidRPr="00F240AF">
        <w:rPr>
          <w:rStyle w:val="Refdenotaalpie"/>
          <w:rFonts w:ascii="Verdana" w:hAnsi="Verdana"/>
          <w:sz w:val="20"/>
        </w:rPr>
        <w:footnoteReference w:id="1"/>
      </w:r>
      <w:r w:rsidRPr="00F02631">
        <w:rPr>
          <w:rFonts w:ascii="Verdana" w:hAnsi="Verdana"/>
          <w:sz w:val="20"/>
        </w:rPr>
        <w:t>.</w:t>
      </w:r>
    </w:p>
    <w:p w:rsidR="00006044" w:rsidRPr="00F02631" w:rsidRDefault="00006044" w:rsidP="00006044">
      <w:pPr>
        <w:ind w:right="22"/>
        <w:jc w:val="both"/>
        <w:rPr>
          <w:rFonts w:ascii="Verdana" w:hAnsi="Verdana"/>
          <w:sz w:val="20"/>
        </w:rPr>
      </w:pPr>
    </w:p>
    <w:p w:rsidR="00D96A8A" w:rsidRPr="00330A5A" w:rsidRDefault="00D96A8A" w:rsidP="00006044">
      <w:pPr>
        <w:numPr>
          <w:ilvl w:val="0"/>
          <w:numId w:val="2"/>
        </w:numPr>
        <w:ind w:left="0" w:right="22" w:firstLine="0"/>
        <w:jc w:val="both"/>
        <w:rPr>
          <w:rFonts w:ascii="Verdana" w:hAnsi="Verdana"/>
          <w:sz w:val="20"/>
        </w:rPr>
      </w:pPr>
      <w:r w:rsidRPr="00330A5A">
        <w:rPr>
          <w:rFonts w:ascii="Verdana" w:hAnsi="Verdana"/>
          <w:sz w:val="20"/>
        </w:rPr>
        <w:t>En uso de su facultad para determinar su propia competencia, en su jurisprudencia constante la Corte ha interpretado el artículo 63.2 de la Convención Americana en el sentido de que en cualquier estado del procedimiento podrá ordenar medidas provisionales. Esto ha permitido al Tribunal decretar ese tipo de medidas, o mantenerlas vigentes, aún si ya se ha dictado sentencia de fondo y se han ordenado las reparaciones respectivas, cuando la Corte está supervisando su cumplimiento,  pues el caso continúa en conocimiento del Tribunal hasta que el Estado acate íntegramente el fallo. El ejercicio de esta competencia de la Corte es concordante con el carácter cautelar y tutelar de las medidas provisionales</w:t>
      </w:r>
      <w:r w:rsidRPr="00330A5A">
        <w:rPr>
          <w:rStyle w:val="Refdenotaalpie"/>
          <w:rFonts w:ascii="Verdana" w:hAnsi="Verdana"/>
          <w:sz w:val="20"/>
        </w:rPr>
        <w:footnoteReference w:id="2"/>
      </w:r>
      <w:r w:rsidRPr="00330A5A">
        <w:rPr>
          <w:rFonts w:ascii="Verdana" w:hAnsi="Verdana"/>
          <w:sz w:val="20"/>
        </w:rPr>
        <w:t>, lo cual le ha permitido al Tribunal garantizar la protección de derechos tan fundamentales como la vida y la integridad y la libertad personales. De no ordenar este tipo de salvaguardas mientras el Tribunal se encuentra supervisando una sentencia de fondo y reparaciones y concurren los extremos establecidos en el artículo 63.2 de la Convención, la Corte estaría incumpliendo su mandato de “evitar daños irreparables” a las personas.</w:t>
      </w:r>
    </w:p>
    <w:p w:rsidR="00D96A8A" w:rsidRDefault="00D96A8A" w:rsidP="00D96A8A">
      <w:pPr>
        <w:pStyle w:val="Prrafodelista"/>
        <w:rPr>
          <w:rFonts w:ascii="Verdana" w:hAnsi="Verdana"/>
          <w:sz w:val="20"/>
        </w:rPr>
      </w:pPr>
    </w:p>
    <w:p w:rsidR="00006044" w:rsidRPr="000F4006" w:rsidRDefault="00006044" w:rsidP="00006044">
      <w:pPr>
        <w:numPr>
          <w:ilvl w:val="0"/>
          <w:numId w:val="2"/>
        </w:numPr>
        <w:ind w:left="0" w:right="22" w:firstLine="0"/>
        <w:jc w:val="both"/>
        <w:rPr>
          <w:rFonts w:ascii="Verdana" w:hAnsi="Verdana"/>
          <w:sz w:val="20"/>
        </w:rPr>
      </w:pPr>
      <w:r w:rsidRPr="000F4006">
        <w:rPr>
          <w:rFonts w:ascii="Verdana" w:hAnsi="Verdana"/>
          <w:sz w:val="20"/>
        </w:rPr>
        <w:t xml:space="preserve">La disposición establecida en el artículo 63.2 de la Convención confiere un carácter obligatorio a la adopción, por parte del Estado, de las medidas provisionales que le ordene este Tribunal, ya que el principio básico del Derecho Internacional, </w:t>
      </w:r>
      <w:r w:rsidRPr="000F4006">
        <w:rPr>
          <w:rFonts w:ascii="Verdana" w:hAnsi="Verdana"/>
          <w:sz w:val="20"/>
        </w:rPr>
        <w:lastRenderedPageBreak/>
        <w:t>respaldado por la jurisprudencia internacional, ha señalado que los Estados deben cumplir sus obligaciones convencionales de buena fe (</w:t>
      </w:r>
      <w:r w:rsidRPr="000F4006">
        <w:rPr>
          <w:rFonts w:ascii="Verdana" w:hAnsi="Verdana"/>
          <w:i/>
          <w:sz w:val="20"/>
        </w:rPr>
        <w:t xml:space="preserve">pacta </w:t>
      </w:r>
      <w:proofErr w:type="spellStart"/>
      <w:r w:rsidRPr="000F4006">
        <w:rPr>
          <w:rFonts w:ascii="Verdana" w:hAnsi="Verdana"/>
          <w:i/>
          <w:sz w:val="20"/>
        </w:rPr>
        <w:t>sunt</w:t>
      </w:r>
      <w:proofErr w:type="spellEnd"/>
      <w:r w:rsidRPr="000F4006">
        <w:rPr>
          <w:rFonts w:ascii="Verdana" w:hAnsi="Verdana"/>
          <w:i/>
          <w:sz w:val="20"/>
        </w:rPr>
        <w:t xml:space="preserve"> </w:t>
      </w:r>
      <w:proofErr w:type="spellStart"/>
      <w:r w:rsidRPr="000F4006">
        <w:rPr>
          <w:rFonts w:ascii="Verdana" w:hAnsi="Verdana"/>
          <w:i/>
          <w:sz w:val="20"/>
        </w:rPr>
        <w:t>servanda</w:t>
      </w:r>
      <w:proofErr w:type="spellEnd"/>
      <w:r w:rsidRPr="000F4006">
        <w:rPr>
          <w:rFonts w:ascii="Verdana" w:hAnsi="Verdana"/>
          <w:sz w:val="20"/>
        </w:rPr>
        <w:t>)</w:t>
      </w:r>
      <w:r w:rsidRPr="000F4006">
        <w:rPr>
          <w:rStyle w:val="Refdenotaalpie"/>
          <w:rFonts w:ascii="Verdana" w:hAnsi="Verdana"/>
          <w:sz w:val="20"/>
        </w:rPr>
        <w:footnoteReference w:id="3"/>
      </w:r>
      <w:r w:rsidRPr="000F4006">
        <w:rPr>
          <w:rFonts w:ascii="Verdana" w:hAnsi="Verdana"/>
          <w:sz w:val="20"/>
        </w:rPr>
        <w:t>.</w:t>
      </w:r>
    </w:p>
    <w:p w:rsidR="00006044" w:rsidRPr="000F4006" w:rsidRDefault="00006044" w:rsidP="00006044">
      <w:pPr>
        <w:ind w:right="22"/>
        <w:jc w:val="both"/>
        <w:rPr>
          <w:rFonts w:ascii="Verdana" w:hAnsi="Verdana"/>
          <w:sz w:val="20"/>
        </w:rPr>
      </w:pPr>
    </w:p>
    <w:p w:rsidR="00006044" w:rsidRPr="000F4006" w:rsidRDefault="00006044" w:rsidP="00006044">
      <w:pPr>
        <w:numPr>
          <w:ilvl w:val="0"/>
          <w:numId w:val="2"/>
        </w:numPr>
        <w:ind w:left="0" w:right="22" w:firstLine="0"/>
        <w:jc w:val="both"/>
        <w:rPr>
          <w:rFonts w:ascii="Verdana" w:hAnsi="Verdana"/>
          <w:sz w:val="20"/>
        </w:rPr>
      </w:pPr>
      <w:r w:rsidRPr="008D1C22">
        <w:rPr>
          <w:rFonts w:ascii="Verdana" w:hAnsi="Verdana"/>
          <w:sz w:val="20"/>
        </w:rPr>
        <w:t>En el Derecho Internacional de los Derechos Humanos las medidas provisionales tienen un carácter no sólo cautelar, en el sentido de que preservan una situación jurídica, sino fundamentalmente tutelar, por cuanto protegen derechos humanos, en la medida en que buscan evitar daños irreparables a las personas. Las medidas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8D1C22">
        <w:rPr>
          <w:rStyle w:val="Refdenotaalpie"/>
          <w:sz w:val="20"/>
        </w:rPr>
        <w:footnoteReference w:id="4"/>
      </w:r>
      <w:r w:rsidRPr="008D1C22">
        <w:rPr>
          <w:rFonts w:ascii="Verdana" w:hAnsi="Verdana"/>
          <w:sz w:val="20"/>
        </w:rPr>
        <w:t>.</w:t>
      </w:r>
    </w:p>
    <w:p w:rsidR="00006044" w:rsidRDefault="00006044" w:rsidP="00006044">
      <w:pPr>
        <w:pStyle w:val="ListParagraph"/>
        <w:ind w:left="0"/>
        <w:rPr>
          <w:rFonts w:ascii="Verdana" w:hAnsi="Verdana"/>
          <w:sz w:val="20"/>
        </w:rPr>
      </w:pPr>
    </w:p>
    <w:p w:rsidR="00006044" w:rsidRPr="000C39CE" w:rsidRDefault="00DC290A" w:rsidP="00006044">
      <w:pPr>
        <w:pStyle w:val="ListParagraph"/>
        <w:numPr>
          <w:ilvl w:val="1"/>
          <w:numId w:val="2"/>
        </w:numPr>
        <w:rPr>
          <w:rFonts w:ascii="Verdana" w:hAnsi="Verdana"/>
          <w:b/>
          <w:i/>
          <w:sz w:val="20"/>
        </w:rPr>
      </w:pPr>
      <w:r w:rsidRPr="000C39CE">
        <w:rPr>
          <w:rFonts w:ascii="Verdana" w:hAnsi="Verdana"/>
          <w:b/>
          <w:i/>
          <w:sz w:val="20"/>
        </w:rPr>
        <w:t>Implementación de las medidas provisionales</w:t>
      </w:r>
    </w:p>
    <w:p w:rsidR="00006044" w:rsidRPr="00323AF9" w:rsidRDefault="00006044" w:rsidP="00006044">
      <w:pPr>
        <w:jc w:val="both"/>
        <w:rPr>
          <w:rFonts w:ascii="Verdana" w:hAnsi="Verdana"/>
          <w:sz w:val="20"/>
        </w:rPr>
      </w:pPr>
    </w:p>
    <w:p w:rsidR="00006044" w:rsidRDefault="00006044" w:rsidP="00006044">
      <w:pPr>
        <w:numPr>
          <w:ilvl w:val="0"/>
          <w:numId w:val="2"/>
        </w:numPr>
        <w:tabs>
          <w:tab w:val="clear" w:pos="720"/>
          <w:tab w:val="num" w:pos="0"/>
        </w:tabs>
        <w:ind w:left="0" w:firstLine="0"/>
        <w:jc w:val="both"/>
        <w:rPr>
          <w:rFonts w:ascii="Verdana" w:hAnsi="Verdana"/>
          <w:sz w:val="20"/>
        </w:rPr>
      </w:pPr>
      <w:r>
        <w:rPr>
          <w:rFonts w:ascii="Verdana" w:hAnsi="Verdana"/>
          <w:sz w:val="20"/>
        </w:rPr>
        <w:t>En relación con las medidas de seguridad solicitadas por los representantes</w:t>
      </w:r>
      <w:r>
        <w:rPr>
          <w:rStyle w:val="Refdenotaalpie"/>
          <w:rFonts w:ascii="Verdana" w:hAnsi="Verdana"/>
          <w:sz w:val="20"/>
        </w:rPr>
        <w:footnoteReference w:id="5"/>
      </w:r>
      <w:r>
        <w:rPr>
          <w:rFonts w:ascii="Verdana" w:hAnsi="Verdana"/>
          <w:sz w:val="20"/>
        </w:rPr>
        <w:t xml:space="preserve">, el </w:t>
      </w:r>
      <w:r w:rsidRPr="00DC3D95">
        <w:rPr>
          <w:rFonts w:ascii="Verdana" w:hAnsi="Verdana"/>
          <w:sz w:val="20"/>
        </w:rPr>
        <w:t xml:space="preserve">Estado </w:t>
      </w:r>
      <w:r>
        <w:rPr>
          <w:rFonts w:ascii="Verdana" w:hAnsi="Verdana"/>
          <w:sz w:val="20"/>
        </w:rPr>
        <w:t>inform</w:t>
      </w:r>
      <w:r w:rsidR="001350A0">
        <w:rPr>
          <w:rFonts w:ascii="Verdana" w:hAnsi="Verdana"/>
          <w:sz w:val="20"/>
        </w:rPr>
        <w:t>ó</w:t>
      </w:r>
      <w:r>
        <w:rPr>
          <w:rFonts w:ascii="Verdana" w:hAnsi="Verdana"/>
          <w:sz w:val="20"/>
        </w:rPr>
        <w:t xml:space="preserve">, </w:t>
      </w:r>
      <w:r>
        <w:rPr>
          <w:rFonts w:ascii="Verdana" w:hAnsi="Verdana"/>
          <w:i/>
          <w:sz w:val="20"/>
        </w:rPr>
        <w:t xml:space="preserve">inter </w:t>
      </w:r>
      <w:proofErr w:type="spellStart"/>
      <w:r>
        <w:rPr>
          <w:rFonts w:ascii="Verdana" w:hAnsi="Verdana"/>
          <w:i/>
          <w:sz w:val="20"/>
        </w:rPr>
        <w:t>alia</w:t>
      </w:r>
      <w:proofErr w:type="spellEnd"/>
      <w:r>
        <w:rPr>
          <w:rFonts w:ascii="Verdana" w:hAnsi="Verdana"/>
          <w:sz w:val="20"/>
        </w:rPr>
        <w:t xml:space="preserve">, que: </w:t>
      </w:r>
    </w:p>
    <w:p w:rsidR="00006044" w:rsidRDefault="00006044" w:rsidP="00006044">
      <w:pPr>
        <w:ind w:left="720"/>
        <w:jc w:val="both"/>
        <w:rPr>
          <w:rFonts w:ascii="Verdana" w:hAnsi="Verdana"/>
          <w:sz w:val="20"/>
        </w:rPr>
      </w:pPr>
    </w:p>
    <w:p w:rsidR="001659BA" w:rsidRDefault="001659BA" w:rsidP="00006044">
      <w:pPr>
        <w:numPr>
          <w:ilvl w:val="1"/>
          <w:numId w:val="2"/>
        </w:numPr>
        <w:jc w:val="both"/>
        <w:rPr>
          <w:rFonts w:ascii="Verdana" w:hAnsi="Verdana"/>
          <w:sz w:val="20"/>
        </w:rPr>
      </w:pPr>
      <w:r>
        <w:rPr>
          <w:rFonts w:ascii="Verdana" w:hAnsi="Verdana"/>
          <w:sz w:val="20"/>
        </w:rPr>
        <w:t xml:space="preserve">celebró reuniones de trabajo periódicas </w:t>
      </w:r>
      <w:r w:rsidR="00B56B92">
        <w:rPr>
          <w:rFonts w:ascii="Verdana" w:hAnsi="Verdana"/>
          <w:sz w:val="20"/>
        </w:rPr>
        <w:t>con</w:t>
      </w:r>
      <w:r>
        <w:rPr>
          <w:rFonts w:ascii="Verdana" w:hAnsi="Verdana"/>
          <w:sz w:val="20"/>
        </w:rPr>
        <w:t xml:space="preserve"> </w:t>
      </w:r>
      <w:r w:rsidR="001350A0">
        <w:rPr>
          <w:rFonts w:ascii="Verdana" w:hAnsi="Verdana"/>
          <w:sz w:val="20"/>
        </w:rPr>
        <w:t xml:space="preserve">las </w:t>
      </w:r>
      <w:r>
        <w:rPr>
          <w:rFonts w:ascii="Verdana" w:hAnsi="Verdana"/>
          <w:sz w:val="20"/>
        </w:rPr>
        <w:t xml:space="preserve">autoridades involucradas en la ejecución de las medidas y las personas beneficiarias para acordar el seguimiento de las mismas; </w:t>
      </w:r>
    </w:p>
    <w:p w:rsidR="001659BA" w:rsidRDefault="001659BA" w:rsidP="001659BA">
      <w:pPr>
        <w:ind w:left="720"/>
        <w:jc w:val="both"/>
        <w:rPr>
          <w:rFonts w:ascii="Verdana" w:hAnsi="Verdana"/>
          <w:sz w:val="20"/>
        </w:rPr>
      </w:pPr>
    </w:p>
    <w:p w:rsidR="00006044" w:rsidRDefault="007C2F50" w:rsidP="00006044">
      <w:pPr>
        <w:numPr>
          <w:ilvl w:val="1"/>
          <w:numId w:val="2"/>
        </w:numPr>
        <w:jc w:val="both"/>
        <w:rPr>
          <w:rFonts w:ascii="Verdana" w:hAnsi="Verdana"/>
          <w:sz w:val="20"/>
        </w:rPr>
      </w:pPr>
      <w:r>
        <w:rPr>
          <w:rFonts w:ascii="Verdana" w:hAnsi="Verdana"/>
          <w:sz w:val="20"/>
        </w:rPr>
        <w:t xml:space="preserve">instaló </w:t>
      </w:r>
      <w:r w:rsidR="001350A0">
        <w:rPr>
          <w:rFonts w:ascii="Verdana" w:hAnsi="Verdana"/>
          <w:sz w:val="20"/>
        </w:rPr>
        <w:t>diversos elementos de</w:t>
      </w:r>
      <w:r w:rsidR="00226D4C">
        <w:rPr>
          <w:rFonts w:ascii="Verdana" w:hAnsi="Verdana"/>
          <w:sz w:val="20"/>
        </w:rPr>
        <w:t xml:space="preserve"> seguridad </w:t>
      </w:r>
      <w:r w:rsidR="00B167E8">
        <w:rPr>
          <w:rFonts w:ascii="Verdana" w:hAnsi="Verdana"/>
          <w:sz w:val="20"/>
        </w:rPr>
        <w:t xml:space="preserve">como </w:t>
      </w:r>
      <w:r w:rsidR="00AD24CC">
        <w:rPr>
          <w:rFonts w:ascii="Verdana" w:hAnsi="Verdana"/>
          <w:sz w:val="20"/>
        </w:rPr>
        <w:t xml:space="preserve">un </w:t>
      </w:r>
      <w:r w:rsidR="001659BA">
        <w:rPr>
          <w:rFonts w:ascii="Verdana" w:hAnsi="Verdana"/>
          <w:sz w:val="20"/>
        </w:rPr>
        <w:t xml:space="preserve">sistema de grabación de llamadas, </w:t>
      </w:r>
      <w:r>
        <w:rPr>
          <w:rFonts w:ascii="Verdana" w:hAnsi="Verdana"/>
          <w:sz w:val="20"/>
        </w:rPr>
        <w:t>alarma</w:t>
      </w:r>
      <w:r w:rsidR="0007075C">
        <w:rPr>
          <w:rFonts w:ascii="Verdana" w:hAnsi="Verdana"/>
          <w:sz w:val="20"/>
        </w:rPr>
        <w:t>s</w:t>
      </w:r>
      <w:r>
        <w:rPr>
          <w:rFonts w:ascii="Verdana" w:hAnsi="Verdana"/>
          <w:sz w:val="20"/>
        </w:rPr>
        <w:t xml:space="preserve">, </w:t>
      </w:r>
      <w:r w:rsidR="001659BA">
        <w:rPr>
          <w:rFonts w:ascii="Verdana" w:hAnsi="Verdana"/>
          <w:sz w:val="20"/>
        </w:rPr>
        <w:t xml:space="preserve">sistemas de circuito cerrado con cámaras de grabación, </w:t>
      </w:r>
      <w:r>
        <w:rPr>
          <w:rFonts w:ascii="Verdana" w:hAnsi="Verdana"/>
          <w:sz w:val="20"/>
        </w:rPr>
        <w:t>l</w:t>
      </w:r>
      <w:r w:rsidR="001659BA">
        <w:rPr>
          <w:rFonts w:ascii="Verdana" w:hAnsi="Verdana"/>
          <w:sz w:val="20"/>
        </w:rPr>
        <w:t xml:space="preserve">uces </w:t>
      </w:r>
      <w:r>
        <w:rPr>
          <w:rFonts w:ascii="Verdana" w:hAnsi="Verdana"/>
          <w:sz w:val="20"/>
        </w:rPr>
        <w:t>sensor</w:t>
      </w:r>
      <w:r w:rsidR="001659BA">
        <w:rPr>
          <w:rFonts w:ascii="Verdana" w:hAnsi="Verdana"/>
          <w:sz w:val="20"/>
        </w:rPr>
        <w:t>iales</w:t>
      </w:r>
      <w:r>
        <w:rPr>
          <w:rFonts w:ascii="Verdana" w:hAnsi="Verdana"/>
          <w:sz w:val="20"/>
        </w:rPr>
        <w:t xml:space="preserve"> y chapas de seguridad </w:t>
      </w:r>
      <w:r w:rsidR="0007075C">
        <w:rPr>
          <w:rFonts w:ascii="Verdana" w:hAnsi="Verdana"/>
          <w:sz w:val="20"/>
        </w:rPr>
        <w:t>en</w:t>
      </w:r>
      <w:r>
        <w:rPr>
          <w:rFonts w:ascii="Verdana" w:hAnsi="Verdana"/>
          <w:sz w:val="20"/>
        </w:rPr>
        <w:t xml:space="preserve"> </w:t>
      </w:r>
      <w:r w:rsidR="00226D4C">
        <w:rPr>
          <w:rFonts w:ascii="Verdana" w:hAnsi="Verdana"/>
          <w:sz w:val="20"/>
        </w:rPr>
        <w:t xml:space="preserve">las </w:t>
      </w:r>
      <w:r>
        <w:rPr>
          <w:rFonts w:ascii="Verdana" w:hAnsi="Verdana"/>
          <w:sz w:val="20"/>
        </w:rPr>
        <w:t xml:space="preserve">residencias y </w:t>
      </w:r>
      <w:r w:rsidR="00AD24CC">
        <w:rPr>
          <w:rFonts w:ascii="Verdana" w:hAnsi="Verdana"/>
          <w:sz w:val="20"/>
        </w:rPr>
        <w:t xml:space="preserve">en las </w:t>
      </w:r>
      <w:r>
        <w:rPr>
          <w:rFonts w:ascii="Verdana" w:hAnsi="Verdana"/>
          <w:sz w:val="20"/>
        </w:rPr>
        <w:t xml:space="preserve">oficinas de </w:t>
      </w:r>
      <w:r w:rsidR="00226D4C">
        <w:rPr>
          <w:rFonts w:ascii="Verdana" w:hAnsi="Verdana"/>
          <w:sz w:val="20"/>
        </w:rPr>
        <w:t xml:space="preserve">algunos de </w:t>
      </w:r>
      <w:r>
        <w:rPr>
          <w:rFonts w:ascii="Verdana" w:hAnsi="Verdana"/>
          <w:sz w:val="20"/>
        </w:rPr>
        <w:t xml:space="preserve">los beneficiarios. Asimismo, </w:t>
      </w:r>
      <w:r w:rsidR="00006044">
        <w:rPr>
          <w:rFonts w:ascii="Verdana" w:hAnsi="Verdana"/>
          <w:sz w:val="20"/>
        </w:rPr>
        <w:t xml:space="preserve">entregó equipos de comunicación </w:t>
      </w:r>
      <w:r w:rsidR="00226D4C">
        <w:rPr>
          <w:rFonts w:ascii="Verdana" w:hAnsi="Verdana"/>
          <w:sz w:val="20"/>
        </w:rPr>
        <w:t>como radio</w:t>
      </w:r>
      <w:r w:rsidR="001350A0">
        <w:rPr>
          <w:rFonts w:ascii="Verdana" w:hAnsi="Verdana"/>
          <w:sz w:val="20"/>
        </w:rPr>
        <w:t>s</w:t>
      </w:r>
      <w:r w:rsidR="00226D4C">
        <w:rPr>
          <w:rFonts w:ascii="Verdana" w:hAnsi="Verdana"/>
          <w:sz w:val="20"/>
        </w:rPr>
        <w:t>, teléfonos celulares, satelitales y fijo</w:t>
      </w:r>
      <w:r w:rsidR="001350A0">
        <w:rPr>
          <w:rFonts w:ascii="Verdana" w:hAnsi="Verdana"/>
          <w:sz w:val="20"/>
        </w:rPr>
        <w:t>s</w:t>
      </w:r>
      <w:r w:rsidR="00006044">
        <w:rPr>
          <w:rFonts w:ascii="Verdana" w:hAnsi="Verdana"/>
          <w:sz w:val="20"/>
        </w:rPr>
        <w:t>, subscribió contratos de servicios y realiz</w:t>
      </w:r>
      <w:r w:rsidR="00AD24CC">
        <w:rPr>
          <w:rFonts w:ascii="Verdana" w:hAnsi="Verdana"/>
          <w:sz w:val="20"/>
        </w:rPr>
        <w:t>ó</w:t>
      </w:r>
      <w:r w:rsidR="00006044">
        <w:rPr>
          <w:rFonts w:ascii="Verdana" w:hAnsi="Verdana"/>
          <w:sz w:val="20"/>
        </w:rPr>
        <w:t xml:space="preserve"> gestiones para atender los requerimientos de seguridad hecho</w:t>
      </w:r>
      <w:r w:rsidR="00AD24CC">
        <w:rPr>
          <w:rFonts w:ascii="Verdana" w:hAnsi="Verdana"/>
          <w:sz w:val="20"/>
        </w:rPr>
        <w:t>s</w:t>
      </w:r>
      <w:r w:rsidR="00006044">
        <w:rPr>
          <w:rFonts w:ascii="Verdana" w:hAnsi="Verdana"/>
          <w:sz w:val="20"/>
        </w:rPr>
        <w:t xml:space="preserve"> por las personas beneficiarias</w:t>
      </w:r>
      <w:r w:rsidR="00226D4C">
        <w:rPr>
          <w:rFonts w:ascii="Verdana" w:hAnsi="Verdana"/>
          <w:sz w:val="20"/>
        </w:rPr>
        <w:t xml:space="preserve"> y </w:t>
      </w:r>
      <w:r w:rsidR="001350A0">
        <w:rPr>
          <w:rFonts w:ascii="Verdana" w:hAnsi="Verdana"/>
          <w:sz w:val="20"/>
        </w:rPr>
        <w:t xml:space="preserve">por </w:t>
      </w:r>
      <w:r w:rsidR="00226D4C">
        <w:rPr>
          <w:rFonts w:ascii="Verdana" w:hAnsi="Verdana"/>
          <w:sz w:val="20"/>
        </w:rPr>
        <w:t>sus representantes</w:t>
      </w:r>
      <w:r w:rsidR="00006044">
        <w:rPr>
          <w:rFonts w:ascii="Verdana" w:hAnsi="Verdana"/>
          <w:sz w:val="20"/>
        </w:rPr>
        <w:t xml:space="preserve">; </w:t>
      </w:r>
    </w:p>
    <w:p w:rsidR="00006044" w:rsidRDefault="00006044" w:rsidP="00006044">
      <w:pPr>
        <w:ind w:left="720"/>
        <w:jc w:val="both"/>
        <w:rPr>
          <w:rFonts w:ascii="Verdana" w:hAnsi="Verdana"/>
          <w:sz w:val="20"/>
        </w:rPr>
      </w:pPr>
    </w:p>
    <w:p w:rsidR="00006044" w:rsidRDefault="00006044" w:rsidP="00006044">
      <w:pPr>
        <w:numPr>
          <w:ilvl w:val="1"/>
          <w:numId w:val="2"/>
        </w:numPr>
        <w:jc w:val="both"/>
        <w:rPr>
          <w:rFonts w:ascii="Verdana" w:hAnsi="Verdana"/>
          <w:sz w:val="20"/>
        </w:rPr>
      </w:pPr>
      <w:r>
        <w:rPr>
          <w:rFonts w:ascii="Verdana" w:hAnsi="Verdana"/>
          <w:sz w:val="20"/>
        </w:rPr>
        <w:t xml:space="preserve">en cuanto a </w:t>
      </w:r>
      <w:r w:rsidR="001350A0">
        <w:rPr>
          <w:rFonts w:ascii="Verdana" w:hAnsi="Verdana"/>
          <w:sz w:val="20"/>
        </w:rPr>
        <w:t xml:space="preserve">las </w:t>
      </w:r>
      <w:r>
        <w:rPr>
          <w:rFonts w:ascii="Verdana" w:hAnsi="Verdana"/>
          <w:sz w:val="20"/>
        </w:rPr>
        <w:t xml:space="preserve">fallas técnicas de los equipos proporcionados, una vez que </w:t>
      </w:r>
      <w:r w:rsidR="006A6BFE">
        <w:rPr>
          <w:rFonts w:ascii="Verdana" w:hAnsi="Verdana"/>
          <w:sz w:val="20"/>
        </w:rPr>
        <w:t xml:space="preserve">el Estado </w:t>
      </w:r>
      <w:r>
        <w:rPr>
          <w:rFonts w:ascii="Verdana" w:hAnsi="Verdana"/>
          <w:sz w:val="20"/>
        </w:rPr>
        <w:t xml:space="preserve">tuvo conocimiento de las mismas, procedió a realizar las diligencias pertinentes para restablecer los servicios y entregar </w:t>
      </w:r>
      <w:r w:rsidR="001350A0">
        <w:rPr>
          <w:rFonts w:ascii="Verdana" w:hAnsi="Verdana"/>
          <w:sz w:val="20"/>
        </w:rPr>
        <w:t xml:space="preserve">los </w:t>
      </w:r>
      <w:r w:rsidR="00AD24CC">
        <w:rPr>
          <w:rFonts w:ascii="Verdana" w:hAnsi="Verdana"/>
          <w:sz w:val="20"/>
        </w:rPr>
        <w:t>equipos</w:t>
      </w:r>
      <w:r>
        <w:rPr>
          <w:rFonts w:ascii="Verdana" w:hAnsi="Verdana"/>
          <w:sz w:val="20"/>
        </w:rPr>
        <w:t xml:space="preserve"> faltantes o</w:t>
      </w:r>
      <w:r w:rsidR="001350A0">
        <w:rPr>
          <w:rFonts w:ascii="Verdana" w:hAnsi="Verdana"/>
          <w:sz w:val="20"/>
        </w:rPr>
        <w:t>,</w:t>
      </w:r>
      <w:r>
        <w:rPr>
          <w:rFonts w:ascii="Verdana" w:hAnsi="Verdana"/>
          <w:sz w:val="20"/>
        </w:rPr>
        <w:t xml:space="preserve"> en otros casos</w:t>
      </w:r>
      <w:r w:rsidR="001350A0">
        <w:rPr>
          <w:rFonts w:ascii="Verdana" w:hAnsi="Verdana"/>
          <w:sz w:val="20"/>
        </w:rPr>
        <w:t>,</w:t>
      </w:r>
      <w:r>
        <w:rPr>
          <w:rFonts w:ascii="Verdana" w:hAnsi="Verdana"/>
          <w:sz w:val="20"/>
        </w:rPr>
        <w:t xml:space="preserve"> se acordó con los representantes de los beneficiarios visitas de verificación y reparación de los mismos, y </w:t>
      </w:r>
    </w:p>
    <w:p w:rsidR="00006044" w:rsidRDefault="00006044" w:rsidP="00006044">
      <w:pPr>
        <w:pStyle w:val="ListParagraph"/>
        <w:rPr>
          <w:rFonts w:ascii="Verdana" w:hAnsi="Verdana"/>
          <w:sz w:val="20"/>
        </w:rPr>
      </w:pPr>
    </w:p>
    <w:p w:rsidR="00006044" w:rsidRPr="00323AF9" w:rsidRDefault="00006044" w:rsidP="00006044">
      <w:pPr>
        <w:numPr>
          <w:ilvl w:val="1"/>
          <w:numId w:val="2"/>
        </w:numPr>
        <w:jc w:val="both"/>
        <w:rPr>
          <w:rFonts w:ascii="Verdana" w:hAnsi="Verdana"/>
          <w:sz w:val="20"/>
        </w:rPr>
      </w:pPr>
      <w:r>
        <w:rPr>
          <w:rFonts w:ascii="Verdana" w:hAnsi="Verdana"/>
          <w:sz w:val="20"/>
        </w:rPr>
        <w:t xml:space="preserve">los rondines se han realizado de la manera acordada con los representantes, con excepción de </w:t>
      </w:r>
      <w:r w:rsidR="006A6BFE">
        <w:rPr>
          <w:rFonts w:ascii="Verdana" w:hAnsi="Verdana"/>
          <w:sz w:val="20"/>
        </w:rPr>
        <w:t xml:space="preserve">los </w:t>
      </w:r>
      <w:r>
        <w:rPr>
          <w:rFonts w:ascii="Verdana" w:hAnsi="Verdana"/>
          <w:sz w:val="20"/>
        </w:rPr>
        <w:t xml:space="preserve">períodos en los cuales las condiciones climáticas impidieron </w:t>
      </w:r>
      <w:r w:rsidR="001350A0">
        <w:rPr>
          <w:rFonts w:ascii="Verdana" w:hAnsi="Verdana"/>
          <w:sz w:val="20"/>
        </w:rPr>
        <w:t>su</w:t>
      </w:r>
      <w:r>
        <w:rPr>
          <w:rFonts w:ascii="Verdana" w:hAnsi="Verdana"/>
          <w:sz w:val="20"/>
        </w:rPr>
        <w:t xml:space="preserve"> realización.</w:t>
      </w:r>
    </w:p>
    <w:p w:rsidR="00006044" w:rsidRPr="00323AF9" w:rsidRDefault="00006044" w:rsidP="00006044">
      <w:pPr>
        <w:jc w:val="both"/>
        <w:rPr>
          <w:rFonts w:ascii="Verdana" w:hAnsi="Verdana"/>
          <w:sz w:val="20"/>
        </w:rPr>
      </w:pPr>
    </w:p>
    <w:p w:rsidR="00006044" w:rsidRDefault="00006044" w:rsidP="00006044">
      <w:pPr>
        <w:numPr>
          <w:ilvl w:val="0"/>
          <w:numId w:val="2"/>
        </w:numPr>
        <w:ind w:left="0" w:firstLine="0"/>
        <w:jc w:val="both"/>
        <w:rPr>
          <w:rFonts w:ascii="Verdana" w:hAnsi="Verdana"/>
          <w:sz w:val="20"/>
        </w:rPr>
      </w:pPr>
      <w:r w:rsidRPr="00323AF9">
        <w:rPr>
          <w:rFonts w:ascii="Verdana" w:hAnsi="Verdana"/>
          <w:sz w:val="20"/>
        </w:rPr>
        <w:t xml:space="preserve">Los representantes </w:t>
      </w:r>
      <w:r>
        <w:rPr>
          <w:rFonts w:ascii="Verdana" w:hAnsi="Verdana"/>
          <w:sz w:val="20"/>
        </w:rPr>
        <w:t xml:space="preserve">informaron sobre “distintas fallas en [algunos] equipos que impedían que se constituyeran en medidas efectivas”, tales como teléfonos satelitales, </w:t>
      </w:r>
      <w:r>
        <w:rPr>
          <w:rFonts w:ascii="Verdana" w:hAnsi="Verdana"/>
          <w:sz w:val="20"/>
        </w:rPr>
        <w:lastRenderedPageBreak/>
        <w:t xml:space="preserve">radios comunicadores y teléfonos celulares que no funcionarían, y medidas de seguridad física que aún no habrían sido implementadas en las residencias y </w:t>
      </w:r>
      <w:r w:rsidR="001350A0">
        <w:rPr>
          <w:rFonts w:ascii="Verdana" w:hAnsi="Verdana"/>
          <w:sz w:val="20"/>
        </w:rPr>
        <w:t xml:space="preserve">en las </w:t>
      </w:r>
      <w:r>
        <w:rPr>
          <w:rFonts w:ascii="Verdana" w:hAnsi="Verdana"/>
          <w:sz w:val="20"/>
        </w:rPr>
        <w:t xml:space="preserve">oficinas de </w:t>
      </w:r>
      <w:r w:rsidR="00B56B92">
        <w:rPr>
          <w:rFonts w:ascii="Verdana" w:hAnsi="Verdana"/>
          <w:sz w:val="20"/>
        </w:rPr>
        <w:t>algunos</w:t>
      </w:r>
      <w:r>
        <w:rPr>
          <w:rFonts w:ascii="Verdana" w:hAnsi="Verdana"/>
          <w:sz w:val="20"/>
        </w:rPr>
        <w:t xml:space="preserve"> beneficiarios</w:t>
      </w:r>
      <w:r w:rsidR="00A34A64">
        <w:rPr>
          <w:rFonts w:ascii="Verdana" w:hAnsi="Verdana"/>
          <w:sz w:val="20"/>
        </w:rPr>
        <w:t xml:space="preserve">, </w:t>
      </w:r>
      <w:r w:rsidR="00B56B92">
        <w:rPr>
          <w:rFonts w:ascii="Verdana" w:hAnsi="Verdana"/>
          <w:sz w:val="20"/>
        </w:rPr>
        <w:t xml:space="preserve">tales </w:t>
      </w:r>
      <w:r w:rsidR="00A34A64">
        <w:rPr>
          <w:rFonts w:ascii="Verdana" w:hAnsi="Verdana"/>
          <w:sz w:val="20"/>
        </w:rPr>
        <w:t xml:space="preserve">como un sistema de grabación remota </w:t>
      </w:r>
      <w:r w:rsidR="00814633">
        <w:rPr>
          <w:rFonts w:ascii="Verdana" w:hAnsi="Verdana"/>
          <w:sz w:val="20"/>
        </w:rPr>
        <w:t xml:space="preserve">en una </w:t>
      </w:r>
      <w:r w:rsidR="00A34A64">
        <w:rPr>
          <w:rFonts w:ascii="Verdana" w:hAnsi="Verdana"/>
          <w:sz w:val="20"/>
        </w:rPr>
        <w:t xml:space="preserve">oficina y la instalación de </w:t>
      </w:r>
      <w:r w:rsidR="00814633">
        <w:rPr>
          <w:rFonts w:ascii="Verdana" w:hAnsi="Verdana"/>
          <w:sz w:val="20"/>
        </w:rPr>
        <w:t xml:space="preserve">una </w:t>
      </w:r>
      <w:r w:rsidR="00A34A64">
        <w:rPr>
          <w:rFonts w:ascii="Verdana" w:hAnsi="Verdana"/>
          <w:sz w:val="20"/>
        </w:rPr>
        <w:t>alarm</w:t>
      </w:r>
      <w:r w:rsidR="00814633">
        <w:rPr>
          <w:rFonts w:ascii="Verdana" w:hAnsi="Verdana"/>
          <w:sz w:val="20"/>
        </w:rPr>
        <w:t>a</w:t>
      </w:r>
      <w:r w:rsidR="00A34A64">
        <w:rPr>
          <w:rFonts w:ascii="Verdana" w:hAnsi="Verdana"/>
          <w:sz w:val="20"/>
        </w:rPr>
        <w:t xml:space="preserve"> perimetral </w:t>
      </w:r>
      <w:r w:rsidR="00814633">
        <w:rPr>
          <w:rFonts w:ascii="Verdana" w:hAnsi="Verdana"/>
          <w:sz w:val="20"/>
        </w:rPr>
        <w:t xml:space="preserve">en un </w:t>
      </w:r>
      <w:r w:rsidR="00A34A64">
        <w:rPr>
          <w:rFonts w:ascii="Verdana" w:hAnsi="Verdana"/>
          <w:sz w:val="20"/>
        </w:rPr>
        <w:t>domicilio</w:t>
      </w:r>
      <w:r>
        <w:rPr>
          <w:rFonts w:ascii="Verdana" w:hAnsi="Verdana"/>
          <w:sz w:val="20"/>
        </w:rPr>
        <w:t>.</w:t>
      </w:r>
      <w:r w:rsidR="00A34A64">
        <w:rPr>
          <w:rFonts w:ascii="Verdana" w:hAnsi="Verdana"/>
          <w:sz w:val="20"/>
        </w:rPr>
        <w:t xml:space="preserve"> </w:t>
      </w:r>
      <w:r>
        <w:rPr>
          <w:rFonts w:ascii="Verdana" w:hAnsi="Verdana"/>
          <w:sz w:val="20"/>
        </w:rPr>
        <w:t xml:space="preserve">Respecto de los rondines, estos se han realizado en forma regular en las oficinas de </w:t>
      </w:r>
      <w:proofErr w:type="spellStart"/>
      <w:r>
        <w:rPr>
          <w:rFonts w:ascii="Verdana" w:hAnsi="Verdana"/>
          <w:sz w:val="20"/>
        </w:rPr>
        <w:t>Tlachinollan</w:t>
      </w:r>
      <w:proofErr w:type="spellEnd"/>
      <w:r>
        <w:rPr>
          <w:rFonts w:ascii="Verdana" w:hAnsi="Verdana"/>
          <w:sz w:val="20"/>
        </w:rPr>
        <w:t xml:space="preserve"> en Tlapa de Comonfort, pero no habrían sido implementados de manera constante y efectiva en relación con otros beneficiarios </w:t>
      </w:r>
      <w:r w:rsidR="004B0D9E">
        <w:rPr>
          <w:rFonts w:ascii="Verdana" w:hAnsi="Verdana"/>
          <w:sz w:val="20"/>
        </w:rPr>
        <w:t>y en ciertas localidades</w:t>
      </w:r>
      <w:r w:rsidRPr="00D3373F">
        <w:rPr>
          <w:rFonts w:ascii="Verdana" w:hAnsi="Verdana"/>
          <w:sz w:val="20"/>
        </w:rPr>
        <w:t xml:space="preserve">. Asimismo, </w:t>
      </w:r>
      <w:r w:rsidR="00B167E8">
        <w:rPr>
          <w:rFonts w:ascii="Verdana" w:hAnsi="Verdana"/>
          <w:sz w:val="20"/>
        </w:rPr>
        <w:t>la presencia policia</w:t>
      </w:r>
      <w:r w:rsidR="00B56B92">
        <w:rPr>
          <w:rFonts w:ascii="Verdana" w:hAnsi="Verdana"/>
          <w:sz w:val="20"/>
        </w:rPr>
        <w:t>l</w:t>
      </w:r>
      <w:r w:rsidR="00B167E8">
        <w:rPr>
          <w:rFonts w:ascii="Verdana" w:hAnsi="Verdana"/>
          <w:sz w:val="20"/>
        </w:rPr>
        <w:t xml:space="preserve"> permanente </w:t>
      </w:r>
      <w:r w:rsidRPr="00D3373F">
        <w:rPr>
          <w:rFonts w:ascii="Verdana" w:hAnsi="Verdana"/>
          <w:sz w:val="20"/>
        </w:rPr>
        <w:t xml:space="preserve">en la oficina de </w:t>
      </w:r>
      <w:proofErr w:type="spellStart"/>
      <w:r w:rsidRPr="00D3373F">
        <w:rPr>
          <w:rFonts w:ascii="Verdana" w:hAnsi="Verdana"/>
          <w:sz w:val="20"/>
        </w:rPr>
        <w:t>Tlachinolla</w:t>
      </w:r>
      <w:r w:rsidR="00B167E8">
        <w:rPr>
          <w:rFonts w:ascii="Verdana" w:hAnsi="Verdana"/>
          <w:sz w:val="20"/>
        </w:rPr>
        <w:t>n</w:t>
      </w:r>
      <w:proofErr w:type="spellEnd"/>
      <w:r w:rsidR="00B167E8">
        <w:rPr>
          <w:rFonts w:ascii="Verdana" w:hAnsi="Verdana"/>
          <w:sz w:val="20"/>
        </w:rPr>
        <w:t xml:space="preserve"> en Ayutla de los Libres se ha</w:t>
      </w:r>
      <w:r w:rsidRPr="00D3373F">
        <w:rPr>
          <w:rFonts w:ascii="Verdana" w:hAnsi="Verdana"/>
          <w:sz w:val="20"/>
        </w:rPr>
        <w:t xml:space="preserve"> cumplido con regularidad desde el 8 de agosto de 2011. </w:t>
      </w:r>
    </w:p>
    <w:p w:rsidR="00006044" w:rsidRDefault="00006044" w:rsidP="00006044">
      <w:pPr>
        <w:jc w:val="both"/>
        <w:rPr>
          <w:rFonts w:ascii="Verdana" w:hAnsi="Verdana"/>
          <w:sz w:val="20"/>
        </w:rPr>
      </w:pPr>
    </w:p>
    <w:p w:rsidR="00006044" w:rsidRDefault="00006044" w:rsidP="00006044">
      <w:pPr>
        <w:numPr>
          <w:ilvl w:val="0"/>
          <w:numId w:val="2"/>
        </w:numPr>
        <w:tabs>
          <w:tab w:val="clear" w:pos="720"/>
          <w:tab w:val="num" w:pos="0"/>
        </w:tabs>
        <w:ind w:left="0" w:firstLine="0"/>
        <w:jc w:val="both"/>
        <w:rPr>
          <w:rFonts w:ascii="Verdana" w:hAnsi="Verdana"/>
          <w:sz w:val="20"/>
        </w:rPr>
      </w:pPr>
      <w:r>
        <w:rPr>
          <w:rFonts w:ascii="Verdana" w:hAnsi="Verdana"/>
          <w:sz w:val="20"/>
        </w:rPr>
        <w:t xml:space="preserve">Respecto de lo informado por el Estado y las observaciones de los representantes, la Comisión, entre otras consideraciones: </w:t>
      </w:r>
    </w:p>
    <w:p w:rsidR="00006044" w:rsidRDefault="00006044" w:rsidP="00006044">
      <w:pPr>
        <w:ind w:left="720"/>
        <w:jc w:val="both"/>
        <w:rPr>
          <w:rFonts w:ascii="Verdana" w:hAnsi="Verdana"/>
          <w:sz w:val="20"/>
        </w:rPr>
      </w:pPr>
    </w:p>
    <w:p w:rsidR="004B0D9E" w:rsidRDefault="004B0D9E" w:rsidP="00006044">
      <w:pPr>
        <w:numPr>
          <w:ilvl w:val="1"/>
          <w:numId w:val="2"/>
        </w:numPr>
        <w:jc w:val="both"/>
        <w:rPr>
          <w:rFonts w:ascii="Verdana" w:hAnsi="Verdana"/>
          <w:sz w:val="20"/>
        </w:rPr>
      </w:pPr>
      <w:r>
        <w:rPr>
          <w:rFonts w:ascii="Verdana" w:hAnsi="Verdana"/>
          <w:sz w:val="20"/>
        </w:rPr>
        <w:t xml:space="preserve">valoró los esfuerzos realizados por el Estado para corregir las fallas en el funcionamiento de las medidas de protección que ya han sido </w:t>
      </w:r>
      <w:r w:rsidR="00B56B92">
        <w:rPr>
          <w:rFonts w:ascii="Verdana" w:hAnsi="Verdana"/>
          <w:sz w:val="20"/>
        </w:rPr>
        <w:t>dispuestas en favor de</w:t>
      </w:r>
      <w:r>
        <w:rPr>
          <w:rFonts w:ascii="Verdana" w:hAnsi="Verdana"/>
          <w:sz w:val="20"/>
        </w:rPr>
        <w:t xml:space="preserve"> los beneficiarios</w:t>
      </w:r>
      <w:r w:rsidR="001E35A0">
        <w:rPr>
          <w:rFonts w:ascii="Verdana" w:hAnsi="Verdana"/>
          <w:sz w:val="20"/>
        </w:rPr>
        <w:t>;</w:t>
      </w:r>
      <w:r>
        <w:rPr>
          <w:rFonts w:ascii="Verdana" w:hAnsi="Verdana"/>
          <w:sz w:val="20"/>
        </w:rPr>
        <w:t xml:space="preserve"> </w:t>
      </w:r>
    </w:p>
    <w:p w:rsidR="004B0D9E" w:rsidRDefault="004B0D9E" w:rsidP="004B0D9E">
      <w:pPr>
        <w:ind w:left="720"/>
        <w:jc w:val="both"/>
        <w:rPr>
          <w:rFonts w:ascii="Verdana" w:hAnsi="Verdana"/>
          <w:sz w:val="20"/>
        </w:rPr>
      </w:pPr>
    </w:p>
    <w:p w:rsidR="00006044" w:rsidRDefault="001350A0" w:rsidP="00006044">
      <w:pPr>
        <w:numPr>
          <w:ilvl w:val="1"/>
          <w:numId w:val="2"/>
        </w:numPr>
        <w:jc w:val="both"/>
        <w:rPr>
          <w:rFonts w:ascii="Verdana" w:hAnsi="Verdana"/>
          <w:sz w:val="20"/>
        </w:rPr>
      </w:pPr>
      <w:r>
        <w:rPr>
          <w:rFonts w:ascii="Verdana" w:hAnsi="Verdana"/>
          <w:sz w:val="20"/>
        </w:rPr>
        <w:t xml:space="preserve">señaló que </w:t>
      </w:r>
      <w:r w:rsidR="00006044">
        <w:rPr>
          <w:rFonts w:ascii="Verdana" w:hAnsi="Verdana"/>
          <w:sz w:val="20"/>
        </w:rPr>
        <w:t xml:space="preserve">a pesar del tiempo que ha transcurrido desde que la Corte ordenara medidas provisionales, el Estado continúa reiterando información relativa a gestiones que se encontraría realizando para la implementación de las medidas faltantes y a la fecha no se ha concretado su entrega y puesta en funcionamiento. En ese sentido, consideró útil y necesario conocer en qué consisten las gestiones que ha informado el Estado reiteradamente y los obstáculos que han impedido que éstas tengan un resultado satisfactorio. De igual manera, consideró necesario conocer acerca de acciones correctivas y preventivas que estaría implementando el Estado respecto de éstas, y </w:t>
      </w:r>
    </w:p>
    <w:p w:rsidR="00006044" w:rsidRDefault="00006044" w:rsidP="00006044">
      <w:pPr>
        <w:ind w:left="720"/>
        <w:jc w:val="both"/>
        <w:rPr>
          <w:rFonts w:ascii="Verdana" w:hAnsi="Verdana"/>
          <w:sz w:val="20"/>
        </w:rPr>
      </w:pPr>
    </w:p>
    <w:p w:rsidR="00006044" w:rsidRPr="000F4006" w:rsidRDefault="001350A0" w:rsidP="00006044">
      <w:pPr>
        <w:numPr>
          <w:ilvl w:val="1"/>
          <w:numId w:val="2"/>
        </w:numPr>
        <w:jc w:val="both"/>
        <w:rPr>
          <w:rFonts w:ascii="Verdana" w:hAnsi="Verdana"/>
          <w:sz w:val="20"/>
        </w:rPr>
      </w:pPr>
      <w:r>
        <w:rPr>
          <w:rFonts w:ascii="Verdana" w:hAnsi="Verdana"/>
          <w:sz w:val="20"/>
        </w:rPr>
        <w:t xml:space="preserve">indicó que </w:t>
      </w:r>
      <w:r w:rsidR="00006044">
        <w:rPr>
          <w:rFonts w:ascii="Verdana" w:hAnsi="Verdana"/>
          <w:sz w:val="20"/>
        </w:rPr>
        <w:t xml:space="preserve">los rondines continúan presentando fallas en su implementación por lo que es necesario que el Estado intensifique sus esfuerzos para brindar la protección necesaria a los beneficiarios. </w:t>
      </w:r>
    </w:p>
    <w:p w:rsidR="00006044" w:rsidRPr="00DC3D95" w:rsidRDefault="00006044" w:rsidP="00006044">
      <w:pPr>
        <w:jc w:val="both"/>
        <w:rPr>
          <w:rFonts w:ascii="Verdana" w:hAnsi="Verdana"/>
          <w:sz w:val="20"/>
        </w:rPr>
      </w:pPr>
    </w:p>
    <w:p w:rsidR="00102DE6" w:rsidRDefault="00006044" w:rsidP="00230416">
      <w:pPr>
        <w:numPr>
          <w:ilvl w:val="0"/>
          <w:numId w:val="2"/>
        </w:numPr>
        <w:ind w:left="0" w:firstLine="0"/>
        <w:jc w:val="both"/>
        <w:rPr>
          <w:rFonts w:ascii="Verdana" w:hAnsi="Verdana"/>
          <w:color w:val="FF0000"/>
          <w:sz w:val="20"/>
        </w:rPr>
      </w:pPr>
      <w:r>
        <w:rPr>
          <w:rFonts w:ascii="Verdana" w:hAnsi="Verdana"/>
          <w:sz w:val="20"/>
        </w:rPr>
        <w:t xml:space="preserve">La Corte observa que el Estado adoptó medidas con el objetivo de mejorar la seguridad de los beneficiarios de las medidas provisionales, entre las cuales se destacan la entrega de </w:t>
      </w:r>
      <w:r w:rsidR="009332CA">
        <w:rPr>
          <w:rFonts w:ascii="Verdana" w:hAnsi="Verdana"/>
          <w:sz w:val="20"/>
        </w:rPr>
        <w:t>equipos de comunicación</w:t>
      </w:r>
      <w:r>
        <w:rPr>
          <w:rFonts w:ascii="Verdana" w:hAnsi="Verdana"/>
          <w:sz w:val="20"/>
        </w:rPr>
        <w:t xml:space="preserve">, la instalación de </w:t>
      </w:r>
      <w:r w:rsidR="001350A0">
        <w:rPr>
          <w:rFonts w:ascii="Verdana" w:hAnsi="Verdana"/>
          <w:sz w:val="20"/>
        </w:rPr>
        <w:t>alarmas y otros elementos</w:t>
      </w:r>
      <w:r>
        <w:rPr>
          <w:rFonts w:ascii="Verdana" w:hAnsi="Verdana"/>
          <w:sz w:val="20"/>
        </w:rPr>
        <w:t xml:space="preserve"> de seguridad en </w:t>
      </w:r>
      <w:r w:rsidR="001350A0">
        <w:rPr>
          <w:rFonts w:ascii="Verdana" w:hAnsi="Verdana"/>
          <w:sz w:val="20"/>
        </w:rPr>
        <w:t>determinadas</w:t>
      </w:r>
      <w:r>
        <w:rPr>
          <w:rFonts w:ascii="Verdana" w:hAnsi="Verdana"/>
          <w:sz w:val="20"/>
        </w:rPr>
        <w:t xml:space="preserve"> residencias y oficinas</w:t>
      </w:r>
      <w:r w:rsidR="00B167E8">
        <w:rPr>
          <w:rFonts w:ascii="Verdana" w:hAnsi="Verdana"/>
          <w:sz w:val="20"/>
        </w:rPr>
        <w:t>,</w:t>
      </w:r>
      <w:r>
        <w:rPr>
          <w:rFonts w:ascii="Verdana" w:hAnsi="Verdana"/>
          <w:sz w:val="20"/>
        </w:rPr>
        <w:t xml:space="preserve"> </w:t>
      </w:r>
      <w:r w:rsidR="001350A0">
        <w:rPr>
          <w:rFonts w:ascii="Verdana" w:hAnsi="Verdana"/>
          <w:sz w:val="20"/>
        </w:rPr>
        <w:t>así como</w:t>
      </w:r>
      <w:r>
        <w:rPr>
          <w:rFonts w:ascii="Verdana" w:hAnsi="Verdana"/>
          <w:sz w:val="20"/>
        </w:rPr>
        <w:t xml:space="preserve"> la realización de rondines policia</w:t>
      </w:r>
      <w:r w:rsidR="002E6A9A">
        <w:rPr>
          <w:rFonts w:ascii="Verdana" w:hAnsi="Verdana"/>
          <w:sz w:val="20"/>
        </w:rPr>
        <w:t>le</w:t>
      </w:r>
      <w:r>
        <w:rPr>
          <w:rFonts w:ascii="Verdana" w:hAnsi="Verdana"/>
          <w:sz w:val="20"/>
        </w:rPr>
        <w:t>s periódicos</w:t>
      </w:r>
      <w:r w:rsidRPr="00D3373F">
        <w:rPr>
          <w:rFonts w:ascii="Verdana" w:hAnsi="Verdana"/>
          <w:sz w:val="20"/>
        </w:rPr>
        <w:t xml:space="preserve">. </w:t>
      </w:r>
      <w:r w:rsidR="009332CA">
        <w:rPr>
          <w:rFonts w:ascii="Verdana" w:hAnsi="Verdana"/>
          <w:sz w:val="20"/>
        </w:rPr>
        <w:t>Asimismo, e</w:t>
      </w:r>
      <w:r w:rsidRPr="00D3373F">
        <w:rPr>
          <w:rFonts w:ascii="Verdana" w:hAnsi="Verdana"/>
          <w:sz w:val="20"/>
        </w:rPr>
        <w:t xml:space="preserve">l Tribunal valora los esfuerzos realizados por el Estado para </w:t>
      </w:r>
      <w:r w:rsidR="00E96D40">
        <w:rPr>
          <w:rFonts w:ascii="Verdana" w:hAnsi="Verdana"/>
          <w:sz w:val="20"/>
        </w:rPr>
        <w:t xml:space="preserve">implementar las medidas dispuestas por la Corte, así como </w:t>
      </w:r>
      <w:r w:rsidRPr="00D3373F">
        <w:rPr>
          <w:rFonts w:ascii="Verdana" w:hAnsi="Verdana"/>
          <w:sz w:val="20"/>
        </w:rPr>
        <w:t>corregir las fallas en el funcionamiento de las medidas de protección</w:t>
      </w:r>
      <w:r w:rsidR="007814FA">
        <w:rPr>
          <w:rFonts w:ascii="Verdana" w:hAnsi="Verdana"/>
          <w:sz w:val="20"/>
        </w:rPr>
        <w:t xml:space="preserve"> </w:t>
      </w:r>
      <w:r w:rsidR="001C4017" w:rsidRPr="001C4017">
        <w:rPr>
          <w:rFonts w:ascii="Verdana" w:hAnsi="Verdana"/>
          <w:sz w:val="20"/>
        </w:rPr>
        <w:t>indicadas</w:t>
      </w:r>
      <w:r w:rsidR="007814FA">
        <w:rPr>
          <w:rFonts w:ascii="Verdana" w:hAnsi="Verdana"/>
          <w:sz w:val="20"/>
        </w:rPr>
        <w:t xml:space="preserve"> por los representantes</w:t>
      </w:r>
      <w:r w:rsidRPr="00D3373F">
        <w:rPr>
          <w:rFonts w:ascii="Verdana" w:hAnsi="Verdana"/>
          <w:sz w:val="20"/>
        </w:rPr>
        <w:t xml:space="preserve">. </w:t>
      </w:r>
      <w:r w:rsidR="00814633">
        <w:rPr>
          <w:rFonts w:ascii="Verdana" w:hAnsi="Verdana"/>
          <w:sz w:val="20"/>
        </w:rPr>
        <w:t>En relación</w:t>
      </w:r>
      <w:r w:rsidR="001C4017" w:rsidRPr="001C4017">
        <w:rPr>
          <w:rFonts w:ascii="Verdana" w:hAnsi="Verdana"/>
          <w:sz w:val="20"/>
        </w:rPr>
        <w:t xml:space="preserve"> </w:t>
      </w:r>
      <w:r w:rsidR="007F331C">
        <w:rPr>
          <w:rFonts w:ascii="Verdana" w:hAnsi="Verdana"/>
          <w:sz w:val="20"/>
        </w:rPr>
        <w:t>con</w:t>
      </w:r>
      <w:r w:rsidR="001C4017" w:rsidRPr="001C4017">
        <w:rPr>
          <w:rFonts w:ascii="Verdana" w:hAnsi="Verdana"/>
          <w:sz w:val="20"/>
        </w:rPr>
        <w:t xml:space="preserve"> las medidas específicas de protección sobre las cuales hay discrepancias entre las partes respecto a su cumplimiento, la Corte recuerda que en su Resolución de 30 de abril de 2009 determinó que el Estado debía</w:t>
      </w:r>
      <w:r w:rsidR="001C4017" w:rsidRPr="001C4017">
        <w:rPr>
          <w:rFonts w:ascii="Verdana" w:hAnsi="Verdana" w:cs="Verdana"/>
          <w:sz w:val="20"/>
        </w:rPr>
        <w:t xml:space="preserve"> realizar las gestiones pertinentes para que las medidas provi</w:t>
      </w:r>
      <w:r w:rsidR="0015517D">
        <w:rPr>
          <w:rFonts w:ascii="Verdana" w:hAnsi="Verdana" w:cs="Verdana"/>
          <w:sz w:val="20"/>
        </w:rPr>
        <w:t xml:space="preserve">sionales ordenadas se </w:t>
      </w:r>
      <w:r w:rsidR="0015517D" w:rsidRPr="006A6BFE">
        <w:rPr>
          <w:rFonts w:ascii="Verdana" w:hAnsi="Verdana" w:cs="Verdana"/>
          <w:sz w:val="20"/>
        </w:rPr>
        <w:t>planificaran</w:t>
      </w:r>
      <w:r w:rsidR="0015517D">
        <w:rPr>
          <w:rFonts w:ascii="Verdana" w:hAnsi="Verdana" w:cs="Verdana"/>
          <w:sz w:val="20"/>
        </w:rPr>
        <w:t xml:space="preserve"> y se </w:t>
      </w:r>
      <w:r w:rsidR="0015517D" w:rsidRPr="006A6BFE">
        <w:rPr>
          <w:rFonts w:ascii="Verdana" w:hAnsi="Verdana" w:cs="Verdana"/>
          <w:sz w:val="20"/>
        </w:rPr>
        <w:t>aplicara</w:t>
      </w:r>
      <w:r w:rsidR="001C4017" w:rsidRPr="006A6BFE">
        <w:rPr>
          <w:rFonts w:ascii="Verdana" w:hAnsi="Verdana" w:cs="Verdana"/>
          <w:sz w:val="20"/>
        </w:rPr>
        <w:t>n</w:t>
      </w:r>
      <w:r w:rsidR="001C4017" w:rsidRPr="001C4017">
        <w:rPr>
          <w:rFonts w:ascii="Verdana" w:hAnsi="Verdana" w:cs="Verdana"/>
          <w:sz w:val="20"/>
        </w:rPr>
        <w:t xml:space="preserve"> con la participación de l</w:t>
      </w:r>
      <w:r w:rsidR="00814633">
        <w:rPr>
          <w:rFonts w:ascii="Verdana" w:hAnsi="Verdana" w:cs="Verdana"/>
          <w:sz w:val="20"/>
        </w:rPr>
        <w:t>o</w:t>
      </w:r>
      <w:r w:rsidR="001C4017" w:rsidRPr="001C4017">
        <w:rPr>
          <w:rFonts w:ascii="Verdana" w:hAnsi="Verdana" w:cs="Verdana"/>
          <w:sz w:val="20"/>
        </w:rPr>
        <w:t>s beneficiari</w:t>
      </w:r>
      <w:r w:rsidR="00814633">
        <w:rPr>
          <w:rFonts w:ascii="Verdana" w:hAnsi="Verdana" w:cs="Verdana"/>
          <w:sz w:val="20"/>
        </w:rPr>
        <w:t>o</w:t>
      </w:r>
      <w:r w:rsidR="001C4017" w:rsidRPr="001C4017">
        <w:rPr>
          <w:rFonts w:ascii="Verdana" w:hAnsi="Verdana" w:cs="Verdana"/>
          <w:sz w:val="20"/>
        </w:rPr>
        <w:t>s, o de sus representantes, de manera tal que se brinden en forma diligente y efectiva. La Corte destacó que resulta imprescindible la participació</w:t>
      </w:r>
      <w:r w:rsidR="001C4017" w:rsidRPr="001C4017">
        <w:rPr>
          <w:rFonts w:ascii="Verdana" w:hAnsi="Verdana" w:cs="Arial"/>
          <w:sz w:val="20"/>
        </w:rPr>
        <w:t>n positiva del Estado</w:t>
      </w:r>
      <w:r w:rsidR="0015517D">
        <w:rPr>
          <w:rFonts w:ascii="Verdana" w:hAnsi="Verdana" w:cs="Arial"/>
          <w:sz w:val="20"/>
        </w:rPr>
        <w:t>,</w:t>
      </w:r>
      <w:r w:rsidR="001C4017" w:rsidRPr="001C4017">
        <w:rPr>
          <w:rFonts w:ascii="Verdana" w:hAnsi="Verdana" w:cs="Arial"/>
          <w:sz w:val="20"/>
        </w:rPr>
        <w:t xml:space="preserve"> y particularmente de los representantes, con el fin de coordinar la implementación de las medidas provisionales en el presente caso. Consecuentemente, </w:t>
      </w:r>
      <w:r w:rsidR="007F331C">
        <w:rPr>
          <w:rFonts w:ascii="Verdana" w:hAnsi="Verdana" w:cs="Arial"/>
          <w:sz w:val="20"/>
        </w:rPr>
        <w:t>el Tribunal</w:t>
      </w:r>
      <w:r w:rsidR="001C4017" w:rsidRPr="001C4017">
        <w:rPr>
          <w:rFonts w:ascii="Verdana" w:hAnsi="Verdana" w:cs="Arial"/>
          <w:sz w:val="20"/>
        </w:rPr>
        <w:t xml:space="preserve"> </w:t>
      </w:r>
      <w:r w:rsidR="001C4017" w:rsidRPr="001C4017">
        <w:rPr>
          <w:rFonts w:ascii="Verdana" w:hAnsi="Verdana"/>
          <w:sz w:val="20"/>
        </w:rPr>
        <w:t xml:space="preserve">estima necesario que </w:t>
      </w:r>
      <w:r w:rsidR="007F331C">
        <w:rPr>
          <w:rFonts w:ascii="Verdana" w:hAnsi="Verdana"/>
          <w:sz w:val="20"/>
        </w:rPr>
        <w:t xml:space="preserve">continúen los esfuerzos para que </w:t>
      </w:r>
      <w:r w:rsidR="00814633">
        <w:rPr>
          <w:rFonts w:ascii="Verdana" w:hAnsi="Verdana"/>
          <w:sz w:val="20"/>
        </w:rPr>
        <w:t xml:space="preserve">la implementación de las presentes medidas </w:t>
      </w:r>
      <w:r w:rsidR="007F331C">
        <w:rPr>
          <w:rFonts w:ascii="Verdana" w:hAnsi="Verdana"/>
          <w:sz w:val="20"/>
        </w:rPr>
        <w:t>avance</w:t>
      </w:r>
      <w:r w:rsidR="001C4017" w:rsidRPr="001C4017">
        <w:rPr>
          <w:rFonts w:ascii="Verdana" w:hAnsi="Verdana"/>
          <w:sz w:val="20"/>
        </w:rPr>
        <w:t xml:space="preserve"> de manera conjunta, constructiva y pronta</w:t>
      </w:r>
      <w:r w:rsidR="007F331C">
        <w:rPr>
          <w:rFonts w:ascii="Verdana" w:hAnsi="Verdana"/>
          <w:sz w:val="20"/>
        </w:rPr>
        <w:t>,</w:t>
      </w:r>
      <w:r w:rsidR="001C4017" w:rsidRPr="001C4017">
        <w:rPr>
          <w:rFonts w:ascii="Verdana" w:hAnsi="Verdana"/>
          <w:sz w:val="20"/>
        </w:rPr>
        <w:t xml:space="preserve"> en comunicación y acuerdo entre las partes, y que remitan a la Corte información actualizada sobre los </w:t>
      </w:r>
      <w:r w:rsidR="007F331C">
        <w:rPr>
          <w:rFonts w:ascii="Verdana" w:hAnsi="Verdana"/>
          <w:sz w:val="20"/>
        </w:rPr>
        <w:t>progresos</w:t>
      </w:r>
      <w:r w:rsidR="001C4017" w:rsidRPr="001C4017">
        <w:rPr>
          <w:rFonts w:ascii="Verdana" w:hAnsi="Verdana"/>
          <w:sz w:val="20"/>
        </w:rPr>
        <w:t xml:space="preserve"> que de ellas se deriven.</w:t>
      </w:r>
    </w:p>
    <w:p w:rsidR="00585F61" w:rsidRDefault="00585F61" w:rsidP="00102DE6">
      <w:pPr>
        <w:jc w:val="both"/>
        <w:rPr>
          <w:rFonts w:ascii="Verdana" w:hAnsi="Verdana"/>
          <w:color w:val="FF0000"/>
          <w:sz w:val="20"/>
        </w:rPr>
      </w:pPr>
    </w:p>
    <w:p w:rsidR="00585F61" w:rsidRPr="00585F61" w:rsidRDefault="00585F61" w:rsidP="00585F61">
      <w:pPr>
        <w:jc w:val="center"/>
        <w:rPr>
          <w:rFonts w:ascii="Verdana" w:hAnsi="Verdana"/>
          <w:sz w:val="20"/>
        </w:rPr>
      </w:pPr>
      <w:r w:rsidRPr="00585F61">
        <w:rPr>
          <w:rFonts w:ascii="Verdana" w:hAnsi="Verdana"/>
          <w:sz w:val="20"/>
        </w:rPr>
        <w:t>*</w:t>
      </w:r>
    </w:p>
    <w:p w:rsidR="00585F61" w:rsidRDefault="00585F61" w:rsidP="00102DE6">
      <w:pPr>
        <w:jc w:val="both"/>
        <w:rPr>
          <w:rFonts w:ascii="Verdana" w:hAnsi="Verdana"/>
          <w:color w:val="FF0000"/>
          <w:sz w:val="20"/>
        </w:rPr>
      </w:pPr>
    </w:p>
    <w:p w:rsidR="00B65DD2" w:rsidRPr="00CA4626" w:rsidRDefault="00585F61" w:rsidP="00B65DD2">
      <w:pPr>
        <w:numPr>
          <w:ilvl w:val="0"/>
          <w:numId w:val="2"/>
        </w:numPr>
        <w:ind w:left="0" w:firstLine="0"/>
        <w:jc w:val="both"/>
        <w:rPr>
          <w:rFonts w:ascii="Verdana" w:hAnsi="Verdana"/>
          <w:sz w:val="20"/>
        </w:rPr>
      </w:pPr>
      <w:r w:rsidRPr="004D1D95">
        <w:rPr>
          <w:rFonts w:ascii="Verdana" w:hAnsi="Verdana"/>
          <w:sz w:val="20"/>
        </w:rPr>
        <w:lastRenderedPageBreak/>
        <w:t xml:space="preserve">En cuanto a la investigación de los hechos que dieron origen a las presentes medidas </w:t>
      </w:r>
      <w:r w:rsidR="00B65DD2">
        <w:rPr>
          <w:rFonts w:ascii="Verdana" w:hAnsi="Verdana"/>
          <w:sz w:val="20"/>
        </w:rPr>
        <w:t>el Estado informó que inició procedimientos de averiguación previa en relación con todos los hech</w:t>
      </w:r>
      <w:r w:rsidR="00B65DD2" w:rsidRPr="007814FA">
        <w:rPr>
          <w:rFonts w:ascii="Verdana" w:hAnsi="Verdana"/>
          <w:sz w:val="20"/>
        </w:rPr>
        <w:t>os denunciados internamente por los representantes</w:t>
      </w:r>
      <w:r w:rsidR="00B65DD2">
        <w:rPr>
          <w:rFonts w:ascii="Verdana" w:hAnsi="Verdana"/>
          <w:sz w:val="20"/>
        </w:rPr>
        <w:t xml:space="preserve"> y </w:t>
      </w:r>
      <w:r w:rsidR="00B65DD2" w:rsidRPr="007814FA">
        <w:rPr>
          <w:rFonts w:ascii="Verdana" w:hAnsi="Verdana"/>
          <w:sz w:val="20"/>
        </w:rPr>
        <w:t xml:space="preserve">que “ha emprendido diferentes acciones para hacer frente a las condiciones de riesgo alegadas por las personas beneficiarias”. </w:t>
      </w:r>
      <w:r w:rsidR="00B65DD2">
        <w:rPr>
          <w:rFonts w:ascii="Verdana" w:hAnsi="Verdana"/>
          <w:sz w:val="20"/>
        </w:rPr>
        <w:t>I</w:t>
      </w:r>
      <w:r w:rsidRPr="004D1D95">
        <w:rPr>
          <w:rFonts w:ascii="Verdana" w:hAnsi="Verdana"/>
          <w:sz w:val="20"/>
        </w:rPr>
        <w:t xml:space="preserve">nformó </w:t>
      </w:r>
      <w:r w:rsidR="00B65DD2">
        <w:rPr>
          <w:rFonts w:ascii="Verdana" w:hAnsi="Verdana"/>
          <w:sz w:val="20"/>
        </w:rPr>
        <w:t>sobre</w:t>
      </w:r>
      <w:r w:rsidRPr="004D1D95">
        <w:rPr>
          <w:rFonts w:ascii="Verdana" w:hAnsi="Verdana"/>
          <w:sz w:val="20"/>
        </w:rPr>
        <w:t xml:space="preserve"> la </w:t>
      </w:r>
      <w:r w:rsidRPr="004D1D95">
        <w:rPr>
          <w:rFonts w:ascii="Verdana" w:hAnsi="Verdana"/>
          <w:sz w:val="20"/>
          <w:szCs w:val="18"/>
          <w:lang w:bidi="ar-SA"/>
        </w:rPr>
        <w:t>incorporación de un equipo de peritos expertos en investigación criminal desde la perspectiva de los derechos humanos para la revisión de las investigaciones</w:t>
      </w:r>
      <w:r w:rsidR="00B65DD2">
        <w:rPr>
          <w:rFonts w:ascii="Verdana" w:hAnsi="Verdana"/>
          <w:sz w:val="20"/>
          <w:szCs w:val="18"/>
          <w:lang w:bidi="ar-SA"/>
        </w:rPr>
        <w:t xml:space="preserve"> y que</w:t>
      </w:r>
      <w:r w:rsidRPr="004D1D95">
        <w:rPr>
          <w:rFonts w:ascii="Verdana" w:hAnsi="Verdana"/>
          <w:sz w:val="20"/>
          <w:szCs w:val="18"/>
          <w:lang w:bidi="ar-SA"/>
        </w:rPr>
        <w:t xml:space="preserve"> se han llevado a cabo dos reuniones con los beneficiarios en los meses de agosto y noviembre de 2011 con el fin de acordar, de manera conjunta, la implementación del “Protocolo de investigación por amenazas o agresiones a defensores de derechos humanos en el </w:t>
      </w:r>
      <w:r w:rsidR="0015517D">
        <w:rPr>
          <w:rFonts w:ascii="Verdana" w:hAnsi="Verdana"/>
          <w:sz w:val="20"/>
          <w:szCs w:val="18"/>
          <w:lang w:bidi="ar-SA"/>
        </w:rPr>
        <w:t>[</w:t>
      </w:r>
      <w:r w:rsidR="007F331C">
        <w:rPr>
          <w:rFonts w:ascii="Verdana" w:hAnsi="Verdana"/>
          <w:sz w:val="20"/>
          <w:szCs w:val="18"/>
          <w:lang w:bidi="ar-SA"/>
        </w:rPr>
        <w:t>e</w:t>
      </w:r>
      <w:r w:rsidR="0015517D">
        <w:rPr>
          <w:rFonts w:ascii="Verdana" w:hAnsi="Verdana"/>
          <w:sz w:val="20"/>
          <w:szCs w:val="18"/>
          <w:lang w:bidi="ar-SA"/>
        </w:rPr>
        <w:t>]</w:t>
      </w:r>
      <w:proofErr w:type="spellStart"/>
      <w:r w:rsidRPr="004D1D95">
        <w:rPr>
          <w:rFonts w:ascii="Verdana" w:hAnsi="Verdana"/>
          <w:sz w:val="20"/>
          <w:szCs w:val="18"/>
          <w:lang w:bidi="ar-SA"/>
        </w:rPr>
        <w:t>stado</w:t>
      </w:r>
      <w:proofErr w:type="spellEnd"/>
      <w:r w:rsidRPr="004D1D95">
        <w:rPr>
          <w:rFonts w:ascii="Verdana" w:hAnsi="Verdana"/>
          <w:sz w:val="20"/>
          <w:szCs w:val="18"/>
          <w:lang w:bidi="ar-SA"/>
        </w:rPr>
        <w:t xml:space="preserve"> de Guerrero”</w:t>
      </w:r>
      <w:r w:rsidR="0015517D">
        <w:rPr>
          <w:rFonts w:ascii="Verdana" w:hAnsi="Verdana"/>
          <w:sz w:val="20"/>
          <w:szCs w:val="18"/>
          <w:lang w:bidi="ar-SA"/>
        </w:rPr>
        <w:t xml:space="preserve"> (en adelante “Protocolo de investigación”)</w:t>
      </w:r>
      <w:r w:rsidR="007F331C">
        <w:rPr>
          <w:rFonts w:ascii="Verdana" w:hAnsi="Verdana"/>
          <w:sz w:val="20"/>
          <w:szCs w:val="18"/>
          <w:lang w:bidi="ar-SA"/>
        </w:rPr>
        <w:t>,</w:t>
      </w:r>
      <w:r w:rsidRPr="004D1D95">
        <w:rPr>
          <w:rFonts w:ascii="Verdana" w:hAnsi="Verdana"/>
          <w:sz w:val="20"/>
          <w:szCs w:val="18"/>
          <w:lang w:bidi="ar-SA"/>
        </w:rPr>
        <w:t xml:space="preserve"> formulado por la Fundación del Consejo General de la Abogacía Española. </w:t>
      </w:r>
    </w:p>
    <w:p w:rsidR="00585F61" w:rsidRPr="001C6363" w:rsidRDefault="00585F61" w:rsidP="00585F61">
      <w:pPr>
        <w:jc w:val="both"/>
        <w:rPr>
          <w:rFonts w:ascii="Verdana" w:hAnsi="Verdana"/>
          <w:color w:val="FF0000"/>
          <w:sz w:val="20"/>
        </w:rPr>
      </w:pPr>
    </w:p>
    <w:p w:rsidR="00585F61" w:rsidRPr="0015517D" w:rsidRDefault="00585F61" w:rsidP="00585F61">
      <w:pPr>
        <w:numPr>
          <w:ilvl w:val="0"/>
          <w:numId w:val="2"/>
        </w:numPr>
        <w:ind w:left="0" w:firstLine="0"/>
        <w:jc w:val="both"/>
        <w:rPr>
          <w:rFonts w:ascii="Verdana" w:hAnsi="Verdana"/>
          <w:sz w:val="20"/>
        </w:rPr>
      </w:pPr>
      <w:r w:rsidRPr="0015517D">
        <w:rPr>
          <w:rFonts w:ascii="Verdana" w:hAnsi="Verdana"/>
          <w:sz w:val="20"/>
          <w:szCs w:val="18"/>
          <w:lang w:bidi="ar-SA"/>
        </w:rPr>
        <w:t xml:space="preserve">En lo que concierne a la </w:t>
      </w:r>
      <w:r w:rsidR="007F331C" w:rsidRPr="0015517D">
        <w:rPr>
          <w:rFonts w:ascii="Verdana" w:hAnsi="Verdana"/>
          <w:sz w:val="20"/>
          <w:szCs w:val="18"/>
          <w:lang w:bidi="ar-SA"/>
        </w:rPr>
        <w:t xml:space="preserve">información sobre </w:t>
      </w:r>
      <w:r w:rsidRPr="0015517D">
        <w:rPr>
          <w:rFonts w:ascii="Verdana" w:hAnsi="Verdana"/>
          <w:sz w:val="20"/>
          <w:szCs w:val="18"/>
          <w:lang w:bidi="ar-SA"/>
        </w:rPr>
        <w:t xml:space="preserve">investigaciones </w:t>
      </w:r>
      <w:r w:rsidR="007F331C" w:rsidRPr="0015517D">
        <w:rPr>
          <w:rFonts w:ascii="Verdana" w:hAnsi="Verdana"/>
          <w:sz w:val="20"/>
          <w:szCs w:val="18"/>
          <w:lang w:bidi="ar-SA"/>
        </w:rPr>
        <w:t>del</w:t>
      </w:r>
      <w:r w:rsidRPr="0015517D">
        <w:rPr>
          <w:rFonts w:ascii="Verdana" w:hAnsi="Verdana"/>
          <w:sz w:val="20"/>
          <w:szCs w:val="18"/>
          <w:lang w:bidi="ar-SA"/>
        </w:rPr>
        <w:t xml:space="preserve"> homicidio de Lorenzo Fernández Ortega y </w:t>
      </w:r>
      <w:r w:rsidR="007F331C" w:rsidRPr="0015517D">
        <w:rPr>
          <w:rFonts w:ascii="Verdana" w:hAnsi="Verdana"/>
          <w:sz w:val="20"/>
          <w:szCs w:val="18"/>
          <w:lang w:bidi="ar-SA"/>
        </w:rPr>
        <w:t>de</w:t>
      </w:r>
      <w:r w:rsidRPr="0015517D">
        <w:rPr>
          <w:rFonts w:ascii="Verdana" w:hAnsi="Verdana"/>
          <w:sz w:val="20"/>
          <w:szCs w:val="18"/>
          <w:lang w:bidi="ar-SA"/>
        </w:rPr>
        <w:t xml:space="preserve"> la desaparición forzada, tortura y ejecución </w:t>
      </w:r>
      <w:r w:rsidRPr="00750187">
        <w:rPr>
          <w:rFonts w:ascii="Verdana" w:hAnsi="Verdana"/>
          <w:sz w:val="20"/>
          <w:szCs w:val="18"/>
          <w:lang w:bidi="ar-SA"/>
        </w:rPr>
        <w:t>extrajudicial de Raúl Lucas Lucía y Man</w:t>
      </w:r>
      <w:r w:rsidRPr="0015517D">
        <w:rPr>
          <w:rFonts w:ascii="Verdana" w:hAnsi="Verdana"/>
          <w:sz w:val="20"/>
          <w:szCs w:val="18"/>
          <w:lang w:bidi="ar-SA"/>
        </w:rPr>
        <w:t xml:space="preserve">uel Ponce Rosas, el Estado manifestó estar realizando varias diligencias en conjunto con la Policía Federal Ministerial y </w:t>
      </w:r>
      <w:r w:rsidR="007F331C" w:rsidRPr="0015517D">
        <w:rPr>
          <w:rFonts w:ascii="Verdana" w:hAnsi="Verdana"/>
          <w:sz w:val="20"/>
          <w:szCs w:val="18"/>
          <w:lang w:bidi="ar-SA"/>
        </w:rPr>
        <w:t xml:space="preserve">que </w:t>
      </w:r>
      <w:r w:rsidRPr="0015517D">
        <w:rPr>
          <w:rFonts w:ascii="Verdana" w:hAnsi="Verdana"/>
          <w:sz w:val="20"/>
          <w:szCs w:val="18"/>
          <w:lang w:bidi="ar-SA"/>
        </w:rPr>
        <w:t xml:space="preserve">se reunió con los beneficiarios para informarles al respecto. </w:t>
      </w:r>
    </w:p>
    <w:p w:rsidR="0015517D" w:rsidRPr="0015517D" w:rsidRDefault="0015517D" w:rsidP="0015517D">
      <w:pPr>
        <w:jc w:val="both"/>
        <w:rPr>
          <w:rFonts w:ascii="Verdana" w:hAnsi="Verdana"/>
          <w:sz w:val="20"/>
        </w:rPr>
      </w:pPr>
    </w:p>
    <w:p w:rsidR="00585F61" w:rsidRPr="004D1D95" w:rsidRDefault="00585F61" w:rsidP="00585F61">
      <w:pPr>
        <w:numPr>
          <w:ilvl w:val="0"/>
          <w:numId w:val="2"/>
        </w:numPr>
        <w:ind w:left="0" w:firstLine="0"/>
        <w:jc w:val="both"/>
        <w:rPr>
          <w:rFonts w:ascii="Verdana" w:hAnsi="Verdana"/>
          <w:sz w:val="20"/>
        </w:rPr>
      </w:pPr>
      <w:r w:rsidRPr="004D1D95">
        <w:rPr>
          <w:rFonts w:ascii="Verdana" w:hAnsi="Verdana"/>
          <w:sz w:val="20"/>
        </w:rPr>
        <w:t>Lo</w:t>
      </w:r>
      <w:r>
        <w:rPr>
          <w:rFonts w:ascii="Verdana" w:hAnsi="Verdana"/>
          <w:sz w:val="20"/>
        </w:rPr>
        <w:t>s</w:t>
      </w:r>
      <w:r w:rsidRPr="004D1D95">
        <w:rPr>
          <w:rFonts w:ascii="Verdana" w:hAnsi="Verdana"/>
          <w:sz w:val="20"/>
        </w:rPr>
        <w:t xml:space="preserve"> representantes resaltaron que</w:t>
      </w:r>
      <w:r>
        <w:rPr>
          <w:rFonts w:ascii="Verdana" w:hAnsi="Verdana"/>
          <w:sz w:val="20"/>
        </w:rPr>
        <w:t>,</w:t>
      </w:r>
      <w:r w:rsidRPr="004D1D95">
        <w:rPr>
          <w:rFonts w:ascii="Verdana" w:hAnsi="Verdana"/>
          <w:sz w:val="20"/>
        </w:rPr>
        <w:t xml:space="preserve"> a la fecha</w:t>
      </w:r>
      <w:r>
        <w:rPr>
          <w:rFonts w:ascii="Verdana" w:hAnsi="Verdana"/>
          <w:sz w:val="20"/>
        </w:rPr>
        <w:t>,</w:t>
      </w:r>
      <w:r w:rsidRPr="004D1D95">
        <w:rPr>
          <w:rFonts w:ascii="Verdana" w:hAnsi="Verdana"/>
          <w:sz w:val="20"/>
        </w:rPr>
        <w:t xml:space="preserve"> 18 averiguaciones previas permanecen abiertas sin que los responsables hayan sido llevados ante la justicia. En cuanto a las </w:t>
      </w:r>
      <w:r w:rsidRPr="004D1D95">
        <w:rPr>
          <w:rFonts w:ascii="Verdana" w:hAnsi="Verdana"/>
          <w:sz w:val="20"/>
          <w:szCs w:val="18"/>
          <w:lang w:bidi="ar-SA"/>
        </w:rPr>
        <w:t>investigaciones relativas al homicidio de Lorenzo Fernández Ortega</w:t>
      </w:r>
      <w:r>
        <w:rPr>
          <w:rFonts w:ascii="Verdana" w:hAnsi="Verdana"/>
          <w:sz w:val="20"/>
          <w:szCs w:val="18"/>
          <w:lang w:bidi="ar-SA"/>
        </w:rPr>
        <w:t xml:space="preserve"> y</w:t>
      </w:r>
      <w:r w:rsidRPr="004D1D95">
        <w:rPr>
          <w:rFonts w:ascii="Verdana" w:hAnsi="Verdana"/>
          <w:sz w:val="20"/>
          <w:szCs w:val="18"/>
          <w:lang w:bidi="ar-SA"/>
        </w:rPr>
        <w:t xml:space="preserve"> </w:t>
      </w:r>
      <w:r w:rsidR="007F331C">
        <w:rPr>
          <w:rFonts w:ascii="Verdana" w:hAnsi="Verdana"/>
          <w:sz w:val="20"/>
          <w:szCs w:val="18"/>
          <w:lang w:bidi="ar-SA"/>
        </w:rPr>
        <w:t xml:space="preserve">a </w:t>
      </w:r>
      <w:r w:rsidRPr="004D1D95">
        <w:rPr>
          <w:rFonts w:ascii="Verdana" w:hAnsi="Verdana"/>
          <w:sz w:val="20"/>
          <w:szCs w:val="18"/>
          <w:lang w:bidi="ar-SA"/>
        </w:rPr>
        <w:t>la desaparición forzada, tortura y ejecución extrajudicial de Raúl Lucas Lucía y Manuel Ponce Rosas</w:t>
      </w:r>
      <w:r w:rsidR="007F331C">
        <w:rPr>
          <w:rFonts w:ascii="Verdana" w:hAnsi="Verdana"/>
          <w:sz w:val="20"/>
          <w:szCs w:val="18"/>
          <w:lang w:bidi="ar-SA"/>
        </w:rPr>
        <w:t>,</w:t>
      </w:r>
      <w:r w:rsidRPr="004D1D95">
        <w:rPr>
          <w:rFonts w:ascii="Verdana" w:hAnsi="Verdana"/>
          <w:sz w:val="20"/>
          <w:szCs w:val="18"/>
          <w:lang w:bidi="ar-SA"/>
        </w:rPr>
        <w:t xml:space="preserve"> manifestaron su preocupación ante </w:t>
      </w:r>
      <w:r w:rsidR="007F331C">
        <w:rPr>
          <w:rFonts w:ascii="Verdana" w:hAnsi="Verdana"/>
          <w:sz w:val="20"/>
          <w:szCs w:val="18"/>
          <w:lang w:bidi="ar-SA"/>
        </w:rPr>
        <w:t xml:space="preserve">alegadas </w:t>
      </w:r>
      <w:r w:rsidRPr="004D1D95">
        <w:rPr>
          <w:rFonts w:ascii="Verdana" w:hAnsi="Verdana"/>
          <w:sz w:val="20"/>
          <w:szCs w:val="18"/>
          <w:lang w:bidi="ar-SA"/>
        </w:rPr>
        <w:t xml:space="preserve"> omisiones y deficiencias</w:t>
      </w:r>
      <w:r w:rsidR="007F331C">
        <w:rPr>
          <w:rFonts w:ascii="Verdana" w:hAnsi="Verdana"/>
          <w:sz w:val="20"/>
          <w:szCs w:val="18"/>
          <w:lang w:bidi="ar-SA"/>
        </w:rPr>
        <w:t xml:space="preserve"> en las mismas</w:t>
      </w:r>
      <w:r>
        <w:rPr>
          <w:rFonts w:ascii="Verdana" w:hAnsi="Verdana"/>
          <w:sz w:val="20"/>
          <w:szCs w:val="18"/>
          <w:lang w:bidi="ar-SA"/>
        </w:rPr>
        <w:t>.</w:t>
      </w:r>
      <w:r w:rsidRPr="004D1D95">
        <w:rPr>
          <w:rFonts w:ascii="Verdana" w:hAnsi="Verdana"/>
          <w:sz w:val="20"/>
          <w:szCs w:val="18"/>
          <w:lang w:bidi="ar-SA"/>
        </w:rPr>
        <w:t xml:space="preserve"> </w:t>
      </w:r>
    </w:p>
    <w:p w:rsidR="00585F61" w:rsidRPr="004D1D95" w:rsidRDefault="00585F61" w:rsidP="00585F61">
      <w:pPr>
        <w:jc w:val="both"/>
        <w:rPr>
          <w:rFonts w:ascii="Verdana" w:hAnsi="Verdana"/>
          <w:sz w:val="20"/>
        </w:rPr>
      </w:pPr>
    </w:p>
    <w:p w:rsidR="00585F61" w:rsidRPr="004D1D95" w:rsidRDefault="00585F61" w:rsidP="00585F61">
      <w:pPr>
        <w:numPr>
          <w:ilvl w:val="0"/>
          <w:numId w:val="2"/>
        </w:numPr>
        <w:ind w:left="0" w:firstLine="0"/>
        <w:jc w:val="both"/>
        <w:rPr>
          <w:rFonts w:ascii="Verdana" w:hAnsi="Verdana"/>
          <w:sz w:val="20"/>
        </w:rPr>
      </w:pPr>
      <w:r w:rsidRPr="004D1D95">
        <w:rPr>
          <w:rFonts w:ascii="Verdana" w:hAnsi="Verdana"/>
          <w:sz w:val="20"/>
        </w:rPr>
        <w:t xml:space="preserve">La Comisión valoró el avance en la concreción de las gestiones necesarias para la implementación del </w:t>
      </w:r>
      <w:r w:rsidRPr="004D1D95">
        <w:rPr>
          <w:rFonts w:ascii="Verdana" w:hAnsi="Verdana"/>
          <w:sz w:val="20"/>
          <w:szCs w:val="18"/>
          <w:lang w:bidi="ar-SA"/>
        </w:rPr>
        <w:t>Protocolo de investigación</w:t>
      </w:r>
      <w:r w:rsidRPr="004D1D95">
        <w:rPr>
          <w:rFonts w:ascii="Verdana" w:hAnsi="Verdana"/>
          <w:sz w:val="20"/>
        </w:rPr>
        <w:t>. Respecto de las investigaciones realizadas por el Estado, la Comisión recordó que independientemente de la</w:t>
      </w:r>
      <w:r w:rsidR="00400033">
        <w:rPr>
          <w:rFonts w:ascii="Verdana" w:hAnsi="Verdana"/>
          <w:sz w:val="20"/>
        </w:rPr>
        <w:t xml:space="preserve">s </w:t>
      </w:r>
      <w:r w:rsidRPr="004D1D95">
        <w:rPr>
          <w:rFonts w:ascii="Verdana" w:hAnsi="Verdana"/>
          <w:sz w:val="20"/>
        </w:rPr>
        <w:t xml:space="preserve">medidas provisionales, el Estado se encuentra especialmente obligado a garantizar los derechos de las personas en situación de riesgo y </w:t>
      </w:r>
      <w:r w:rsidR="00400033">
        <w:rPr>
          <w:rFonts w:ascii="Verdana" w:hAnsi="Verdana"/>
          <w:sz w:val="20"/>
        </w:rPr>
        <w:t>a</w:t>
      </w:r>
      <w:r w:rsidRPr="004D1D95">
        <w:rPr>
          <w:rFonts w:ascii="Verdana" w:hAnsi="Verdana"/>
          <w:sz w:val="20"/>
        </w:rPr>
        <w:t xml:space="preserve"> impulsar las investigaciones necesarias para e</w:t>
      </w:r>
      <w:r>
        <w:rPr>
          <w:rFonts w:ascii="Verdana" w:hAnsi="Verdana"/>
          <w:sz w:val="20"/>
        </w:rPr>
        <w:t xml:space="preserve">sclarecer los hechos. </w:t>
      </w:r>
    </w:p>
    <w:p w:rsidR="00585F61" w:rsidRPr="004D1D95" w:rsidRDefault="00585F61" w:rsidP="00585F61">
      <w:pPr>
        <w:jc w:val="both"/>
        <w:rPr>
          <w:rFonts w:ascii="Verdana" w:hAnsi="Verdana"/>
          <w:sz w:val="20"/>
        </w:rPr>
      </w:pPr>
    </w:p>
    <w:p w:rsidR="00585F61" w:rsidRPr="00891671" w:rsidRDefault="00585F61" w:rsidP="00585F61">
      <w:pPr>
        <w:numPr>
          <w:ilvl w:val="0"/>
          <w:numId w:val="2"/>
        </w:numPr>
        <w:ind w:left="0" w:firstLine="0"/>
        <w:jc w:val="both"/>
        <w:rPr>
          <w:rFonts w:ascii="Verdana" w:hAnsi="Verdana"/>
          <w:sz w:val="20"/>
        </w:rPr>
      </w:pPr>
      <w:r w:rsidRPr="004D1D95">
        <w:rPr>
          <w:rFonts w:ascii="Verdana" w:hAnsi="Verdana"/>
          <w:sz w:val="20"/>
        </w:rPr>
        <w:t xml:space="preserve">La Corte toma nota de lo informado por las partes sobre la presentación del Protocolo </w:t>
      </w:r>
      <w:r w:rsidR="007F331C">
        <w:rPr>
          <w:rFonts w:ascii="Verdana" w:hAnsi="Verdana"/>
          <w:sz w:val="20"/>
          <w:szCs w:val="18"/>
          <w:lang w:bidi="ar-SA"/>
        </w:rPr>
        <w:t>elaborado</w:t>
      </w:r>
      <w:r w:rsidRPr="004D1D95">
        <w:rPr>
          <w:rFonts w:ascii="Verdana" w:hAnsi="Verdana"/>
          <w:sz w:val="20"/>
          <w:szCs w:val="18"/>
          <w:lang w:bidi="ar-SA"/>
        </w:rPr>
        <w:t xml:space="preserve"> por la Fundación </w:t>
      </w:r>
      <w:r w:rsidRPr="004D1D95">
        <w:rPr>
          <w:rFonts w:ascii="Verdana" w:hAnsi="Verdana"/>
          <w:sz w:val="20"/>
        </w:rPr>
        <w:t xml:space="preserve">del Consejo </w:t>
      </w:r>
      <w:r w:rsidR="00400033">
        <w:rPr>
          <w:rFonts w:ascii="Verdana" w:hAnsi="Verdana"/>
          <w:sz w:val="20"/>
        </w:rPr>
        <w:t xml:space="preserve">General </w:t>
      </w:r>
      <w:r w:rsidRPr="004D1D95">
        <w:rPr>
          <w:rFonts w:ascii="Verdana" w:hAnsi="Verdana"/>
          <w:sz w:val="20"/>
        </w:rPr>
        <w:t>de la Abogacía Española</w:t>
      </w:r>
      <w:r w:rsidR="00237A4E">
        <w:rPr>
          <w:rFonts w:ascii="Verdana" w:hAnsi="Verdana"/>
          <w:sz w:val="20"/>
        </w:rPr>
        <w:t xml:space="preserve"> y </w:t>
      </w:r>
      <w:r w:rsidRPr="004D1D95">
        <w:rPr>
          <w:rFonts w:ascii="Verdana" w:hAnsi="Verdana"/>
          <w:sz w:val="20"/>
        </w:rPr>
        <w:t>valora el esfuerzo de las</w:t>
      </w:r>
      <w:r w:rsidRPr="00891671">
        <w:rPr>
          <w:rFonts w:ascii="Verdana" w:hAnsi="Verdana"/>
          <w:sz w:val="20"/>
        </w:rPr>
        <w:t xml:space="preserve"> partes para llegar a un consenso respecto de la implementación de </w:t>
      </w:r>
      <w:r w:rsidR="00237A4E">
        <w:rPr>
          <w:rFonts w:ascii="Verdana" w:hAnsi="Verdana"/>
          <w:sz w:val="20"/>
        </w:rPr>
        <w:t>su</w:t>
      </w:r>
      <w:r w:rsidRPr="00891671">
        <w:rPr>
          <w:rFonts w:ascii="Verdana" w:hAnsi="Verdana"/>
          <w:sz w:val="20"/>
        </w:rPr>
        <w:t xml:space="preserve">s recomendaciones. </w:t>
      </w:r>
    </w:p>
    <w:p w:rsidR="00585F61" w:rsidRPr="00891671" w:rsidRDefault="00585F61" w:rsidP="00585F61">
      <w:pPr>
        <w:pStyle w:val="ListParagraph"/>
        <w:rPr>
          <w:rFonts w:ascii="Verdana" w:hAnsi="Verdana"/>
          <w:sz w:val="20"/>
        </w:rPr>
      </w:pPr>
    </w:p>
    <w:p w:rsidR="00585F61" w:rsidRDefault="00585F61" w:rsidP="00585F61">
      <w:pPr>
        <w:numPr>
          <w:ilvl w:val="0"/>
          <w:numId w:val="2"/>
        </w:numPr>
        <w:ind w:left="0" w:firstLine="0"/>
        <w:jc w:val="both"/>
        <w:rPr>
          <w:rFonts w:ascii="Verdana" w:hAnsi="Verdana"/>
          <w:sz w:val="20"/>
        </w:rPr>
      </w:pPr>
      <w:r w:rsidRPr="00891671">
        <w:rPr>
          <w:rFonts w:ascii="Verdana" w:hAnsi="Verdana"/>
          <w:sz w:val="20"/>
        </w:rPr>
        <w:t xml:space="preserve">Asimismo, en relación con la información estatal de que estaría investigando los hechos denunciados por los representantes, la Corte reitera el </w:t>
      </w:r>
      <w:r>
        <w:rPr>
          <w:rFonts w:ascii="Verdana" w:hAnsi="Verdana"/>
          <w:sz w:val="20"/>
        </w:rPr>
        <w:t xml:space="preserve">deber del Estado de investigar </w:t>
      </w:r>
      <w:r w:rsidR="00237A4E">
        <w:rPr>
          <w:rFonts w:ascii="Verdana" w:hAnsi="Verdana"/>
          <w:sz w:val="20"/>
        </w:rPr>
        <w:t>los</w:t>
      </w:r>
      <w:r>
        <w:rPr>
          <w:rFonts w:ascii="Verdana" w:hAnsi="Verdana"/>
          <w:sz w:val="20"/>
        </w:rPr>
        <w:t xml:space="preserve"> hechos como medida de garantía de los derechos a la vida e integridad personal. Sin perjuicio de lo anterior, en el marco de las presentes medidas provisionales y tal como lo ha hecho en otros asuntos</w:t>
      </w:r>
      <w:r>
        <w:rPr>
          <w:rStyle w:val="Refdenotaalpie"/>
          <w:rFonts w:ascii="Verdana" w:hAnsi="Verdana"/>
          <w:sz w:val="20"/>
        </w:rPr>
        <w:footnoteReference w:id="6"/>
      </w:r>
      <w:r>
        <w:rPr>
          <w:rFonts w:ascii="Verdana" w:hAnsi="Verdana"/>
          <w:sz w:val="20"/>
        </w:rPr>
        <w:t xml:space="preserve">, no considerará la efectividad de las investigaciones realizadas, ni la supuesta negligencia del Estado en </w:t>
      </w:r>
      <w:r w:rsidR="00400033">
        <w:rPr>
          <w:rFonts w:ascii="Verdana" w:hAnsi="Verdana"/>
          <w:sz w:val="20"/>
        </w:rPr>
        <w:t>las mismas</w:t>
      </w:r>
      <w:r w:rsidR="00844A46">
        <w:rPr>
          <w:rFonts w:ascii="Verdana" w:hAnsi="Verdana"/>
          <w:sz w:val="20"/>
        </w:rPr>
        <w:t>, por no ser, esto último, parte de su objeto</w:t>
      </w:r>
      <w:r>
        <w:rPr>
          <w:rFonts w:ascii="Verdana" w:hAnsi="Verdana"/>
          <w:sz w:val="20"/>
        </w:rPr>
        <w:t>.</w:t>
      </w:r>
    </w:p>
    <w:p w:rsidR="00585F61" w:rsidRDefault="00585F61" w:rsidP="00585F61">
      <w:pPr>
        <w:pStyle w:val="Prrafodelista"/>
        <w:rPr>
          <w:rFonts w:ascii="Verdana" w:hAnsi="Verdana"/>
          <w:sz w:val="20"/>
        </w:rPr>
      </w:pPr>
    </w:p>
    <w:p w:rsidR="00006044" w:rsidRPr="00400033" w:rsidRDefault="00006044" w:rsidP="00006044">
      <w:pPr>
        <w:ind w:left="720"/>
        <w:jc w:val="both"/>
        <w:rPr>
          <w:rFonts w:ascii="Verdana" w:hAnsi="Verdana"/>
          <w:b/>
          <w:sz w:val="20"/>
        </w:rPr>
      </w:pPr>
      <w:r w:rsidRPr="00400033">
        <w:rPr>
          <w:rFonts w:ascii="Verdana" w:hAnsi="Verdana"/>
          <w:b/>
          <w:i/>
          <w:sz w:val="20"/>
        </w:rPr>
        <w:lastRenderedPageBreak/>
        <w:t xml:space="preserve">b) </w:t>
      </w:r>
      <w:r w:rsidR="004E4D62" w:rsidRPr="00400033">
        <w:rPr>
          <w:rFonts w:ascii="Verdana" w:hAnsi="Verdana"/>
          <w:b/>
          <w:i/>
          <w:sz w:val="20"/>
        </w:rPr>
        <w:t>Información sobre la situación de riesgo de los beneficiarios</w:t>
      </w:r>
    </w:p>
    <w:p w:rsidR="00006044" w:rsidRDefault="00006044" w:rsidP="00006044">
      <w:pPr>
        <w:jc w:val="both"/>
        <w:rPr>
          <w:rFonts w:ascii="Verdana" w:hAnsi="Verdana"/>
          <w:sz w:val="20"/>
        </w:rPr>
      </w:pPr>
    </w:p>
    <w:p w:rsidR="00006044" w:rsidRPr="001E25F9" w:rsidRDefault="00006044" w:rsidP="00006044">
      <w:pPr>
        <w:pStyle w:val="Textoindependiente2"/>
        <w:numPr>
          <w:ilvl w:val="0"/>
          <w:numId w:val="2"/>
        </w:numPr>
        <w:spacing w:after="0" w:line="240" w:lineRule="auto"/>
        <w:ind w:left="0" w:firstLine="0"/>
        <w:jc w:val="both"/>
        <w:rPr>
          <w:rFonts w:ascii="Verdana" w:hAnsi="Verdana" w:cs="Arial"/>
          <w:sz w:val="20"/>
        </w:rPr>
      </w:pPr>
      <w:r w:rsidRPr="001E25F9">
        <w:rPr>
          <w:rFonts w:ascii="Verdana" w:hAnsi="Verdana" w:cs="Arial"/>
          <w:sz w:val="20"/>
        </w:rPr>
        <w:t>Respecto de la situación de los beneficiarios de las medidas provisionales, los representantes informaron</w:t>
      </w:r>
      <w:r w:rsidR="00DD149E">
        <w:rPr>
          <w:rFonts w:ascii="Verdana" w:hAnsi="Verdana" w:cs="Arial"/>
          <w:sz w:val="20"/>
        </w:rPr>
        <w:t>, entre otros</w:t>
      </w:r>
      <w:r w:rsidRPr="001E25F9">
        <w:rPr>
          <w:rFonts w:ascii="Verdana" w:hAnsi="Verdana" w:cs="Arial"/>
          <w:sz w:val="20"/>
        </w:rPr>
        <w:t xml:space="preserve"> hechos de amenaza o violencia, </w:t>
      </w:r>
      <w:r w:rsidR="00DD149E" w:rsidRPr="00DD149E">
        <w:rPr>
          <w:rFonts w:ascii="Verdana" w:hAnsi="Verdana" w:cs="Arial"/>
          <w:sz w:val="20"/>
        </w:rPr>
        <w:t>lo siguiente</w:t>
      </w:r>
      <w:r w:rsidRPr="001E25F9">
        <w:rPr>
          <w:rFonts w:ascii="Verdana" w:hAnsi="Verdana" w:cs="Arial"/>
          <w:sz w:val="20"/>
        </w:rPr>
        <w:t xml:space="preserve">:  </w:t>
      </w:r>
    </w:p>
    <w:p w:rsidR="00006044" w:rsidRPr="001E25F9" w:rsidRDefault="00006044" w:rsidP="00006044">
      <w:pPr>
        <w:jc w:val="both"/>
        <w:rPr>
          <w:rFonts w:ascii="Verdana" w:hAnsi="Verdana"/>
          <w:sz w:val="20"/>
        </w:rPr>
      </w:pPr>
    </w:p>
    <w:p w:rsidR="00006044" w:rsidRPr="001E25F9" w:rsidRDefault="00006044" w:rsidP="00006044">
      <w:pPr>
        <w:numPr>
          <w:ilvl w:val="0"/>
          <w:numId w:val="20"/>
        </w:numPr>
        <w:jc w:val="both"/>
        <w:rPr>
          <w:rFonts w:ascii="Verdana" w:hAnsi="Verdana"/>
          <w:sz w:val="20"/>
        </w:rPr>
      </w:pPr>
      <w:r w:rsidRPr="001E25F9">
        <w:rPr>
          <w:rFonts w:ascii="Verdana" w:hAnsi="Verdana"/>
          <w:sz w:val="20"/>
          <w:lang w:val="es-ES"/>
        </w:rPr>
        <w:t xml:space="preserve">el 23 de junio de 2009 </w:t>
      </w:r>
      <w:r w:rsidRPr="001E25F9">
        <w:rPr>
          <w:rFonts w:ascii="Verdana" w:hAnsi="Verdana"/>
          <w:sz w:val="20"/>
        </w:rPr>
        <w:t>Margarita Martín Nieves y Santiago Ponce Lola</w:t>
      </w:r>
      <w:r w:rsidR="00AF2D80" w:rsidRPr="001E25F9">
        <w:rPr>
          <w:rFonts w:ascii="Verdana" w:hAnsi="Verdana"/>
          <w:sz w:val="20"/>
        </w:rPr>
        <w:t>, familiares de Manuel Ponce Rosas,</w:t>
      </w:r>
      <w:r w:rsidRPr="001E25F9">
        <w:rPr>
          <w:rFonts w:ascii="Verdana" w:hAnsi="Verdana"/>
          <w:sz w:val="20"/>
        </w:rPr>
        <w:t xml:space="preserve"> </w:t>
      </w:r>
      <w:r w:rsidRPr="001E25F9">
        <w:rPr>
          <w:rFonts w:ascii="Verdana" w:hAnsi="Verdana"/>
          <w:sz w:val="20"/>
          <w:lang w:val="es-MX"/>
        </w:rPr>
        <w:t xml:space="preserve">escucharon disparos </w:t>
      </w:r>
      <w:r w:rsidR="00400033">
        <w:rPr>
          <w:rFonts w:ascii="Verdana" w:hAnsi="Verdana"/>
          <w:sz w:val="20"/>
          <w:lang w:val="es-MX"/>
        </w:rPr>
        <w:t xml:space="preserve">contra ellos </w:t>
      </w:r>
      <w:r w:rsidR="006526E2" w:rsidRPr="001E25F9">
        <w:rPr>
          <w:rFonts w:ascii="Verdana" w:hAnsi="Verdana"/>
          <w:sz w:val="20"/>
          <w:lang w:val="es-MX"/>
        </w:rPr>
        <w:t xml:space="preserve">provenientes </w:t>
      </w:r>
      <w:r w:rsidRPr="001E25F9">
        <w:rPr>
          <w:rFonts w:ascii="Verdana" w:hAnsi="Verdana"/>
          <w:sz w:val="20"/>
          <w:lang w:val="es-MX"/>
        </w:rPr>
        <w:t xml:space="preserve">de un hombre </w:t>
      </w:r>
      <w:r w:rsidR="006A6BFE">
        <w:rPr>
          <w:rFonts w:ascii="Verdana" w:hAnsi="Verdana"/>
          <w:sz w:val="20"/>
          <w:lang w:val="es-MX"/>
        </w:rPr>
        <w:t xml:space="preserve">que se encontraba </w:t>
      </w:r>
      <w:r w:rsidRPr="001E25F9">
        <w:rPr>
          <w:rFonts w:ascii="Verdana" w:hAnsi="Verdana"/>
          <w:sz w:val="20"/>
          <w:lang w:val="es-MX"/>
        </w:rPr>
        <w:t xml:space="preserve">a tres metros </w:t>
      </w:r>
      <w:r w:rsidR="00400033">
        <w:rPr>
          <w:rFonts w:ascii="Verdana" w:hAnsi="Verdana"/>
          <w:sz w:val="20"/>
          <w:lang w:val="es-MX"/>
        </w:rPr>
        <w:t>de distancia</w:t>
      </w:r>
      <w:r w:rsidRPr="001E25F9">
        <w:rPr>
          <w:rFonts w:ascii="Verdana" w:hAnsi="Verdana"/>
          <w:sz w:val="20"/>
          <w:lang w:val="es-MX"/>
        </w:rPr>
        <w:t>. Al no haber acertado ninguno de los disparos, el atacante l</w:t>
      </w:r>
      <w:r w:rsidR="00FD463A">
        <w:rPr>
          <w:rFonts w:ascii="Verdana" w:hAnsi="Verdana"/>
          <w:sz w:val="20"/>
          <w:lang w:val="es-MX"/>
        </w:rPr>
        <w:t>o</w:t>
      </w:r>
      <w:r w:rsidRPr="001E25F9">
        <w:rPr>
          <w:rFonts w:ascii="Verdana" w:hAnsi="Verdana"/>
          <w:sz w:val="20"/>
          <w:lang w:val="es-MX"/>
        </w:rPr>
        <w:t>s siguió con la intención de alcanzar</w:t>
      </w:r>
      <w:r w:rsidR="00FD463A">
        <w:rPr>
          <w:rFonts w:ascii="Verdana" w:hAnsi="Verdana"/>
          <w:sz w:val="20"/>
          <w:lang w:val="es-MX"/>
        </w:rPr>
        <w:t>los</w:t>
      </w:r>
      <w:r w:rsidRPr="001E25F9">
        <w:rPr>
          <w:rFonts w:ascii="Verdana" w:hAnsi="Verdana"/>
          <w:sz w:val="20"/>
          <w:lang w:val="es-MX"/>
        </w:rPr>
        <w:t xml:space="preserve"> y dispararles </w:t>
      </w:r>
      <w:r w:rsidR="006A6BFE">
        <w:rPr>
          <w:rFonts w:ascii="Verdana" w:hAnsi="Verdana"/>
          <w:sz w:val="20"/>
          <w:lang w:val="es-MX"/>
        </w:rPr>
        <w:t xml:space="preserve">de </w:t>
      </w:r>
      <w:r w:rsidRPr="001E25F9">
        <w:rPr>
          <w:rFonts w:ascii="Verdana" w:hAnsi="Verdana"/>
          <w:sz w:val="20"/>
          <w:lang w:val="es-MX"/>
        </w:rPr>
        <w:t xml:space="preserve">más cerca. </w:t>
      </w:r>
      <w:r w:rsidRPr="001E25F9">
        <w:rPr>
          <w:rFonts w:ascii="Verdana" w:hAnsi="Verdana"/>
          <w:sz w:val="20"/>
        </w:rPr>
        <w:t xml:space="preserve">En esa oportunidad el teléfono satelital no funcionó; </w:t>
      </w:r>
    </w:p>
    <w:p w:rsidR="00006044" w:rsidRPr="001E25F9" w:rsidRDefault="00006044" w:rsidP="00006044">
      <w:pPr>
        <w:ind w:left="360"/>
        <w:jc w:val="both"/>
        <w:rPr>
          <w:rFonts w:ascii="Verdana" w:hAnsi="Verdana"/>
          <w:b/>
          <w:sz w:val="20"/>
          <w:lang w:val="es-MX"/>
        </w:rPr>
      </w:pPr>
    </w:p>
    <w:p w:rsidR="00006044" w:rsidRPr="00330A5A" w:rsidRDefault="00006044" w:rsidP="00006044">
      <w:pPr>
        <w:numPr>
          <w:ilvl w:val="0"/>
          <w:numId w:val="20"/>
        </w:numPr>
        <w:jc w:val="both"/>
        <w:rPr>
          <w:rFonts w:ascii="Verdana" w:hAnsi="Verdana"/>
          <w:b/>
          <w:sz w:val="20"/>
          <w:lang w:val="es-MX"/>
        </w:rPr>
      </w:pPr>
      <w:r w:rsidRPr="00330A5A">
        <w:rPr>
          <w:rFonts w:ascii="Verdana" w:hAnsi="Verdana"/>
          <w:sz w:val="20"/>
        </w:rPr>
        <w:t>e</w:t>
      </w:r>
      <w:r w:rsidRPr="00330A5A">
        <w:rPr>
          <w:rFonts w:ascii="Verdana" w:hAnsi="Verdana"/>
          <w:sz w:val="20"/>
          <w:lang w:val="es-MX"/>
        </w:rPr>
        <w:t>l 5 de junio del 2009</w:t>
      </w:r>
      <w:r w:rsidRPr="00330A5A">
        <w:rPr>
          <w:rFonts w:ascii="Verdana" w:hAnsi="Verdana"/>
          <w:sz w:val="20"/>
          <w:lang w:val="es-ES"/>
        </w:rPr>
        <w:t xml:space="preserve"> Rommel Caín </w:t>
      </w:r>
      <w:proofErr w:type="spellStart"/>
      <w:r w:rsidRPr="00330A5A">
        <w:rPr>
          <w:rFonts w:ascii="Verdana" w:hAnsi="Verdana"/>
          <w:sz w:val="20"/>
          <w:lang w:val="es-ES"/>
        </w:rPr>
        <w:t>Chacan</w:t>
      </w:r>
      <w:proofErr w:type="spellEnd"/>
      <w:r w:rsidRPr="00330A5A">
        <w:rPr>
          <w:rFonts w:ascii="Verdana" w:hAnsi="Verdana"/>
          <w:sz w:val="20"/>
          <w:lang w:val="es-ES"/>
        </w:rPr>
        <w:t xml:space="preserve"> Pele</w:t>
      </w:r>
      <w:r w:rsidR="00AF2D80" w:rsidRPr="00330A5A">
        <w:rPr>
          <w:rFonts w:ascii="Verdana" w:hAnsi="Verdana"/>
          <w:sz w:val="20"/>
          <w:lang w:val="es-ES"/>
        </w:rPr>
        <w:t xml:space="preserve">, integrante de la organización </w:t>
      </w:r>
      <w:proofErr w:type="spellStart"/>
      <w:r w:rsidR="00AF2D80" w:rsidRPr="00330A5A">
        <w:rPr>
          <w:rFonts w:ascii="Verdana" w:hAnsi="Verdana"/>
          <w:sz w:val="20"/>
          <w:lang w:val="es-ES"/>
        </w:rPr>
        <w:t>Tlachinollan</w:t>
      </w:r>
      <w:proofErr w:type="spellEnd"/>
      <w:r w:rsidR="00AF2D80" w:rsidRPr="00330A5A">
        <w:rPr>
          <w:rFonts w:ascii="Verdana" w:hAnsi="Verdana"/>
          <w:sz w:val="20"/>
          <w:lang w:val="es-ES"/>
        </w:rPr>
        <w:t>,</w:t>
      </w:r>
      <w:r w:rsidRPr="00330A5A">
        <w:rPr>
          <w:rFonts w:ascii="Verdana" w:hAnsi="Verdana"/>
          <w:sz w:val="20"/>
          <w:lang w:val="es-MX"/>
        </w:rPr>
        <w:t xml:space="preserve"> recibió una </w:t>
      </w:r>
      <w:r w:rsidR="00FD463A" w:rsidRPr="00330A5A">
        <w:rPr>
          <w:rFonts w:ascii="Verdana" w:hAnsi="Verdana"/>
          <w:sz w:val="20"/>
          <w:lang w:val="es-MX"/>
        </w:rPr>
        <w:t>llamada</w:t>
      </w:r>
      <w:r w:rsidRPr="00330A5A">
        <w:rPr>
          <w:rFonts w:ascii="Verdana" w:hAnsi="Verdana"/>
          <w:sz w:val="20"/>
          <w:lang w:val="es-MX"/>
        </w:rPr>
        <w:t xml:space="preserve"> telefónica, en la cual le dijeron que lo estaban vigilando. El 7 de julio del mismo año encontró un papel en el parabrisas de su vehículo con la misma amenaza;</w:t>
      </w:r>
    </w:p>
    <w:p w:rsidR="00006044" w:rsidRPr="001E25F9" w:rsidRDefault="00006044" w:rsidP="00006044">
      <w:pPr>
        <w:ind w:left="720"/>
        <w:jc w:val="both"/>
        <w:rPr>
          <w:rFonts w:ascii="Verdana" w:hAnsi="Verdana"/>
          <w:sz w:val="20"/>
          <w:lang w:val="es-MX"/>
        </w:rPr>
      </w:pPr>
    </w:p>
    <w:p w:rsidR="00006044" w:rsidRPr="001E25F9" w:rsidRDefault="00006044" w:rsidP="00006044">
      <w:pPr>
        <w:numPr>
          <w:ilvl w:val="0"/>
          <w:numId w:val="20"/>
        </w:numPr>
        <w:jc w:val="both"/>
        <w:rPr>
          <w:rFonts w:ascii="Verdana" w:hAnsi="Verdana"/>
          <w:sz w:val="20"/>
        </w:rPr>
      </w:pPr>
      <w:r w:rsidRPr="001E25F9">
        <w:rPr>
          <w:rFonts w:ascii="Verdana" w:hAnsi="Verdana"/>
          <w:sz w:val="20"/>
        </w:rPr>
        <w:t xml:space="preserve">el 15 de julio de 2009 </w:t>
      </w:r>
      <w:proofErr w:type="spellStart"/>
      <w:r w:rsidRPr="001E25F9">
        <w:rPr>
          <w:rFonts w:ascii="Verdana" w:hAnsi="Verdana"/>
          <w:sz w:val="20"/>
          <w:lang w:val="es-MX"/>
        </w:rPr>
        <w:t>Obtilia</w:t>
      </w:r>
      <w:proofErr w:type="spellEnd"/>
      <w:r w:rsidRPr="001E25F9">
        <w:rPr>
          <w:rFonts w:ascii="Verdana" w:hAnsi="Verdana"/>
          <w:sz w:val="20"/>
          <w:lang w:val="es-MX"/>
        </w:rPr>
        <w:t xml:space="preserve"> Eugenio Manuel</w:t>
      </w:r>
      <w:r w:rsidR="00191C30" w:rsidRPr="001E25F9">
        <w:rPr>
          <w:rFonts w:ascii="Verdana" w:hAnsi="Verdana"/>
          <w:sz w:val="20"/>
          <w:lang w:val="es-MX"/>
        </w:rPr>
        <w:t>,</w:t>
      </w:r>
      <w:r w:rsidR="00191C30" w:rsidRPr="001E25F9">
        <w:rPr>
          <w:rFonts w:ascii="Verdana" w:hAnsi="Verdana"/>
          <w:sz w:val="20"/>
          <w:lang w:val="es-ES"/>
        </w:rPr>
        <w:t xml:space="preserve"> integrante de la organización OPIM,</w:t>
      </w:r>
      <w:r w:rsidRPr="001E25F9">
        <w:rPr>
          <w:rFonts w:ascii="Verdana" w:hAnsi="Verdana"/>
          <w:sz w:val="20"/>
          <w:lang w:val="es-MX"/>
        </w:rPr>
        <w:t xml:space="preserve"> se </w:t>
      </w:r>
      <w:r w:rsidR="00FD463A" w:rsidRPr="001E25F9">
        <w:rPr>
          <w:rFonts w:ascii="Verdana" w:hAnsi="Verdana"/>
          <w:sz w:val="20"/>
          <w:lang w:val="es-MX"/>
        </w:rPr>
        <w:t>dirigía</w:t>
      </w:r>
      <w:r w:rsidRPr="001E25F9">
        <w:rPr>
          <w:rFonts w:ascii="Verdana" w:hAnsi="Verdana"/>
          <w:sz w:val="20"/>
          <w:lang w:val="es-MX"/>
        </w:rPr>
        <w:t xml:space="preserve"> a Ayutla de los Libres, desde la ciudad de Cuernavaca, Morelos. En la terminal de Cuernavaca fue seguida por dos hombres que le preguntaron si era Obtilia y si era de Ayutla. Al escuchar esto, </w:t>
      </w:r>
      <w:proofErr w:type="spellStart"/>
      <w:r w:rsidRPr="001E25F9">
        <w:rPr>
          <w:rFonts w:ascii="Verdana" w:hAnsi="Verdana"/>
          <w:sz w:val="20"/>
          <w:lang w:val="es-MX"/>
        </w:rPr>
        <w:t>Obtilia</w:t>
      </w:r>
      <w:proofErr w:type="spellEnd"/>
      <w:r w:rsidRPr="001E25F9">
        <w:rPr>
          <w:rFonts w:ascii="Verdana" w:hAnsi="Verdana"/>
          <w:sz w:val="20"/>
          <w:lang w:val="es-MX"/>
        </w:rPr>
        <w:t xml:space="preserve"> sali</w:t>
      </w:r>
      <w:r w:rsidR="000F26E9">
        <w:rPr>
          <w:rFonts w:ascii="Verdana" w:hAnsi="Verdana"/>
          <w:sz w:val="20"/>
          <w:lang w:val="es-MX"/>
        </w:rPr>
        <w:t>ó</w:t>
      </w:r>
      <w:r w:rsidRPr="001E25F9">
        <w:rPr>
          <w:rFonts w:ascii="Verdana" w:hAnsi="Verdana"/>
          <w:sz w:val="20"/>
          <w:lang w:val="es-MX"/>
        </w:rPr>
        <w:t xml:space="preserve"> de la terminal</w:t>
      </w:r>
      <w:r w:rsidR="000F26E9">
        <w:rPr>
          <w:rFonts w:ascii="Verdana" w:hAnsi="Verdana"/>
          <w:sz w:val="20"/>
          <w:lang w:val="es-MX"/>
        </w:rPr>
        <w:t xml:space="preserve"> y</w:t>
      </w:r>
      <w:r w:rsidRPr="001E25F9">
        <w:rPr>
          <w:rFonts w:ascii="Verdana" w:hAnsi="Verdana"/>
          <w:sz w:val="20"/>
          <w:lang w:val="es-MX"/>
        </w:rPr>
        <w:t xml:space="preserve"> se escondió en una tienda hasta que sus perseguidores ya no estaban más. Sin embargo, al tomar un taxi para otra estación, alcanzó a ver a los mismos dos hombres esperándola en un auto sin placas; </w:t>
      </w:r>
    </w:p>
    <w:p w:rsidR="00006044" w:rsidRPr="001E25F9" w:rsidRDefault="00006044" w:rsidP="00006044">
      <w:pPr>
        <w:ind w:left="720"/>
        <w:jc w:val="both"/>
        <w:rPr>
          <w:rFonts w:ascii="Verdana" w:hAnsi="Verdana"/>
          <w:sz w:val="20"/>
        </w:rPr>
      </w:pPr>
    </w:p>
    <w:p w:rsidR="00006044" w:rsidRPr="006A6BFE" w:rsidRDefault="00006044" w:rsidP="00006044">
      <w:pPr>
        <w:numPr>
          <w:ilvl w:val="0"/>
          <w:numId w:val="20"/>
        </w:numPr>
        <w:jc w:val="both"/>
        <w:rPr>
          <w:rFonts w:ascii="Verdana" w:hAnsi="Verdana"/>
          <w:sz w:val="20"/>
        </w:rPr>
      </w:pPr>
      <w:r w:rsidRPr="006A6BFE">
        <w:rPr>
          <w:rFonts w:ascii="Verdana" w:hAnsi="Verdana"/>
          <w:sz w:val="20"/>
        </w:rPr>
        <w:t xml:space="preserve">el 31 de julio de 2009 </w:t>
      </w:r>
      <w:r w:rsidRPr="006A6BFE">
        <w:rPr>
          <w:rFonts w:ascii="Verdana" w:hAnsi="Verdana"/>
          <w:sz w:val="20"/>
          <w:lang w:val="es-MX"/>
        </w:rPr>
        <w:t xml:space="preserve">seis patrullas con aproximadamente 30 miembros de las policías municipal, estatal y ministerial se dirigieron con el comisario de la comunidad a la residencia de </w:t>
      </w:r>
      <w:proofErr w:type="spellStart"/>
      <w:r w:rsidRPr="006A6BFE">
        <w:rPr>
          <w:rFonts w:ascii="Verdana" w:hAnsi="Verdana"/>
          <w:sz w:val="20"/>
          <w:lang w:val="es-MX"/>
        </w:rPr>
        <w:t>Ocotlan</w:t>
      </w:r>
      <w:proofErr w:type="spellEnd"/>
      <w:r w:rsidRPr="006A6BFE">
        <w:rPr>
          <w:rFonts w:ascii="Verdana" w:hAnsi="Verdana"/>
          <w:sz w:val="20"/>
          <w:lang w:val="es-MX"/>
        </w:rPr>
        <w:t xml:space="preserve"> Fern</w:t>
      </w:r>
      <w:r w:rsidR="00DA4D60" w:rsidRPr="006A6BFE">
        <w:rPr>
          <w:rFonts w:ascii="Verdana" w:hAnsi="Verdana"/>
          <w:sz w:val="20"/>
          <w:lang w:val="es-MX"/>
        </w:rPr>
        <w:t>á</w:t>
      </w:r>
      <w:r w:rsidRPr="006A6BFE">
        <w:rPr>
          <w:rFonts w:ascii="Verdana" w:hAnsi="Verdana"/>
          <w:sz w:val="20"/>
          <w:lang w:val="es-MX"/>
        </w:rPr>
        <w:t>ndez Ortega,</w:t>
      </w:r>
      <w:r w:rsidR="00191C30" w:rsidRPr="006A6BFE">
        <w:rPr>
          <w:rFonts w:ascii="Verdana" w:hAnsi="Verdana"/>
          <w:sz w:val="20"/>
          <w:lang w:val="es-MX"/>
        </w:rPr>
        <w:t xml:space="preserve"> hermano de </w:t>
      </w:r>
      <w:r w:rsidR="00FD463A" w:rsidRPr="006A6BFE">
        <w:rPr>
          <w:rFonts w:ascii="Verdana" w:hAnsi="Verdana"/>
          <w:sz w:val="20"/>
          <w:lang w:val="es-MX"/>
        </w:rPr>
        <w:t xml:space="preserve">Inés </w:t>
      </w:r>
      <w:r w:rsidR="00191C30" w:rsidRPr="006A6BFE">
        <w:rPr>
          <w:rFonts w:ascii="Verdana" w:hAnsi="Verdana"/>
          <w:sz w:val="20"/>
          <w:lang w:val="es-MX"/>
        </w:rPr>
        <w:t xml:space="preserve">Fernández Ortega e </w:t>
      </w:r>
      <w:r w:rsidR="00191C30" w:rsidRPr="006A6BFE">
        <w:rPr>
          <w:rFonts w:ascii="Verdana" w:hAnsi="Verdana"/>
          <w:sz w:val="20"/>
          <w:lang w:val="es-ES"/>
        </w:rPr>
        <w:t>integrante de la organización OPIM,</w:t>
      </w:r>
      <w:r w:rsidRPr="006A6BFE">
        <w:rPr>
          <w:rFonts w:ascii="Verdana" w:hAnsi="Verdana"/>
          <w:sz w:val="20"/>
          <w:lang w:val="es-MX"/>
        </w:rPr>
        <w:t xml:space="preserve"> pero no había nadie en ella. Dichas personas sacaron fotografías del inmueble y preguntaron a los vecinos “si era cierto que Ocotlan tenía armas en su casa”;</w:t>
      </w:r>
    </w:p>
    <w:p w:rsidR="00006044" w:rsidRPr="001E25F9" w:rsidRDefault="00006044" w:rsidP="00006044">
      <w:pPr>
        <w:pStyle w:val="ListParagraph"/>
        <w:rPr>
          <w:rFonts w:ascii="Verdana" w:hAnsi="Verdana"/>
          <w:sz w:val="20"/>
        </w:rPr>
      </w:pPr>
    </w:p>
    <w:p w:rsidR="00006044" w:rsidRPr="001E25F9" w:rsidRDefault="00006044" w:rsidP="00006044">
      <w:pPr>
        <w:numPr>
          <w:ilvl w:val="0"/>
          <w:numId w:val="20"/>
        </w:numPr>
        <w:jc w:val="both"/>
        <w:rPr>
          <w:rFonts w:ascii="Verdana" w:hAnsi="Verdana"/>
          <w:sz w:val="20"/>
        </w:rPr>
      </w:pPr>
      <w:r w:rsidRPr="001E25F9">
        <w:rPr>
          <w:rFonts w:ascii="Verdana" w:hAnsi="Verdana"/>
          <w:sz w:val="20"/>
        </w:rPr>
        <w:t xml:space="preserve">el 4 de agosto de 2009 </w:t>
      </w:r>
      <w:r w:rsidRPr="001E25F9">
        <w:rPr>
          <w:rFonts w:ascii="Verdana" w:hAnsi="Verdana"/>
          <w:sz w:val="20"/>
          <w:lang w:val="es-MX"/>
        </w:rPr>
        <w:t xml:space="preserve">Natalio Prisciliano Sierra, hermano de Fortunato Prisciliano, escuchó que José Margarito Aurora hablaba con otras tres personas a quienes les dijo “voy a </w:t>
      </w:r>
      <w:r w:rsidRPr="00C40666">
        <w:rPr>
          <w:rFonts w:ascii="Verdana" w:hAnsi="Verdana"/>
          <w:sz w:val="20"/>
          <w:lang w:val="es-MX"/>
        </w:rPr>
        <w:t xml:space="preserve">chingarme </w:t>
      </w:r>
      <w:r w:rsidRPr="001E25F9">
        <w:rPr>
          <w:rFonts w:ascii="Verdana" w:hAnsi="Verdana"/>
          <w:sz w:val="20"/>
          <w:lang w:val="es-MX"/>
        </w:rPr>
        <w:t xml:space="preserve">primero al patrón, después a los demás”; </w:t>
      </w:r>
    </w:p>
    <w:p w:rsidR="00006044" w:rsidRPr="001E25F9" w:rsidRDefault="00006044" w:rsidP="00006044">
      <w:pPr>
        <w:pStyle w:val="ListParagraph"/>
        <w:rPr>
          <w:rFonts w:ascii="Verdana" w:hAnsi="Verdana"/>
          <w:sz w:val="20"/>
          <w:lang w:val="es-ES"/>
        </w:rPr>
      </w:pPr>
    </w:p>
    <w:p w:rsidR="00006044" w:rsidRPr="001E25F9" w:rsidRDefault="00006044" w:rsidP="00006044">
      <w:pPr>
        <w:numPr>
          <w:ilvl w:val="0"/>
          <w:numId w:val="20"/>
        </w:numPr>
        <w:jc w:val="both"/>
        <w:rPr>
          <w:rFonts w:ascii="Verdana" w:hAnsi="Verdana"/>
          <w:sz w:val="20"/>
        </w:rPr>
      </w:pPr>
      <w:r w:rsidRPr="001E25F9">
        <w:rPr>
          <w:rFonts w:ascii="Verdana" w:hAnsi="Verdana"/>
          <w:sz w:val="20"/>
          <w:lang w:val="es-ES"/>
        </w:rPr>
        <w:t xml:space="preserve">el 6 de agosto de 2009, </w:t>
      </w:r>
      <w:r w:rsidRPr="001E25F9">
        <w:rPr>
          <w:rFonts w:ascii="Verdana" w:hAnsi="Verdana"/>
          <w:sz w:val="20"/>
          <w:lang w:val="es-MX"/>
        </w:rPr>
        <w:t xml:space="preserve">mientras </w:t>
      </w:r>
      <w:r w:rsidR="00DA4D60">
        <w:rPr>
          <w:rFonts w:ascii="Verdana" w:hAnsi="Verdana"/>
          <w:sz w:val="20"/>
          <w:lang w:val="es-MX"/>
        </w:rPr>
        <w:t>Inés</w:t>
      </w:r>
      <w:r w:rsidRPr="001E25F9">
        <w:rPr>
          <w:rFonts w:ascii="Verdana" w:hAnsi="Verdana"/>
          <w:sz w:val="20"/>
          <w:lang w:val="es-MX"/>
        </w:rPr>
        <w:t xml:space="preserve"> Fernández Ortega y su familia se encontraban durmiendo en su domicilio, escucharon que sus perros ladraron fuertemente</w:t>
      </w:r>
      <w:r w:rsidR="006A6BFE">
        <w:rPr>
          <w:rFonts w:ascii="Verdana" w:hAnsi="Verdana"/>
          <w:sz w:val="20"/>
          <w:lang w:val="es-MX"/>
        </w:rPr>
        <w:t xml:space="preserve"> y</w:t>
      </w:r>
      <w:r w:rsidRPr="001E25F9">
        <w:rPr>
          <w:rFonts w:ascii="Verdana" w:hAnsi="Verdana"/>
          <w:sz w:val="20"/>
          <w:lang w:val="es-MX"/>
        </w:rPr>
        <w:t xml:space="preserve"> su esposo se levantó para ver qué pasaba. Este pudo observar que en su patio se encontraba parado José Margarito Aurora con un arma, quien gritaba “vengo a tu casa, sal de tu casa para matarnos”</w:t>
      </w:r>
      <w:r w:rsidR="00C40666">
        <w:rPr>
          <w:rFonts w:ascii="Verdana" w:hAnsi="Verdana"/>
          <w:sz w:val="20"/>
          <w:lang w:val="es-MX"/>
        </w:rPr>
        <w:t>. Al día siguiente, Fortunato Prisciliano dio aviso al comisario municipal de lo sucedido</w:t>
      </w:r>
      <w:r w:rsidRPr="001E25F9">
        <w:rPr>
          <w:rFonts w:ascii="Verdana" w:hAnsi="Verdana"/>
          <w:sz w:val="20"/>
          <w:lang w:val="es-MX"/>
        </w:rPr>
        <w:t xml:space="preserve">;  </w:t>
      </w:r>
    </w:p>
    <w:p w:rsidR="00006044" w:rsidRPr="00DA4D60" w:rsidRDefault="00006044" w:rsidP="00006044">
      <w:pPr>
        <w:pStyle w:val="ListParagraph"/>
        <w:rPr>
          <w:rFonts w:ascii="Verdana" w:hAnsi="Verdana"/>
          <w:sz w:val="20"/>
        </w:rPr>
      </w:pPr>
    </w:p>
    <w:p w:rsidR="00006044" w:rsidRPr="001E25F9" w:rsidRDefault="00006044" w:rsidP="00006044">
      <w:pPr>
        <w:numPr>
          <w:ilvl w:val="0"/>
          <w:numId w:val="20"/>
        </w:numPr>
        <w:jc w:val="both"/>
        <w:rPr>
          <w:rFonts w:ascii="Verdana" w:hAnsi="Verdana"/>
          <w:sz w:val="20"/>
        </w:rPr>
      </w:pPr>
      <w:r w:rsidRPr="001E25F9">
        <w:rPr>
          <w:rFonts w:ascii="Verdana" w:hAnsi="Verdana"/>
          <w:sz w:val="20"/>
        </w:rPr>
        <w:t xml:space="preserve">el 12 de noviembre de 2009 Noemí Prisciliano Fernández sufrió </w:t>
      </w:r>
      <w:r w:rsidR="00DA4D60" w:rsidRPr="001E25F9">
        <w:rPr>
          <w:rFonts w:ascii="Verdana" w:hAnsi="Verdana"/>
          <w:sz w:val="20"/>
        </w:rPr>
        <w:t>amenazas</w:t>
      </w:r>
      <w:r w:rsidR="00DA4D60">
        <w:rPr>
          <w:rFonts w:ascii="Verdana" w:hAnsi="Verdana"/>
          <w:sz w:val="20"/>
        </w:rPr>
        <w:t xml:space="preserve"> y el</w:t>
      </w:r>
      <w:r w:rsidRPr="001E25F9">
        <w:rPr>
          <w:rFonts w:ascii="Verdana" w:hAnsi="Verdana"/>
          <w:sz w:val="20"/>
        </w:rPr>
        <w:t xml:space="preserve"> robo de </w:t>
      </w:r>
      <w:r w:rsidR="00DA4D60">
        <w:rPr>
          <w:rFonts w:ascii="Verdana" w:hAnsi="Verdana"/>
          <w:sz w:val="20"/>
        </w:rPr>
        <w:t xml:space="preserve">su </w:t>
      </w:r>
      <w:r w:rsidRPr="001E25F9">
        <w:rPr>
          <w:rFonts w:ascii="Verdana" w:hAnsi="Verdana"/>
          <w:sz w:val="20"/>
        </w:rPr>
        <w:t xml:space="preserve">celular. El 17 de noviembre de 2009 se presentó una denuncia ante el Ministerio Público, iniciándose una averiguación previa; </w:t>
      </w:r>
    </w:p>
    <w:p w:rsidR="00006044" w:rsidRPr="001E25F9" w:rsidRDefault="00006044" w:rsidP="00006044">
      <w:pPr>
        <w:ind w:left="720"/>
        <w:jc w:val="both"/>
        <w:rPr>
          <w:rFonts w:ascii="Verdana" w:hAnsi="Verdana"/>
          <w:sz w:val="20"/>
        </w:rPr>
      </w:pPr>
    </w:p>
    <w:p w:rsidR="00006044" w:rsidRPr="002F47FA" w:rsidRDefault="002F47FA" w:rsidP="002F47FA">
      <w:pPr>
        <w:numPr>
          <w:ilvl w:val="0"/>
          <w:numId w:val="20"/>
        </w:numPr>
        <w:jc w:val="both"/>
        <w:rPr>
          <w:rFonts w:ascii="Verdana" w:hAnsi="Verdana"/>
          <w:sz w:val="20"/>
        </w:rPr>
      </w:pPr>
      <w:r w:rsidRPr="002F47FA">
        <w:rPr>
          <w:rFonts w:ascii="Verdana" w:hAnsi="Verdana"/>
          <w:sz w:val="20"/>
        </w:rPr>
        <w:t xml:space="preserve">en junio, julio y octubre de 2009 el señor Abel Barrera, director de la organización </w:t>
      </w:r>
      <w:proofErr w:type="spellStart"/>
      <w:r w:rsidRPr="002F47FA">
        <w:rPr>
          <w:rFonts w:ascii="Verdana" w:hAnsi="Verdana"/>
          <w:sz w:val="20"/>
        </w:rPr>
        <w:t>Tlachinollan</w:t>
      </w:r>
      <w:proofErr w:type="spellEnd"/>
      <w:r w:rsidRPr="002F47FA">
        <w:rPr>
          <w:rFonts w:ascii="Verdana" w:hAnsi="Verdana"/>
          <w:sz w:val="20"/>
        </w:rPr>
        <w:t xml:space="preserve">, fue seguido en diversas ocasiones por </w:t>
      </w:r>
      <w:proofErr w:type="spellStart"/>
      <w:r w:rsidRPr="002F47FA">
        <w:rPr>
          <w:rFonts w:ascii="Verdana" w:hAnsi="Verdana"/>
          <w:sz w:val="20"/>
        </w:rPr>
        <w:t>Josefat</w:t>
      </w:r>
      <w:proofErr w:type="spellEnd"/>
      <w:r w:rsidRPr="002F47FA">
        <w:rPr>
          <w:rFonts w:ascii="Verdana" w:hAnsi="Verdana"/>
          <w:sz w:val="20"/>
        </w:rPr>
        <w:t xml:space="preserve"> Altamirano</w:t>
      </w:r>
      <w:r w:rsidR="002E6A9A">
        <w:rPr>
          <w:rFonts w:ascii="Verdana" w:hAnsi="Verdana"/>
          <w:sz w:val="20"/>
        </w:rPr>
        <w:t xml:space="preserve"> García</w:t>
      </w:r>
      <w:r w:rsidRPr="002F47FA">
        <w:rPr>
          <w:rFonts w:ascii="Verdana" w:hAnsi="Verdana"/>
          <w:sz w:val="20"/>
        </w:rPr>
        <w:t>, señalado como integrante del ejército mexicano. Asimismo, se l</w:t>
      </w:r>
      <w:r w:rsidR="002E6A9A">
        <w:rPr>
          <w:rFonts w:ascii="Verdana" w:hAnsi="Verdana"/>
          <w:sz w:val="20"/>
        </w:rPr>
        <w:t>o</w:t>
      </w:r>
      <w:r w:rsidRPr="002F47FA">
        <w:rPr>
          <w:rFonts w:ascii="Verdana" w:hAnsi="Verdana"/>
          <w:sz w:val="20"/>
        </w:rPr>
        <w:t xml:space="preserve"> vio tomando fotos en las afueras de la oficina de </w:t>
      </w:r>
      <w:proofErr w:type="spellStart"/>
      <w:r w:rsidRPr="002F47FA">
        <w:rPr>
          <w:rFonts w:ascii="Verdana" w:hAnsi="Verdana"/>
          <w:sz w:val="20"/>
        </w:rPr>
        <w:t>Tlachinollan</w:t>
      </w:r>
      <w:proofErr w:type="spellEnd"/>
      <w:r w:rsidRPr="002F47FA">
        <w:rPr>
          <w:rFonts w:ascii="Verdana" w:hAnsi="Verdana"/>
          <w:sz w:val="20"/>
        </w:rPr>
        <w:t xml:space="preserve"> y afuera de la casa del señor Barrera. E</w:t>
      </w:r>
      <w:r w:rsidR="00006044" w:rsidRPr="002F47FA">
        <w:rPr>
          <w:rFonts w:ascii="Verdana" w:hAnsi="Verdana"/>
          <w:sz w:val="20"/>
        </w:rPr>
        <w:t>l 17 de noviembre de 2009 Abel Barrera</w:t>
      </w:r>
      <w:r w:rsidR="00191C30" w:rsidRPr="002F47FA">
        <w:rPr>
          <w:rFonts w:ascii="Verdana" w:hAnsi="Verdana"/>
          <w:sz w:val="20"/>
        </w:rPr>
        <w:t xml:space="preserve"> </w:t>
      </w:r>
      <w:r w:rsidR="00006044" w:rsidRPr="002F47FA">
        <w:rPr>
          <w:rFonts w:ascii="Verdana" w:hAnsi="Verdana"/>
          <w:sz w:val="20"/>
        </w:rPr>
        <w:t xml:space="preserve">presentó </w:t>
      </w:r>
      <w:r w:rsidR="00006044" w:rsidRPr="002F47FA">
        <w:rPr>
          <w:rFonts w:ascii="Verdana" w:hAnsi="Verdana"/>
          <w:sz w:val="20"/>
        </w:rPr>
        <w:lastRenderedPageBreak/>
        <w:t xml:space="preserve">una denuncia ante el Ministerio Público por el delito de amenazas en contra de </w:t>
      </w:r>
      <w:proofErr w:type="spellStart"/>
      <w:r w:rsidR="00006044" w:rsidRPr="002F47FA">
        <w:rPr>
          <w:rFonts w:ascii="Verdana" w:hAnsi="Verdana"/>
          <w:sz w:val="20"/>
        </w:rPr>
        <w:t>Josefat</w:t>
      </w:r>
      <w:proofErr w:type="spellEnd"/>
      <w:r w:rsidR="00006044" w:rsidRPr="002F47FA">
        <w:rPr>
          <w:rFonts w:ascii="Verdana" w:hAnsi="Verdana"/>
          <w:sz w:val="20"/>
        </w:rPr>
        <w:t xml:space="preserve"> Altamirano García; </w:t>
      </w:r>
    </w:p>
    <w:p w:rsidR="00006044" w:rsidRPr="001E25F9" w:rsidRDefault="00006044" w:rsidP="00006044">
      <w:pPr>
        <w:ind w:left="720"/>
        <w:jc w:val="both"/>
        <w:rPr>
          <w:rFonts w:ascii="Verdana" w:hAnsi="Verdana"/>
          <w:sz w:val="20"/>
        </w:rPr>
      </w:pPr>
    </w:p>
    <w:p w:rsidR="00006044" w:rsidRPr="001E25F9" w:rsidRDefault="00006044" w:rsidP="00006044">
      <w:pPr>
        <w:numPr>
          <w:ilvl w:val="0"/>
          <w:numId w:val="20"/>
        </w:numPr>
        <w:jc w:val="both"/>
        <w:rPr>
          <w:rFonts w:ascii="Verdana" w:hAnsi="Verdana"/>
          <w:sz w:val="20"/>
        </w:rPr>
      </w:pPr>
      <w:r w:rsidRPr="001E25F9">
        <w:rPr>
          <w:rFonts w:ascii="Verdana" w:hAnsi="Verdana"/>
          <w:sz w:val="20"/>
        </w:rPr>
        <w:t>el 12 de enero de 2010 “dos sujetos se acercaron [</w:t>
      </w:r>
      <w:r w:rsidR="00DA4D60">
        <w:rPr>
          <w:rFonts w:ascii="Verdana" w:hAnsi="Verdana"/>
          <w:sz w:val="20"/>
        </w:rPr>
        <w:t>a</w:t>
      </w:r>
      <w:r w:rsidRPr="001E25F9">
        <w:rPr>
          <w:rFonts w:ascii="Verdana" w:hAnsi="Verdana"/>
          <w:sz w:val="20"/>
        </w:rPr>
        <w:t xml:space="preserve"> Noemí Prisciliano Fernández Ortega] por la espalda y la sujetaron, uno de ellos le tapó la boca y el otro le cubrió los ojos. Los jóvenes la golpearon en la cara ocasionando que se le abriera el labio. </w:t>
      </w:r>
      <w:r w:rsidR="00191C30" w:rsidRPr="001E25F9">
        <w:rPr>
          <w:rFonts w:ascii="Verdana" w:hAnsi="Verdana"/>
          <w:sz w:val="20"/>
        </w:rPr>
        <w:t xml:space="preserve">[Luego] </w:t>
      </w:r>
      <w:r w:rsidRPr="001E25F9">
        <w:rPr>
          <w:rFonts w:ascii="Verdana" w:hAnsi="Verdana"/>
          <w:sz w:val="20"/>
        </w:rPr>
        <w:t xml:space="preserve">la llevaron arrastrando de los cabellos, mientras ella gritaba que la soltaran, a pesar de </w:t>
      </w:r>
      <w:r w:rsidR="006A6BFE">
        <w:rPr>
          <w:rFonts w:ascii="Verdana" w:hAnsi="Verdana"/>
          <w:sz w:val="20"/>
        </w:rPr>
        <w:t>[tener]</w:t>
      </w:r>
      <w:r w:rsidRPr="001E25F9">
        <w:rPr>
          <w:rFonts w:ascii="Verdana" w:hAnsi="Verdana"/>
          <w:sz w:val="20"/>
        </w:rPr>
        <w:t xml:space="preserve"> tapada </w:t>
      </w:r>
      <w:r w:rsidR="002F47FA">
        <w:rPr>
          <w:rFonts w:ascii="Verdana" w:hAnsi="Verdana"/>
          <w:sz w:val="20"/>
        </w:rPr>
        <w:t xml:space="preserve">de </w:t>
      </w:r>
      <w:r w:rsidRPr="001E25F9">
        <w:rPr>
          <w:rFonts w:ascii="Verdana" w:hAnsi="Verdana"/>
          <w:sz w:val="20"/>
        </w:rPr>
        <w:t>la boca. Al llegar a un terreno baldío, uno de ellos la tomó con violencia y con una mano volvió a cubrirle la boca, mientras que con la otra intentó bajarle el pantalón</w:t>
      </w:r>
      <w:r w:rsidR="002F47FA">
        <w:rPr>
          <w:rFonts w:ascii="Verdana" w:hAnsi="Verdana"/>
          <w:sz w:val="20"/>
        </w:rPr>
        <w:t>”</w:t>
      </w:r>
      <w:r w:rsidRPr="001E25F9">
        <w:rPr>
          <w:rFonts w:ascii="Verdana" w:hAnsi="Verdana"/>
          <w:sz w:val="20"/>
        </w:rPr>
        <w:t xml:space="preserve">. </w:t>
      </w:r>
      <w:r w:rsidR="00DA4D60">
        <w:rPr>
          <w:rFonts w:ascii="Verdana" w:hAnsi="Verdana"/>
          <w:sz w:val="20"/>
        </w:rPr>
        <w:t>La joven</w:t>
      </w:r>
      <w:r w:rsidR="006A6BFE">
        <w:rPr>
          <w:rFonts w:ascii="Verdana" w:hAnsi="Verdana"/>
          <w:sz w:val="20"/>
        </w:rPr>
        <w:t xml:space="preserve"> se defendió de </w:t>
      </w:r>
      <w:r w:rsidR="002F47FA">
        <w:rPr>
          <w:rFonts w:ascii="Verdana" w:hAnsi="Verdana"/>
          <w:sz w:val="20"/>
        </w:rPr>
        <w:t>l</w:t>
      </w:r>
      <w:r w:rsidR="006A6BFE">
        <w:rPr>
          <w:rFonts w:ascii="Verdana" w:hAnsi="Verdana"/>
          <w:sz w:val="20"/>
        </w:rPr>
        <w:t>a</w:t>
      </w:r>
      <w:r w:rsidR="002F47FA">
        <w:rPr>
          <w:rFonts w:ascii="Verdana" w:hAnsi="Verdana"/>
          <w:sz w:val="20"/>
        </w:rPr>
        <w:t xml:space="preserve"> agres</w:t>
      </w:r>
      <w:r w:rsidR="006A6BFE">
        <w:rPr>
          <w:rFonts w:ascii="Verdana" w:hAnsi="Verdana"/>
          <w:sz w:val="20"/>
        </w:rPr>
        <w:t>ión. A</w:t>
      </w:r>
      <w:r w:rsidRPr="001E25F9">
        <w:rPr>
          <w:rFonts w:ascii="Verdana" w:hAnsi="Verdana"/>
          <w:sz w:val="20"/>
        </w:rPr>
        <w:t>l escuchar el ruido de un carro, qu</w:t>
      </w:r>
      <w:r w:rsidR="00DA4D60">
        <w:rPr>
          <w:rFonts w:ascii="Verdana" w:hAnsi="Verdana"/>
          <w:sz w:val="20"/>
        </w:rPr>
        <w:t>i</w:t>
      </w:r>
      <w:r w:rsidRPr="001E25F9">
        <w:rPr>
          <w:rFonts w:ascii="Verdana" w:hAnsi="Verdana"/>
          <w:sz w:val="20"/>
        </w:rPr>
        <w:t>e</w:t>
      </w:r>
      <w:r w:rsidR="00DA4D60">
        <w:rPr>
          <w:rFonts w:ascii="Verdana" w:hAnsi="Verdana"/>
          <w:sz w:val="20"/>
        </w:rPr>
        <w:t>n</w:t>
      </w:r>
      <w:r w:rsidRPr="001E25F9">
        <w:rPr>
          <w:rFonts w:ascii="Verdana" w:hAnsi="Verdana"/>
          <w:sz w:val="20"/>
        </w:rPr>
        <w:t xml:space="preserve"> la tenía sujeta la soltó y ambos salieron corriendo rápidamente; </w:t>
      </w:r>
    </w:p>
    <w:p w:rsidR="00006044" w:rsidRPr="001E25F9" w:rsidRDefault="00006044" w:rsidP="00006044">
      <w:pPr>
        <w:ind w:left="720"/>
        <w:jc w:val="both"/>
        <w:rPr>
          <w:rFonts w:ascii="Verdana" w:hAnsi="Verdana"/>
          <w:sz w:val="20"/>
        </w:rPr>
      </w:pPr>
    </w:p>
    <w:p w:rsidR="00006044" w:rsidRPr="00E6362E" w:rsidRDefault="00006044" w:rsidP="00006044">
      <w:pPr>
        <w:numPr>
          <w:ilvl w:val="0"/>
          <w:numId w:val="20"/>
        </w:numPr>
        <w:jc w:val="both"/>
        <w:rPr>
          <w:rFonts w:ascii="Verdana" w:hAnsi="Verdana"/>
          <w:sz w:val="20"/>
        </w:rPr>
      </w:pPr>
      <w:r w:rsidRPr="001E25F9">
        <w:rPr>
          <w:rFonts w:ascii="Verdana" w:hAnsi="Verdana"/>
          <w:sz w:val="20"/>
        </w:rPr>
        <w:t xml:space="preserve">el 6 de marzo de 2010 la señora </w:t>
      </w:r>
      <w:proofErr w:type="spellStart"/>
      <w:r w:rsidRPr="001E25F9">
        <w:rPr>
          <w:rFonts w:ascii="Verdana" w:hAnsi="Verdana"/>
          <w:sz w:val="20"/>
        </w:rPr>
        <w:t>Obtilia</w:t>
      </w:r>
      <w:proofErr w:type="spellEnd"/>
      <w:r w:rsidRPr="001E25F9">
        <w:rPr>
          <w:rFonts w:ascii="Verdana" w:hAnsi="Verdana"/>
          <w:sz w:val="20"/>
        </w:rPr>
        <w:t xml:space="preserve"> Eugenio Manuel fue observada y fotografiada por una persona</w:t>
      </w:r>
      <w:r>
        <w:rPr>
          <w:rFonts w:ascii="Verdana" w:hAnsi="Verdana"/>
          <w:sz w:val="20"/>
        </w:rPr>
        <w:t xml:space="preserve"> afuera de la oficina de la OPIM. Posteriormente</w:t>
      </w:r>
      <w:r w:rsidR="00DA4D60">
        <w:rPr>
          <w:rFonts w:ascii="Verdana" w:hAnsi="Verdana"/>
          <w:sz w:val="20"/>
        </w:rPr>
        <w:t>,</w:t>
      </w:r>
      <w:r>
        <w:rPr>
          <w:rFonts w:ascii="Verdana" w:hAnsi="Verdana"/>
          <w:sz w:val="20"/>
        </w:rPr>
        <w:t xml:space="preserve"> recibió una amenaza por escrito y como resultado de </w:t>
      </w:r>
      <w:r w:rsidR="00DA4D60">
        <w:rPr>
          <w:rFonts w:ascii="Verdana" w:hAnsi="Verdana"/>
          <w:sz w:val="20"/>
        </w:rPr>
        <w:t>el</w:t>
      </w:r>
      <w:r>
        <w:rPr>
          <w:rFonts w:ascii="Verdana" w:hAnsi="Verdana"/>
          <w:sz w:val="20"/>
        </w:rPr>
        <w:t xml:space="preserve">la abandonó el estado de Guerrero; </w:t>
      </w:r>
    </w:p>
    <w:p w:rsidR="00006044" w:rsidRDefault="00006044" w:rsidP="00006044">
      <w:pPr>
        <w:ind w:left="720"/>
        <w:jc w:val="both"/>
        <w:rPr>
          <w:rFonts w:ascii="Verdana" w:hAnsi="Verdana"/>
          <w:sz w:val="20"/>
        </w:rPr>
      </w:pPr>
    </w:p>
    <w:p w:rsidR="00006044" w:rsidRPr="00E6362E" w:rsidRDefault="00006044" w:rsidP="00006044">
      <w:pPr>
        <w:numPr>
          <w:ilvl w:val="0"/>
          <w:numId w:val="20"/>
        </w:numPr>
        <w:jc w:val="both"/>
        <w:rPr>
          <w:rFonts w:ascii="Verdana" w:hAnsi="Verdana"/>
          <w:sz w:val="20"/>
        </w:rPr>
      </w:pPr>
      <w:r>
        <w:rPr>
          <w:rFonts w:ascii="Verdana" w:hAnsi="Verdana"/>
          <w:sz w:val="20"/>
        </w:rPr>
        <w:t xml:space="preserve">el 16 de marzo de 2010 algunos integrantes de la organización </w:t>
      </w:r>
      <w:proofErr w:type="spellStart"/>
      <w:r>
        <w:rPr>
          <w:rFonts w:ascii="Verdana" w:hAnsi="Verdana"/>
          <w:sz w:val="20"/>
        </w:rPr>
        <w:t>Tlachinollan</w:t>
      </w:r>
      <w:proofErr w:type="spellEnd"/>
      <w:r>
        <w:rPr>
          <w:rFonts w:ascii="Verdana" w:hAnsi="Verdana"/>
          <w:sz w:val="20"/>
        </w:rPr>
        <w:t xml:space="preserve"> fueron vigilados por tres hombres</w:t>
      </w:r>
      <w:r w:rsidR="002E6A9A">
        <w:rPr>
          <w:rFonts w:ascii="Verdana" w:hAnsi="Verdana"/>
          <w:sz w:val="20"/>
        </w:rPr>
        <w:t>. E</w:t>
      </w:r>
      <w:r>
        <w:rPr>
          <w:rFonts w:ascii="Verdana" w:hAnsi="Verdana"/>
          <w:sz w:val="20"/>
        </w:rPr>
        <w:t>l 17 de marzo de 2010 una de las personas que l</w:t>
      </w:r>
      <w:r w:rsidR="006A6BFE">
        <w:rPr>
          <w:rFonts w:ascii="Verdana" w:hAnsi="Verdana"/>
          <w:sz w:val="20"/>
        </w:rPr>
        <w:t>o</w:t>
      </w:r>
      <w:r>
        <w:rPr>
          <w:rFonts w:ascii="Verdana" w:hAnsi="Verdana"/>
          <w:sz w:val="20"/>
        </w:rPr>
        <w:t xml:space="preserve">s vigilaba el día anterior, le tomó varias fotografías a una distancia de </w:t>
      </w:r>
      <w:r w:rsidR="00AC0CED">
        <w:rPr>
          <w:rFonts w:ascii="Verdana" w:hAnsi="Verdana"/>
          <w:sz w:val="20"/>
        </w:rPr>
        <w:t>dos</w:t>
      </w:r>
      <w:r>
        <w:rPr>
          <w:rFonts w:ascii="Verdana" w:hAnsi="Verdana"/>
          <w:sz w:val="20"/>
        </w:rPr>
        <w:t xml:space="preserve"> metros y amenazó </w:t>
      </w:r>
      <w:r w:rsidR="00AC0CED">
        <w:rPr>
          <w:rFonts w:ascii="Verdana" w:hAnsi="Verdana"/>
          <w:sz w:val="20"/>
        </w:rPr>
        <w:t xml:space="preserve">verbalmente </w:t>
      </w:r>
      <w:r>
        <w:rPr>
          <w:rFonts w:ascii="Verdana" w:hAnsi="Verdana"/>
          <w:sz w:val="20"/>
        </w:rPr>
        <w:t xml:space="preserve">a la señora </w:t>
      </w:r>
      <w:r w:rsidRPr="00AC0CED">
        <w:rPr>
          <w:rFonts w:ascii="Verdana" w:hAnsi="Verdana"/>
          <w:sz w:val="20"/>
        </w:rPr>
        <w:t xml:space="preserve">Andrea </w:t>
      </w:r>
      <w:r>
        <w:rPr>
          <w:rFonts w:ascii="Verdana" w:hAnsi="Verdana"/>
          <w:sz w:val="20"/>
        </w:rPr>
        <w:t>Eugenio Manuel</w:t>
      </w:r>
      <w:r w:rsidR="00AC0CED">
        <w:rPr>
          <w:rFonts w:ascii="Verdana" w:hAnsi="Verdana"/>
          <w:sz w:val="20"/>
        </w:rPr>
        <w:t xml:space="preserve">, hermana de </w:t>
      </w:r>
      <w:proofErr w:type="spellStart"/>
      <w:r w:rsidR="00AC0CED">
        <w:rPr>
          <w:rFonts w:ascii="Verdana" w:hAnsi="Verdana"/>
          <w:sz w:val="20"/>
        </w:rPr>
        <w:t>Obtilia</w:t>
      </w:r>
      <w:proofErr w:type="spellEnd"/>
      <w:r w:rsidR="00AC0CED">
        <w:rPr>
          <w:rFonts w:ascii="Verdana" w:hAnsi="Verdana"/>
          <w:sz w:val="20"/>
        </w:rPr>
        <w:t xml:space="preserve"> Eugenio Manuel</w:t>
      </w:r>
      <w:r>
        <w:rPr>
          <w:rFonts w:ascii="Verdana" w:hAnsi="Verdana"/>
          <w:sz w:val="20"/>
        </w:rPr>
        <w:t xml:space="preserve">; </w:t>
      </w:r>
    </w:p>
    <w:p w:rsidR="00006044" w:rsidRDefault="00006044" w:rsidP="00006044">
      <w:pPr>
        <w:jc w:val="both"/>
        <w:rPr>
          <w:rFonts w:ascii="Verdana" w:hAnsi="Verdana"/>
          <w:sz w:val="20"/>
        </w:rPr>
      </w:pPr>
    </w:p>
    <w:p w:rsidR="00006044" w:rsidRPr="00384BCC" w:rsidRDefault="00006044" w:rsidP="00006044">
      <w:pPr>
        <w:numPr>
          <w:ilvl w:val="0"/>
          <w:numId w:val="20"/>
        </w:numPr>
        <w:jc w:val="both"/>
        <w:rPr>
          <w:rFonts w:ascii="Verdana" w:hAnsi="Verdana"/>
          <w:sz w:val="20"/>
        </w:rPr>
      </w:pPr>
      <w:r>
        <w:rPr>
          <w:rFonts w:ascii="Verdana" w:hAnsi="Verdana"/>
          <w:sz w:val="20"/>
        </w:rPr>
        <w:t>el 2 de julio de 2010 Abel Barrera y su cuñado fueron interceptados por un vehículo mientras transitaban hacia la capital federal. Posteriormente</w:t>
      </w:r>
      <w:r w:rsidR="00DA4D60">
        <w:rPr>
          <w:rFonts w:ascii="Verdana" w:hAnsi="Verdana"/>
          <w:sz w:val="20"/>
        </w:rPr>
        <w:t>,</w:t>
      </w:r>
      <w:r>
        <w:rPr>
          <w:rFonts w:ascii="Verdana" w:hAnsi="Verdana"/>
          <w:sz w:val="20"/>
        </w:rPr>
        <w:t xml:space="preserve"> fueron insultados y sus pertene</w:t>
      </w:r>
      <w:r w:rsidR="00D44683">
        <w:rPr>
          <w:rFonts w:ascii="Verdana" w:hAnsi="Verdana"/>
          <w:sz w:val="20"/>
        </w:rPr>
        <w:t>n</w:t>
      </w:r>
      <w:r>
        <w:rPr>
          <w:rFonts w:ascii="Verdana" w:hAnsi="Verdana"/>
          <w:sz w:val="20"/>
        </w:rPr>
        <w:t>c</w:t>
      </w:r>
      <w:r w:rsidR="00D44683">
        <w:rPr>
          <w:rFonts w:ascii="Verdana" w:hAnsi="Verdana"/>
          <w:sz w:val="20"/>
        </w:rPr>
        <w:t>ia</w:t>
      </w:r>
      <w:r>
        <w:rPr>
          <w:rFonts w:ascii="Verdana" w:hAnsi="Verdana"/>
          <w:sz w:val="20"/>
        </w:rPr>
        <w:t xml:space="preserve">s personales y el vehículo que utilizaban </w:t>
      </w:r>
      <w:r w:rsidR="00D44683">
        <w:rPr>
          <w:rFonts w:ascii="Verdana" w:hAnsi="Verdana"/>
          <w:sz w:val="20"/>
        </w:rPr>
        <w:t xml:space="preserve">fueron </w:t>
      </w:r>
      <w:r>
        <w:rPr>
          <w:rFonts w:ascii="Verdana" w:hAnsi="Verdana"/>
          <w:sz w:val="20"/>
        </w:rPr>
        <w:t xml:space="preserve">robados;  </w:t>
      </w:r>
    </w:p>
    <w:p w:rsidR="00006044" w:rsidRDefault="00006044" w:rsidP="00006044">
      <w:pPr>
        <w:ind w:left="720"/>
        <w:jc w:val="both"/>
        <w:rPr>
          <w:rFonts w:ascii="Verdana" w:hAnsi="Verdana"/>
          <w:sz w:val="20"/>
        </w:rPr>
      </w:pPr>
    </w:p>
    <w:p w:rsidR="00006044" w:rsidRDefault="00006044" w:rsidP="00006044">
      <w:pPr>
        <w:numPr>
          <w:ilvl w:val="0"/>
          <w:numId w:val="20"/>
        </w:numPr>
        <w:jc w:val="both"/>
        <w:rPr>
          <w:rFonts w:ascii="Verdana" w:hAnsi="Verdana"/>
          <w:sz w:val="20"/>
        </w:rPr>
      </w:pPr>
      <w:r>
        <w:rPr>
          <w:rFonts w:ascii="Verdana" w:hAnsi="Verdana"/>
          <w:sz w:val="20"/>
        </w:rPr>
        <w:t>el 28 de agosto de 2010 Ana Luz Prisciliano Fernández fue seguida y amenazada por los mismos hombres que la atacaron el día 17 de mayo de 2010 (</w:t>
      </w:r>
      <w:r>
        <w:rPr>
          <w:rFonts w:ascii="Verdana" w:hAnsi="Verdana"/>
          <w:i/>
          <w:sz w:val="20"/>
        </w:rPr>
        <w:t xml:space="preserve">infra </w:t>
      </w:r>
      <w:r>
        <w:rPr>
          <w:rFonts w:ascii="Verdana" w:hAnsi="Verdana"/>
          <w:sz w:val="20"/>
        </w:rPr>
        <w:t xml:space="preserve">Considerando </w:t>
      </w:r>
      <w:r w:rsidR="00C6442C">
        <w:rPr>
          <w:rFonts w:ascii="Verdana" w:hAnsi="Verdana"/>
          <w:sz w:val="20"/>
        </w:rPr>
        <w:t>19</w:t>
      </w:r>
      <w:r>
        <w:rPr>
          <w:rFonts w:ascii="Verdana" w:hAnsi="Verdana"/>
          <w:sz w:val="20"/>
        </w:rPr>
        <w:t xml:space="preserve">); </w:t>
      </w:r>
    </w:p>
    <w:p w:rsidR="00006044" w:rsidRDefault="00006044" w:rsidP="00006044">
      <w:pPr>
        <w:pStyle w:val="ListParagraph"/>
        <w:rPr>
          <w:rFonts w:ascii="Verdana" w:hAnsi="Verdana"/>
          <w:sz w:val="20"/>
        </w:rPr>
      </w:pPr>
    </w:p>
    <w:p w:rsidR="00006044" w:rsidRPr="000F4006" w:rsidRDefault="00006044" w:rsidP="00006044">
      <w:pPr>
        <w:numPr>
          <w:ilvl w:val="0"/>
          <w:numId w:val="20"/>
        </w:numPr>
        <w:jc w:val="both"/>
        <w:rPr>
          <w:rFonts w:ascii="Verdana" w:hAnsi="Verdana"/>
          <w:sz w:val="20"/>
        </w:rPr>
      </w:pPr>
      <w:r w:rsidRPr="0051453F">
        <w:rPr>
          <w:rFonts w:ascii="Verdana" w:hAnsi="Verdana"/>
          <w:sz w:val="20"/>
        </w:rPr>
        <w:t xml:space="preserve">el 28 de noviembre de 2010 </w:t>
      </w:r>
      <w:proofErr w:type="spellStart"/>
      <w:r w:rsidRPr="0051453F">
        <w:rPr>
          <w:rFonts w:ascii="Verdana" w:hAnsi="Verdana"/>
          <w:sz w:val="20"/>
        </w:rPr>
        <w:t>Cuauhtemóc</w:t>
      </w:r>
      <w:proofErr w:type="spellEnd"/>
      <w:r w:rsidRPr="0051453F">
        <w:rPr>
          <w:rFonts w:ascii="Verdana" w:hAnsi="Verdana"/>
          <w:sz w:val="20"/>
        </w:rPr>
        <w:t xml:space="preserve"> Ramírez Rodríguez y </w:t>
      </w:r>
      <w:proofErr w:type="spellStart"/>
      <w:r w:rsidRPr="0051453F">
        <w:rPr>
          <w:rFonts w:ascii="Verdana" w:hAnsi="Verdana"/>
          <w:sz w:val="20"/>
        </w:rPr>
        <w:t>Obtilia</w:t>
      </w:r>
      <w:proofErr w:type="spellEnd"/>
      <w:r w:rsidRPr="0051453F">
        <w:rPr>
          <w:rFonts w:ascii="Verdana" w:hAnsi="Verdana"/>
          <w:sz w:val="20"/>
        </w:rPr>
        <w:t xml:space="preserve"> Eugenio Manuel, entre otros, encontraron una nota con amenazas en </w:t>
      </w:r>
      <w:r w:rsidR="00DD149E">
        <w:rPr>
          <w:rFonts w:ascii="Verdana" w:hAnsi="Verdana"/>
          <w:sz w:val="20"/>
        </w:rPr>
        <w:t xml:space="preserve">una </w:t>
      </w:r>
      <w:r w:rsidRPr="0051453F">
        <w:rPr>
          <w:rFonts w:ascii="Verdana" w:hAnsi="Verdana"/>
          <w:sz w:val="20"/>
        </w:rPr>
        <w:t xml:space="preserve">residencia </w:t>
      </w:r>
      <w:r w:rsidR="00DD149E">
        <w:rPr>
          <w:rFonts w:ascii="Verdana" w:hAnsi="Verdana"/>
          <w:sz w:val="20"/>
        </w:rPr>
        <w:t>temporal</w:t>
      </w:r>
      <w:r w:rsidRPr="0051453F">
        <w:rPr>
          <w:rFonts w:ascii="Verdana" w:hAnsi="Verdana"/>
          <w:sz w:val="20"/>
        </w:rPr>
        <w:t xml:space="preserve">, </w:t>
      </w:r>
      <w:r w:rsidR="00DA4D60">
        <w:rPr>
          <w:rFonts w:ascii="Verdana" w:hAnsi="Verdana"/>
          <w:sz w:val="20"/>
        </w:rPr>
        <w:t>a</w:t>
      </w:r>
      <w:r w:rsidRPr="0051453F">
        <w:rPr>
          <w:rFonts w:ascii="Verdana" w:hAnsi="Verdana"/>
          <w:sz w:val="20"/>
        </w:rPr>
        <w:t>donde “[habían sido] obligados a mudarse para preservar su seguridad”</w:t>
      </w:r>
      <w:r>
        <w:rPr>
          <w:rFonts w:ascii="Verdana" w:hAnsi="Verdana"/>
          <w:sz w:val="20"/>
        </w:rPr>
        <w:t>;</w:t>
      </w:r>
      <w:r w:rsidRPr="0051453F">
        <w:rPr>
          <w:rFonts w:ascii="Verdana" w:hAnsi="Verdana"/>
          <w:sz w:val="20"/>
        </w:rPr>
        <w:t xml:space="preserve"> </w:t>
      </w:r>
    </w:p>
    <w:p w:rsidR="00006044" w:rsidRPr="000F4006" w:rsidRDefault="00006044" w:rsidP="00006044">
      <w:pPr>
        <w:jc w:val="both"/>
        <w:rPr>
          <w:rFonts w:ascii="Verdana" w:hAnsi="Verdana"/>
          <w:sz w:val="20"/>
        </w:rPr>
      </w:pPr>
    </w:p>
    <w:p w:rsidR="00006044" w:rsidRPr="000F4006" w:rsidRDefault="00006044" w:rsidP="00006044">
      <w:pPr>
        <w:numPr>
          <w:ilvl w:val="0"/>
          <w:numId w:val="20"/>
        </w:numPr>
        <w:jc w:val="both"/>
        <w:rPr>
          <w:rFonts w:ascii="Verdana" w:hAnsi="Verdana"/>
          <w:sz w:val="20"/>
        </w:rPr>
      </w:pPr>
      <w:r w:rsidRPr="000F4006">
        <w:rPr>
          <w:rFonts w:ascii="Verdana" w:hAnsi="Verdana"/>
          <w:sz w:val="20"/>
        </w:rPr>
        <w:t xml:space="preserve">el 17 de marzo de 2011 </w:t>
      </w:r>
      <w:r w:rsidRPr="000F4006">
        <w:rPr>
          <w:rFonts w:ascii="Verdana" w:hAnsi="Verdana"/>
          <w:sz w:val="20"/>
          <w:lang w:bidi="ar-SA"/>
        </w:rPr>
        <w:t xml:space="preserve">Abel Barrera recibió una llamada telefónica amenazante en la oficina de </w:t>
      </w:r>
      <w:proofErr w:type="spellStart"/>
      <w:r w:rsidRPr="000F4006">
        <w:rPr>
          <w:rFonts w:ascii="Verdana" w:hAnsi="Verdana"/>
          <w:sz w:val="20"/>
          <w:lang w:bidi="ar-SA"/>
        </w:rPr>
        <w:t>Tlachinollan</w:t>
      </w:r>
      <w:proofErr w:type="spellEnd"/>
      <w:r w:rsidRPr="000F4006">
        <w:rPr>
          <w:rFonts w:ascii="Verdana" w:hAnsi="Verdana"/>
          <w:sz w:val="20"/>
          <w:lang w:bidi="ar-SA"/>
        </w:rPr>
        <w:t xml:space="preserve">. Se trataba de una voz masculina </w:t>
      </w:r>
      <w:r w:rsidR="00DA4D60">
        <w:rPr>
          <w:rFonts w:ascii="Verdana" w:hAnsi="Verdana"/>
          <w:sz w:val="20"/>
          <w:lang w:bidi="ar-SA"/>
        </w:rPr>
        <w:t xml:space="preserve">quien </w:t>
      </w:r>
      <w:r w:rsidR="00AC0CED">
        <w:rPr>
          <w:rFonts w:ascii="Verdana" w:hAnsi="Verdana"/>
          <w:sz w:val="20"/>
          <w:lang w:bidi="ar-SA"/>
        </w:rPr>
        <w:t xml:space="preserve">le </w:t>
      </w:r>
      <w:proofErr w:type="spellStart"/>
      <w:r w:rsidR="00DA4D60">
        <w:rPr>
          <w:rFonts w:ascii="Verdana" w:hAnsi="Verdana"/>
          <w:sz w:val="20"/>
          <w:lang w:bidi="ar-SA"/>
        </w:rPr>
        <w:t>djo</w:t>
      </w:r>
      <w:proofErr w:type="spellEnd"/>
      <w:r w:rsidRPr="000F4006">
        <w:rPr>
          <w:rFonts w:ascii="Verdana" w:hAnsi="Verdana"/>
          <w:sz w:val="20"/>
          <w:lang w:bidi="ar-SA"/>
        </w:rPr>
        <w:t>: “</w:t>
      </w:r>
      <w:r w:rsidR="00DA4D60">
        <w:rPr>
          <w:rFonts w:ascii="Verdana" w:hAnsi="Verdana"/>
          <w:sz w:val="20"/>
          <w:lang w:bidi="ar-SA"/>
        </w:rPr>
        <w:t>m</w:t>
      </w:r>
      <w:r w:rsidRPr="000F4006">
        <w:rPr>
          <w:rFonts w:ascii="Verdana" w:hAnsi="Verdana"/>
          <w:sz w:val="20"/>
          <w:lang w:bidi="ar-SA"/>
        </w:rPr>
        <w:t xml:space="preserve">ire señor bájele a lo que esta haciendo o aténgase a las consecuencias”; </w:t>
      </w:r>
    </w:p>
    <w:p w:rsidR="00006044" w:rsidRPr="000F4006" w:rsidRDefault="00006044" w:rsidP="00006044">
      <w:pPr>
        <w:jc w:val="both"/>
        <w:rPr>
          <w:rFonts w:ascii="Verdana" w:hAnsi="Verdana"/>
          <w:sz w:val="20"/>
        </w:rPr>
      </w:pPr>
    </w:p>
    <w:p w:rsidR="00006044" w:rsidRPr="000F4006" w:rsidRDefault="00006044" w:rsidP="00006044">
      <w:pPr>
        <w:numPr>
          <w:ilvl w:val="0"/>
          <w:numId w:val="20"/>
        </w:numPr>
        <w:jc w:val="both"/>
        <w:rPr>
          <w:rFonts w:ascii="Verdana" w:hAnsi="Verdana"/>
          <w:sz w:val="20"/>
          <w:szCs w:val="18"/>
          <w:lang w:bidi="ar-SA"/>
        </w:rPr>
      </w:pPr>
      <w:r w:rsidRPr="000F4006">
        <w:rPr>
          <w:rFonts w:ascii="Verdana" w:hAnsi="Verdana"/>
          <w:sz w:val="20"/>
        </w:rPr>
        <w:t xml:space="preserve">el 6 de junio de 2011 </w:t>
      </w:r>
      <w:r w:rsidRPr="000F4006">
        <w:rPr>
          <w:rFonts w:ascii="Verdana" w:hAnsi="Verdana"/>
          <w:sz w:val="20"/>
          <w:szCs w:val="18"/>
          <w:lang w:bidi="ar-SA"/>
        </w:rPr>
        <w:t xml:space="preserve">un vehículo del ejército mexicano llegó a las afueras de la oficina de </w:t>
      </w:r>
      <w:r w:rsidRPr="00092C0F">
        <w:rPr>
          <w:rFonts w:ascii="Verdana" w:hAnsi="Verdana"/>
          <w:sz w:val="20"/>
          <w:szCs w:val="18"/>
          <w:lang w:bidi="ar-SA"/>
        </w:rPr>
        <w:t xml:space="preserve">la </w:t>
      </w:r>
      <w:r w:rsidR="00D56005">
        <w:rPr>
          <w:rFonts w:ascii="Verdana" w:hAnsi="Verdana"/>
          <w:bCs/>
          <w:sz w:val="20"/>
          <w:szCs w:val="18"/>
          <w:lang w:bidi="en-US"/>
        </w:rPr>
        <w:t>OPIM</w:t>
      </w:r>
      <w:r w:rsidRPr="000F4006">
        <w:rPr>
          <w:rFonts w:ascii="Verdana" w:hAnsi="Verdana"/>
          <w:sz w:val="20"/>
          <w:szCs w:val="18"/>
          <w:lang w:bidi="ar-SA"/>
        </w:rPr>
        <w:t>, ubicada en la ciudad de Ayutla de los Libres. De dicha unidad descendió un número indeterminado de militares que procedió a revisar los vehículos particulares que se encontraban en las afueras de la oficina. Luego de revisar los vehículos y “tener un ríspido intercambio verbal” con los integrantes de la OPIM se alejaron del inmueble;</w:t>
      </w:r>
    </w:p>
    <w:p w:rsidR="00006044" w:rsidRPr="000F4006" w:rsidRDefault="00006044" w:rsidP="00006044">
      <w:pPr>
        <w:jc w:val="both"/>
        <w:rPr>
          <w:rFonts w:ascii="Verdana" w:hAnsi="Verdana"/>
          <w:sz w:val="20"/>
          <w:szCs w:val="18"/>
          <w:lang w:bidi="ar-SA"/>
        </w:rPr>
      </w:pPr>
    </w:p>
    <w:p w:rsidR="00006044" w:rsidRPr="000F4006" w:rsidRDefault="00006044" w:rsidP="00006044">
      <w:pPr>
        <w:numPr>
          <w:ilvl w:val="0"/>
          <w:numId w:val="20"/>
        </w:numPr>
        <w:jc w:val="both"/>
        <w:rPr>
          <w:rFonts w:ascii="Verdana" w:hAnsi="Verdana"/>
          <w:sz w:val="20"/>
          <w:szCs w:val="18"/>
          <w:lang w:bidi="ar-SA"/>
        </w:rPr>
      </w:pPr>
      <w:r w:rsidRPr="000F4006">
        <w:rPr>
          <w:rFonts w:ascii="Verdana" w:hAnsi="Verdana"/>
          <w:sz w:val="20"/>
          <w:szCs w:val="18"/>
          <w:lang w:bidi="ar-SA"/>
        </w:rPr>
        <w:t>el 16 de junio de 2011</w:t>
      </w:r>
      <w:r w:rsidR="00D56005">
        <w:rPr>
          <w:rFonts w:ascii="Verdana" w:hAnsi="Verdana"/>
          <w:sz w:val="20"/>
          <w:szCs w:val="18"/>
          <w:lang w:bidi="ar-SA"/>
        </w:rPr>
        <w:t>,</w:t>
      </w:r>
      <w:r w:rsidRPr="000F4006">
        <w:rPr>
          <w:rFonts w:ascii="Verdana" w:hAnsi="Verdana"/>
          <w:sz w:val="20"/>
          <w:szCs w:val="18"/>
          <w:lang w:bidi="ar-SA"/>
        </w:rPr>
        <w:t xml:space="preserve"> </w:t>
      </w:r>
      <w:proofErr w:type="spellStart"/>
      <w:r w:rsidRPr="000F4006">
        <w:rPr>
          <w:rFonts w:ascii="Verdana" w:hAnsi="Verdana"/>
          <w:sz w:val="20"/>
          <w:szCs w:val="18"/>
          <w:lang w:bidi="ar-SA"/>
        </w:rPr>
        <w:t>Obtilia</w:t>
      </w:r>
      <w:proofErr w:type="spellEnd"/>
      <w:r w:rsidRPr="000F4006">
        <w:rPr>
          <w:rFonts w:ascii="Verdana" w:hAnsi="Verdana"/>
          <w:sz w:val="20"/>
          <w:szCs w:val="18"/>
          <w:lang w:bidi="ar-SA"/>
        </w:rPr>
        <w:t xml:space="preserve"> Eugenio Manuel y Cuauhtémoc Ramírez recibieron en su residencia particular una carta de amenaza por el trabajo realizado en relación al cumplimiento de las sentencias de la Corte Interamericana en los casos  Fernández Ortega y otros y Rosendo </w:t>
      </w:r>
      <w:proofErr w:type="spellStart"/>
      <w:r w:rsidRPr="000F4006">
        <w:rPr>
          <w:rFonts w:ascii="Verdana" w:hAnsi="Verdana"/>
          <w:sz w:val="20"/>
          <w:szCs w:val="18"/>
          <w:lang w:bidi="ar-SA"/>
        </w:rPr>
        <w:t>Cantu</w:t>
      </w:r>
      <w:proofErr w:type="spellEnd"/>
      <w:r w:rsidRPr="000F4006">
        <w:rPr>
          <w:rFonts w:ascii="Verdana" w:hAnsi="Verdana"/>
          <w:sz w:val="20"/>
          <w:szCs w:val="18"/>
          <w:lang w:bidi="ar-SA"/>
        </w:rPr>
        <w:t xml:space="preserve"> y otra. </w:t>
      </w:r>
      <w:r w:rsidRPr="000F4006">
        <w:rPr>
          <w:rFonts w:ascii="Verdana" w:hAnsi="Verdana"/>
          <w:sz w:val="20"/>
          <w:szCs w:val="18"/>
          <w:lang w:bidi="ar-SA"/>
        </w:rPr>
        <w:lastRenderedPageBreak/>
        <w:t>La nota contenía también frases amen</w:t>
      </w:r>
      <w:r>
        <w:rPr>
          <w:rFonts w:ascii="Verdana" w:hAnsi="Verdana"/>
          <w:sz w:val="20"/>
          <w:szCs w:val="18"/>
          <w:lang w:bidi="ar-SA"/>
        </w:rPr>
        <w:t>a</w:t>
      </w:r>
      <w:r w:rsidRPr="000F4006">
        <w:rPr>
          <w:rFonts w:ascii="Verdana" w:hAnsi="Verdana"/>
          <w:sz w:val="20"/>
          <w:szCs w:val="18"/>
          <w:lang w:bidi="ar-SA"/>
        </w:rPr>
        <w:t xml:space="preserve">zantes contra </w:t>
      </w:r>
      <w:r>
        <w:rPr>
          <w:rFonts w:ascii="Verdana" w:hAnsi="Verdana"/>
          <w:sz w:val="20"/>
          <w:szCs w:val="18"/>
          <w:lang w:bidi="ar-SA"/>
        </w:rPr>
        <w:t xml:space="preserve">la organización </w:t>
      </w:r>
      <w:proofErr w:type="spellStart"/>
      <w:r w:rsidR="00D56005">
        <w:rPr>
          <w:rFonts w:ascii="Verdana" w:hAnsi="Verdana"/>
          <w:sz w:val="20"/>
          <w:szCs w:val="18"/>
          <w:lang w:bidi="ar-SA"/>
        </w:rPr>
        <w:t>Tlachinollan</w:t>
      </w:r>
      <w:proofErr w:type="spellEnd"/>
      <w:r w:rsidR="00286DD4">
        <w:rPr>
          <w:rFonts w:ascii="Verdana" w:hAnsi="Verdana"/>
          <w:sz w:val="20"/>
          <w:szCs w:val="18"/>
          <w:lang w:bidi="ar-SA"/>
        </w:rPr>
        <w:t>;</w:t>
      </w:r>
    </w:p>
    <w:p w:rsidR="00006044" w:rsidRPr="000F4006" w:rsidRDefault="00006044" w:rsidP="00006044">
      <w:pPr>
        <w:jc w:val="both"/>
        <w:rPr>
          <w:rFonts w:ascii="Verdana" w:hAnsi="Verdana"/>
          <w:b/>
          <w:sz w:val="20"/>
          <w:szCs w:val="18"/>
          <w:lang w:bidi="ar-SA"/>
        </w:rPr>
      </w:pPr>
    </w:p>
    <w:p w:rsidR="00286DD4" w:rsidRDefault="00006044" w:rsidP="00006044">
      <w:pPr>
        <w:numPr>
          <w:ilvl w:val="0"/>
          <w:numId w:val="20"/>
        </w:numPr>
        <w:jc w:val="both"/>
        <w:rPr>
          <w:rFonts w:ascii="Verdana" w:hAnsi="Verdana"/>
          <w:sz w:val="20"/>
          <w:szCs w:val="18"/>
          <w:lang w:bidi="ar-SA"/>
        </w:rPr>
      </w:pPr>
      <w:r w:rsidRPr="000F4006">
        <w:rPr>
          <w:rFonts w:ascii="Verdana" w:hAnsi="Verdana"/>
          <w:sz w:val="20"/>
          <w:szCs w:val="18"/>
          <w:lang w:bidi="ar-SA"/>
        </w:rPr>
        <w:t xml:space="preserve">el 29 de junio de 2011 Rafael Rodríguez </w:t>
      </w:r>
      <w:proofErr w:type="spellStart"/>
      <w:r w:rsidRPr="000F4006">
        <w:rPr>
          <w:rFonts w:ascii="Verdana" w:hAnsi="Verdana"/>
          <w:sz w:val="20"/>
          <w:szCs w:val="18"/>
          <w:lang w:bidi="ar-SA"/>
        </w:rPr>
        <w:t>Dircio</w:t>
      </w:r>
      <w:proofErr w:type="spellEnd"/>
      <w:r w:rsidRPr="000F4006">
        <w:rPr>
          <w:rFonts w:ascii="Verdana" w:hAnsi="Verdana"/>
          <w:sz w:val="20"/>
          <w:szCs w:val="18"/>
          <w:lang w:bidi="ar-SA"/>
        </w:rPr>
        <w:t xml:space="preserve">, integrante de la </w:t>
      </w:r>
      <w:r w:rsidR="00D56005">
        <w:rPr>
          <w:rFonts w:ascii="Verdana" w:hAnsi="Verdana"/>
          <w:bCs/>
          <w:sz w:val="20"/>
          <w:szCs w:val="18"/>
          <w:lang w:bidi="en-US"/>
        </w:rPr>
        <w:t>OPIM,</w:t>
      </w:r>
      <w:r w:rsidRPr="000F4006">
        <w:rPr>
          <w:rFonts w:ascii="Verdana" w:hAnsi="Verdana"/>
          <w:sz w:val="20"/>
          <w:szCs w:val="18"/>
          <w:lang w:bidi="ar-SA"/>
        </w:rPr>
        <w:t xml:space="preserve"> fue detenido en un retén por elementos de la Policía Investigadora Ministerial y llevado a una prisión de Ayutla de los Libres. Mientras era trasladado al centro de detención, “los policías lo amenazaron, y le dijeron que si no </w:t>
      </w:r>
      <w:proofErr w:type="gramStart"/>
      <w:r w:rsidRPr="000F4006">
        <w:rPr>
          <w:rFonts w:ascii="Verdana" w:hAnsi="Verdana"/>
          <w:sz w:val="20"/>
          <w:szCs w:val="18"/>
          <w:lang w:bidi="ar-SA"/>
        </w:rPr>
        <w:t>acepta</w:t>
      </w:r>
      <w:r w:rsidR="004750F2">
        <w:rPr>
          <w:rFonts w:ascii="Verdana" w:hAnsi="Verdana"/>
          <w:sz w:val="20"/>
          <w:szCs w:val="18"/>
          <w:lang w:bidi="ar-SA"/>
        </w:rPr>
        <w:t>[</w:t>
      </w:r>
      <w:proofErr w:type="spellStart"/>
      <w:proofErr w:type="gramEnd"/>
      <w:r w:rsidRPr="000F4006">
        <w:rPr>
          <w:rFonts w:ascii="Verdana" w:hAnsi="Verdana"/>
          <w:sz w:val="20"/>
          <w:szCs w:val="18"/>
          <w:lang w:bidi="ar-SA"/>
        </w:rPr>
        <w:t>ba</w:t>
      </w:r>
      <w:proofErr w:type="spellEnd"/>
      <w:r w:rsidR="004750F2">
        <w:rPr>
          <w:rFonts w:ascii="Verdana" w:hAnsi="Verdana"/>
          <w:sz w:val="20"/>
          <w:szCs w:val="18"/>
          <w:lang w:bidi="ar-SA"/>
        </w:rPr>
        <w:t>]</w:t>
      </w:r>
      <w:r w:rsidRPr="000F4006">
        <w:rPr>
          <w:rFonts w:ascii="Verdana" w:hAnsi="Verdana"/>
          <w:sz w:val="20"/>
          <w:szCs w:val="18"/>
          <w:lang w:bidi="ar-SA"/>
        </w:rPr>
        <w:t xml:space="preserve"> la culpa le iban a meter la cabeza en un tambo con agua”. El 5 de julio de 2011 el juez de primera instancia resolvió su liberación tras no contar con pruebas para procesarlo</w:t>
      </w:r>
      <w:r w:rsidR="00286DD4">
        <w:rPr>
          <w:rFonts w:ascii="Verdana" w:hAnsi="Verdana"/>
          <w:sz w:val="20"/>
          <w:szCs w:val="18"/>
          <w:lang w:bidi="ar-SA"/>
        </w:rPr>
        <w:t xml:space="preserve">, y </w:t>
      </w:r>
    </w:p>
    <w:p w:rsidR="00286DD4" w:rsidRDefault="00286DD4" w:rsidP="00286DD4">
      <w:pPr>
        <w:pStyle w:val="Prrafodelista"/>
        <w:rPr>
          <w:rFonts w:ascii="Verdana" w:hAnsi="Verdana"/>
          <w:sz w:val="20"/>
          <w:szCs w:val="18"/>
          <w:lang w:bidi="ar-SA"/>
        </w:rPr>
      </w:pPr>
    </w:p>
    <w:p w:rsidR="00006044" w:rsidRPr="00805143" w:rsidRDefault="00805143" w:rsidP="00006044">
      <w:pPr>
        <w:numPr>
          <w:ilvl w:val="0"/>
          <w:numId w:val="20"/>
        </w:numPr>
        <w:jc w:val="both"/>
        <w:rPr>
          <w:rFonts w:ascii="Verdana" w:hAnsi="Verdana"/>
          <w:sz w:val="20"/>
          <w:lang w:bidi="ar-SA"/>
        </w:rPr>
      </w:pPr>
      <w:r w:rsidRPr="00805143">
        <w:rPr>
          <w:rFonts w:ascii="Verdana" w:hAnsi="Verdana"/>
          <w:sz w:val="20"/>
          <w:lang w:bidi="ar-SA"/>
        </w:rPr>
        <w:t xml:space="preserve">el </w:t>
      </w:r>
      <w:r w:rsidR="00712F83">
        <w:rPr>
          <w:rFonts w:ascii="Verdana" w:hAnsi="Verdana"/>
          <w:sz w:val="20"/>
          <w:lang w:bidi="ar-SA"/>
        </w:rPr>
        <w:t>21</w:t>
      </w:r>
      <w:r w:rsidRPr="00805143">
        <w:rPr>
          <w:rFonts w:ascii="Verdana" w:hAnsi="Verdana"/>
          <w:sz w:val="20"/>
          <w:lang w:bidi="ar-SA"/>
        </w:rPr>
        <w:t xml:space="preserve"> de enero de 2012 el beneficiario </w:t>
      </w:r>
      <w:r w:rsidRPr="00805143">
        <w:rPr>
          <w:rFonts w:ascii="Verdana" w:hAnsi="Verdana"/>
          <w:sz w:val="20"/>
          <w:lang w:val="es-ES"/>
        </w:rPr>
        <w:t>Maximino García Catarino</w:t>
      </w:r>
      <w:r w:rsidR="00712F83">
        <w:rPr>
          <w:rFonts w:ascii="Verdana" w:hAnsi="Verdana"/>
          <w:sz w:val="20"/>
          <w:lang w:val="es-ES"/>
        </w:rPr>
        <w:t xml:space="preserve">, familiar de Manuel Ponce Rosas, </w:t>
      </w:r>
      <w:r w:rsidRPr="00805143">
        <w:rPr>
          <w:rFonts w:ascii="Verdana" w:hAnsi="Verdana"/>
          <w:sz w:val="20"/>
          <w:lang w:val="es-ES"/>
        </w:rPr>
        <w:t xml:space="preserve">fue detenido por </w:t>
      </w:r>
      <w:r w:rsidR="00712F83">
        <w:rPr>
          <w:rFonts w:ascii="Verdana" w:hAnsi="Verdana"/>
          <w:sz w:val="20"/>
          <w:lang w:val="es-ES"/>
        </w:rPr>
        <w:t xml:space="preserve">la policía ministerial </w:t>
      </w:r>
      <w:r w:rsidR="00FB6B4D">
        <w:rPr>
          <w:rFonts w:ascii="Verdana" w:hAnsi="Verdana"/>
          <w:sz w:val="20"/>
          <w:lang w:val="es-ES"/>
        </w:rPr>
        <w:t>por su supuesta participación en la muerte de Juan Teodoro García en febrero de 2011. Mientras era trasladado a la comandancia policial, fue “golpeado en diferentes partes del cuerpo a puñetazos y a patadas”</w:t>
      </w:r>
      <w:r w:rsidR="00006044" w:rsidRPr="00805143">
        <w:rPr>
          <w:rFonts w:ascii="Verdana" w:hAnsi="Verdana"/>
          <w:sz w:val="20"/>
          <w:lang w:bidi="ar-SA"/>
        </w:rPr>
        <w:t xml:space="preserve">. </w:t>
      </w:r>
    </w:p>
    <w:p w:rsidR="00006044" w:rsidRDefault="00006044" w:rsidP="00006044">
      <w:pPr>
        <w:ind w:left="360"/>
        <w:jc w:val="both"/>
      </w:pPr>
    </w:p>
    <w:p w:rsidR="00CA4626" w:rsidRPr="00693C36" w:rsidRDefault="002E6A9A" w:rsidP="00CA4626">
      <w:pPr>
        <w:numPr>
          <w:ilvl w:val="0"/>
          <w:numId w:val="2"/>
        </w:numPr>
        <w:tabs>
          <w:tab w:val="clear" w:pos="720"/>
          <w:tab w:val="num" w:pos="0"/>
        </w:tabs>
        <w:ind w:left="0" w:firstLine="0"/>
        <w:jc w:val="both"/>
        <w:rPr>
          <w:rFonts w:ascii="Verdana" w:hAnsi="Verdana"/>
          <w:sz w:val="20"/>
        </w:rPr>
      </w:pPr>
      <w:r>
        <w:rPr>
          <w:rFonts w:ascii="Verdana" w:hAnsi="Verdana"/>
          <w:sz w:val="20"/>
        </w:rPr>
        <w:t>Adicionalmente</w:t>
      </w:r>
      <w:r w:rsidR="00CA4626" w:rsidRPr="00693C36">
        <w:rPr>
          <w:rFonts w:ascii="Verdana" w:hAnsi="Verdana"/>
          <w:sz w:val="20"/>
        </w:rPr>
        <w:t>, l</w:t>
      </w:r>
      <w:r w:rsidR="00870FF0" w:rsidRPr="00693C36">
        <w:rPr>
          <w:rFonts w:ascii="Verdana" w:hAnsi="Verdana"/>
          <w:sz w:val="20"/>
        </w:rPr>
        <w:t xml:space="preserve">os representantes sostuvieron que para determinar la pertinencia de mantener la vigencia de estas medidas provisionales </w:t>
      </w:r>
      <w:r w:rsidR="004750F2">
        <w:rPr>
          <w:rFonts w:ascii="Verdana" w:hAnsi="Verdana"/>
          <w:sz w:val="20"/>
        </w:rPr>
        <w:t xml:space="preserve">la </w:t>
      </w:r>
      <w:r w:rsidR="00870FF0" w:rsidRPr="00693C36">
        <w:rPr>
          <w:rFonts w:ascii="Verdana" w:hAnsi="Verdana"/>
          <w:sz w:val="20"/>
        </w:rPr>
        <w:t xml:space="preserve">Corte debe tomar en cuenta, entre otros, </w:t>
      </w:r>
      <w:r w:rsidR="004750F2">
        <w:rPr>
          <w:rFonts w:ascii="Verdana" w:hAnsi="Verdana"/>
          <w:sz w:val="20"/>
        </w:rPr>
        <w:t>“</w:t>
      </w:r>
      <w:r w:rsidR="00870FF0" w:rsidRPr="00693C36">
        <w:rPr>
          <w:rFonts w:ascii="Verdana" w:hAnsi="Verdana"/>
          <w:sz w:val="20"/>
        </w:rPr>
        <w:t xml:space="preserve">[l]os niveles de violencia o riesgo al grupo </w:t>
      </w:r>
      <w:r w:rsidR="00B65DD2">
        <w:rPr>
          <w:rFonts w:ascii="Verdana" w:hAnsi="Verdana"/>
          <w:sz w:val="20"/>
        </w:rPr>
        <w:t xml:space="preserve">[al] </w:t>
      </w:r>
      <w:r w:rsidR="00870FF0" w:rsidRPr="00693C36">
        <w:rPr>
          <w:rFonts w:ascii="Verdana" w:hAnsi="Verdana"/>
          <w:sz w:val="20"/>
        </w:rPr>
        <w:t>que pertenecen los beneficiarios en un país o región, en un momento específico[; c]</w:t>
      </w:r>
      <w:proofErr w:type="spellStart"/>
      <w:r w:rsidR="00870FF0" w:rsidRPr="00693C36">
        <w:rPr>
          <w:rFonts w:ascii="Verdana" w:hAnsi="Verdana"/>
          <w:sz w:val="20"/>
        </w:rPr>
        <w:t>onsideraciones</w:t>
      </w:r>
      <w:proofErr w:type="spellEnd"/>
      <w:r w:rsidR="00870FF0" w:rsidRPr="00693C36">
        <w:rPr>
          <w:rFonts w:ascii="Verdana" w:hAnsi="Verdana"/>
          <w:sz w:val="20"/>
        </w:rPr>
        <w:t xml:space="preserve"> generales sobre la localidad o población en que los beneficiarios están insertados[;</w:t>
      </w:r>
      <w:r w:rsidR="00DC20BA">
        <w:rPr>
          <w:rFonts w:ascii="Verdana" w:hAnsi="Verdana"/>
          <w:sz w:val="20"/>
        </w:rPr>
        <w:t xml:space="preserve"> </w:t>
      </w:r>
      <w:r w:rsidR="00870FF0" w:rsidRPr="00693C36">
        <w:rPr>
          <w:rFonts w:ascii="Verdana" w:hAnsi="Verdana"/>
          <w:sz w:val="20"/>
        </w:rPr>
        <w:t>n]</w:t>
      </w:r>
      <w:proofErr w:type="spellStart"/>
      <w:r w:rsidR="00870FF0" w:rsidRPr="00693C36">
        <w:rPr>
          <w:rFonts w:ascii="Verdana" w:hAnsi="Verdana"/>
          <w:sz w:val="20"/>
        </w:rPr>
        <w:t>uevos</w:t>
      </w:r>
      <w:proofErr w:type="spellEnd"/>
      <w:r w:rsidR="00870FF0" w:rsidRPr="00693C36">
        <w:rPr>
          <w:rFonts w:ascii="Verdana" w:hAnsi="Verdana"/>
          <w:sz w:val="20"/>
        </w:rPr>
        <w:t xml:space="preserve"> o recientes hechos de violencia, amenaza u hostigamiento cometidos contra uno o más de los beneficiarios[;</w:t>
      </w:r>
      <w:r w:rsidR="00DC20BA">
        <w:rPr>
          <w:rFonts w:ascii="Verdana" w:hAnsi="Verdana"/>
          <w:sz w:val="20"/>
        </w:rPr>
        <w:t xml:space="preserve"> </w:t>
      </w:r>
      <w:r w:rsidR="00870FF0" w:rsidRPr="00693C36">
        <w:rPr>
          <w:rFonts w:ascii="Verdana" w:hAnsi="Verdana"/>
          <w:sz w:val="20"/>
        </w:rPr>
        <w:t>a]</w:t>
      </w:r>
      <w:proofErr w:type="spellStart"/>
      <w:r w:rsidR="00870FF0" w:rsidRPr="00693C36">
        <w:rPr>
          <w:rFonts w:ascii="Verdana" w:hAnsi="Verdana"/>
          <w:sz w:val="20"/>
        </w:rPr>
        <w:t>cciones</w:t>
      </w:r>
      <w:proofErr w:type="spellEnd"/>
      <w:r w:rsidR="00870FF0" w:rsidRPr="00693C36">
        <w:rPr>
          <w:rFonts w:ascii="Verdana" w:hAnsi="Verdana"/>
          <w:sz w:val="20"/>
        </w:rPr>
        <w:t xml:space="preserve"> tomadas por los propios beneficiarios de las medidas provisionales que reflejan un temor fundado de ser nuevamente victimizados[;</w:t>
      </w:r>
      <w:r w:rsidR="00DC20BA">
        <w:rPr>
          <w:rFonts w:ascii="Verdana" w:hAnsi="Verdana"/>
          <w:sz w:val="20"/>
        </w:rPr>
        <w:t xml:space="preserve"> </w:t>
      </w:r>
      <w:r w:rsidR="00870FF0" w:rsidRPr="00693C36">
        <w:rPr>
          <w:rFonts w:ascii="Verdana" w:hAnsi="Verdana"/>
          <w:sz w:val="20"/>
        </w:rPr>
        <w:t xml:space="preserve">e]l nivel de esclarecimiento y desactivación de los factores que dieron lugar al riesgo[, y la] situación de impunidad que existe en el caso contencioso que dio lugar a las medidas en el presente caso”. </w:t>
      </w:r>
      <w:r w:rsidR="00CA4626" w:rsidRPr="00693C36">
        <w:rPr>
          <w:rFonts w:ascii="Verdana" w:hAnsi="Verdana"/>
          <w:sz w:val="20"/>
        </w:rPr>
        <w:t xml:space="preserve">Por otra parte, </w:t>
      </w:r>
      <w:r w:rsidR="00693C36" w:rsidRPr="00693C36">
        <w:rPr>
          <w:rFonts w:ascii="Verdana" w:hAnsi="Verdana"/>
          <w:sz w:val="20"/>
        </w:rPr>
        <w:t>señalaron</w:t>
      </w:r>
      <w:r w:rsidR="00CA4626" w:rsidRPr="00693C36">
        <w:rPr>
          <w:rFonts w:ascii="Verdana" w:hAnsi="Verdana"/>
          <w:sz w:val="20"/>
        </w:rPr>
        <w:t xml:space="preserve"> que </w:t>
      </w:r>
      <w:r w:rsidR="00B65DD2">
        <w:rPr>
          <w:rFonts w:ascii="Verdana" w:hAnsi="Verdana"/>
          <w:sz w:val="20"/>
        </w:rPr>
        <w:t xml:space="preserve">el </w:t>
      </w:r>
      <w:r w:rsidR="00693C36" w:rsidRPr="00693C36">
        <w:rPr>
          <w:rFonts w:ascii="Verdana" w:hAnsi="Verdana"/>
          <w:sz w:val="20"/>
        </w:rPr>
        <w:t>“</w:t>
      </w:r>
      <w:r w:rsidR="00693C36" w:rsidRPr="00693C36">
        <w:rPr>
          <w:rFonts w:ascii="Verdana" w:hAnsi="Verdana"/>
          <w:sz w:val="20"/>
          <w:lang w:val="es-ES"/>
        </w:rPr>
        <w:t xml:space="preserve">incremento de los diversos hechos y amenazas, </w:t>
      </w:r>
      <w:r w:rsidR="00B65DD2">
        <w:rPr>
          <w:rFonts w:ascii="Verdana" w:hAnsi="Verdana"/>
          <w:sz w:val="20"/>
          <w:lang w:val="es-ES"/>
        </w:rPr>
        <w:t xml:space="preserve">[…] </w:t>
      </w:r>
      <w:r w:rsidR="00693C36" w:rsidRPr="00693C36">
        <w:rPr>
          <w:rFonts w:ascii="Verdana" w:hAnsi="Verdana"/>
          <w:sz w:val="20"/>
          <w:lang w:val="es-ES"/>
        </w:rPr>
        <w:t>denota</w:t>
      </w:r>
      <w:r>
        <w:rPr>
          <w:rFonts w:ascii="Verdana" w:hAnsi="Verdana"/>
          <w:sz w:val="20"/>
          <w:lang w:val="es-ES"/>
        </w:rPr>
        <w:t xml:space="preserve"> </w:t>
      </w:r>
      <w:r w:rsidR="00B65DD2">
        <w:rPr>
          <w:rFonts w:ascii="Verdana" w:hAnsi="Verdana"/>
          <w:sz w:val="20"/>
          <w:lang w:val="es-ES"/>
        </w:rPr>
        <w:t>[…]</w:t>
      </w:r>
      <w:r w:rsidR="00693C36" w:rsidRPr="00693C36">
        <w:rPr>
          <w:rFonts w:ascii="Verdana" w:hAnsi="Verdana"/>
          <w:sz w:val="20"/>
          <w:lang w:val="es-ES"/>
        </w:rPr>
        <w:t xml:space="preserve"> una subsistencia de riesgo para todos los grupos de las personas </w:t>
      </w:r>
      <w:proofErr w:type="gramStart"/>
      <w:r w:rsidR="00693C36" w:rsidRPr="00693C36">
        <w:rPr>
          <w:rFonts w:ascii="Verdana" w:hAnsi="Verdana"/>
          <w:sz w:val="20"/>
          <w:lang w:val="es-ES"/>
        </w:rPr>
        <w:t>beneficiarias[</w:t>
      </w:r>
      <w:proofErr w:type="gramEnd"/>
      <w:r w:rsidR="00693C36" w:rsidRPr="00693C36">
        <w:rPr>
          <w:rFonts w:ascii="Verdana" w:hAnsi="Verdana"/>
          <w:sz w:val="20"/>
          <w:lang w:val="es-ES"/>
        </w:rPr>
        <w:t>.] No considera</w:t>
      </w:r>
      <w:r w:rsidR="00DC20BA">
        <w:rPr>
          <w:rFonts w:ascii="Verdana" w:hAnsi="Verdana"/>
          <w:sz w:val="20"/>
          <w:lang w:val="es-ES"/>
        </w:rPr>
        <w:t>[ron]</w:t>
      </w:r>
      <w:r w:rsidR="00693C36" w:rsidRPr="00693C36">
        <w:rPr>
          <w:rFonts w:ascii="Verdana" w:hAnsi="Verdana"/>
          <w:sz w:val="20"/>
          <w:lang w:val="es-ES"/>
        </w:rPr>
        <w:t xml:space="preserve"> que pueda acotarse a 20 el número de personas en riesgo sino que, por el contrario, en tanto subsisten diversos factores como la impunidad de los hechos y </w:t>
      </w:r>
      <w:r w:rsidR="00B65DD2">
        <w:rPr>
          <w:rFonts w:ascii="Verdana" w:hAnsi="Verdana"/>
          <w:sz w:val="20"/>
          <w:lang w:val="es-ES"/>
        </w:rPr>
        <w:t>[…]</w:t>
      </w:r>
      <w:r w:rsidR="00693C36" w:rsidRPr="00693C36">
        <w:rPr>
          <w:rFonts w:ascii="Verdana" w:hAnsi="Verdana"/>
          <w:sz w:val="20"/>
          <w:lang w:val="es-ES"/>
        </w:rPr>
        <w:t xml:space="preserve"> la producción de diversos atentados que si bien vinculados en una persona o a ciertas personas en particular</w:t>
      </w:r>
      <w:r w:rsidR="00B65DD2">
        <w:rPr>
          <w:rFonts w:ascii="Verdana" w:hAnsi="Verdana"/>
          <w:sz w:val="20"/>
          <w:lang w:val="es-ES"/>
        </w:rPr>
        <w:t>,</w:t>
      </w:r>
      <w:r w:rsidR="00693C36" w:rsidRPr="00693C36">
        <w:rPr>
          <w:rFonts w:ascii="Verdana" w:hAnsi="Verdana"/>
          <w:sz w:val="20"/>
          <w:lang w:val="es-ES"/>
        </w:rPr>
        <w:t xml:space="preserve"> por sus características denotan un riesgo para el grupo al que esa persona pertenece, [</w:t>
      </w:r>
      <w:r w:rsidR="00DC20BA">
        <w:rPr>
          <w:rFonts w:ascii="Verdana" w:hAnsi="Verdana"/>
          <w:sz w:val="20"/>
          <w:lang w:val="es-ES"/>
        </w:rPr>
        <w:t>y tienen]</w:t>
      </w:r>
      <w:r w:rsidR="00693C36" w:rsidRPr="00693C36">
        <w:rPr>
          <w:rFonts w:ascii="Verdana" w:hAnsi="Verdana"/>
          <w:sz w:val="20"/>
          <w:lang w:val="es-ES"/>
        </w:rPr>
        <w:t xml:space="preserve"> la plena convicción de que los beneficiarios pertenecientes a todos los grupos identificados […]</w:t>
      </w:r>
      <w:r w:rsidR="00095DC0">
        <w:rPr>
          <w:rFonts w:ascii="Verdana" w:hAnsi="Verdana"/>
          <w:sz w:val="20"/>
          <w:lang w:val="es-ES"/>
        </w:rPr>
        <w:t xml:space="preserve"> </w:t>
      </w:r>
      <w:r w:rsidR="00693C36" w:rsidRPr="00693C36">
        <w:rPr>
          <w:rFonts w:ascii="Verdana" w:hAnsi="Verdana"/>
          <w:sz w:val="20"/>
          <w:lang w:val="es-ES"/>
        </w:rPr>
        <w:t>se encuentran en riesgo”.</w:t>
      </w:r>
      <w:r w:rsidR="00693C36" w:rsidRPr="00693C36">
        <w:rPr>
          <w:rFonts w:ascii="Verdana" w:hAnsi="Verdana"/>
          <w:b/>
          <w:sz w:val="20"/>
          <w:lang w:val="es-ES"/>
        </w:rPr>
        <w:t xml:space="preserve"> </w:t>
      </w:r>
      <w:r w:rsidR="00CA4626" w:rsidRPr="00693C36">
        <w:rPr>
          <w:rFonts w:ascii="Verdana" w:hAnsi="Verdana"/>
          <w:sz w:val="20"/>
        </w:rPr>
        <w:t>Finalmente</w:t>
      </w:r>
      <w:r w:rsidR="00870FF0" w:rsidRPr="00693C36">
        <w:rPr>
          <w:rFonts w:ascii="Verdana" w:hAnsi="Verdana"/>
          <w:sz w:val="20"/>
        </w:rPr>
        <w:t xml:space="preserve">, informaron que los siguientes beneficiarios ya no trabajan en la organización </w:t>
      </w:r>
      <w:proofErr w:type="spellStart"/>
      <w:r w:rsidR="00870FF0" w:rsidRPr="00693C36">
        <w:rPr>
          <w:rFonts w:ascii="Verdana" w:hAnsi="Verdana"/>
          <w:sz w:val="20"/>
        </w:rPr>
        <w:t>Tlac</w:t>
      </w:r>
      <w:r w:rsidR="004750F2">
        <w:rPr>
          <w:rFonts w:ascii="Verdana" w:hAnsi="Verdana"/>
          <w:sz w:val="20"/>
        </w:rPr>
        <w:t>hinollan</w:t>
      </w:r>
      <w:proofErr w:type="spellEnd"/>
      <w:r w:rsidR="004750F2">
        <w:rPr>
          <w:rFonts w:ascii="Verdana" w:hAnsi="Verdana"/>
          <w:sz w:val="20"/>
        </w:rPr>
        <w:t>: Claudia Ordoñez Viquez, Isauro</w:t>
      </w:r>
      <w:r w:rsidR="00870FF0" w:rsidRPr="00693C36">
        <w:rPr>
          <w:rFonts w:ascii="Verdana" w:hAnsi="Verdana"/>
          <w:sz w:val="20"/>
        </w:rPr>
        <w:t xml:space="preserve"> Romero Solano, Dioni</w:t>
      </w:r>
      <w:r w:rsidR="004750F2">
        <w:rPr>
          <w:rFonts w:ascii="Verdana" w:hAnsi="Verdana"/>
          <w:sz w:val="20"/>
        </w:rPr>
        <w:t>c</w:t>
      </w:r>
      <w:r w:rsidR="00870FF0" w:rsidRPr="00693C36">
        <w:rPr>
          <w:rFonts w:ascii="Verdana" w:hAnsi="Verdana"/>
          <w:sz w:val="20"/>
        </w:rPr>
        <w:t xml:space="preserve">io Villano González, Jane </w:t>
      </w:r>
      <w:r w:rsidR="004750F2">
        <w:rPr>
          <w:rFonts w:ascii="Verdana" w:hAnsi="Verdana"/>
          <w:sz w:val="20"/>
        </w:rPr>
        <w:t>E</w:t>
      </w:r>
      <w:r w:rsidR="00870FF0" w:rsidRPr="004750F2">
        <w:rPr>
          <w:rFonts w:ascii="Verdana" w:hAnsi="Verdana"/>
          <w:sz w:val="20"/>
        </w:rPr>
        <w:t>va</w:t>
      </w:r>
      <w:r w:rsidR="00870FF0" w:rsidRPr="00693C36">
        <w:rPr>
          <w:rFonts w:ascii="Verdana" w:hAnsi="Verdana"/>
          <w:sz w:val="20"/>
        </w:rPr>
        <w:t xml:space="preserve"> Jones, Laura </w:t>
      </w:r>
      <w:proofErr w:type="spellStart"/>
      <w:r w:rsidR="00870FF0" w:rsidRPr="00693C36">
        <w:rPr>
          <w:rFonts w:ascii="Verdana" w:hAnsi="Verdana"/>
          <w:sz w:val="20"/>
        </w:rPr>
        <w:t>Lizette</w:t>
      </w:r>
      <w:proofErr w:type="spellEnd"/>
      <w:r w:rsidR="00870FF0" w:rsidRPr="00693C36">
        <w:rPr>
          <w:rFonts w:ascii="Verdana" w:hAnsi="Verdana"/>
          <w:sz w:val="20"/>
        </w:rPr>
        <w:t xml:space="preserve"> Aragón Castro, Mario Patrón Sánchez, Patricia </w:t>
      </w:r>
      <w:proofErr w:type="spellStart"/>
      <w:r w:rsidR="00870FF0" w:rsidRPr="00693C36">
        <w:rPr>
          <w:rFonts w:ascii="Verdana" w:hAnsi="Verdana"/>
          <w:sz w:val="20"/>
        </w:rPr>
        <w:t>Bordier</w:t>
      </w:r>
      <w:proofErr w:type="spellEnd"/>
      <w:r w:rsidR="00870FF0" w:rsidRPr="00693C36">
        <w:rPr>
          <w:rFonts w:ascii="Verdana" w:hAnsi="Verdana"/>
          <w:sz w:val="20"/>
        </w:rPr>
        <w:t xml:space="preserve"> </w:t>
      </w:r>
      <w:proofErr w:type="spellStart"/>
      <w:r w:rsidR="00870FF0" w:rsidRPr="00693C36">
        <w:rPr>
          <w:rFonts w:ascii="Verdana" w:hAnsi="Verdana"/>
          <w:sz w:val="20"/>
        </w:rPr>
        <w:t>Morteo</w:t>
      </w:r>
      <w:proofErr w:type="spellEnd"/>
      <w:r w:rsidR="00870FF0" w:rsidRPr="00693C36">
        <w:rPr>
          <w:rFonts w:ascii="Verdana" w:hAnsi="Verdana"/>
          <w:sz w:val="20"/>
        </w:rPr>
        <w:t xml:space="preserve">, Prometeo Rodríguez Lucero, Teresa de la Cruz, Alejandra Gonzáles Marín y Rommel </w:t>
      </w:r>
      <w:proofErr w:type="spellStart"/>
      <w:r w:rsidR="00870FF0" w:rsidRPr="00693C36">
        <w:rPr>
          <w:rFonts w:ascii="Verdana" w:hAnsi="Verdana"/>
          <w:sz w:val="20"/>
        </w:rPr>
        <w:t>Cain</w:t>
      </w:r>
      <w:proofErr w:type="spellEnd"/>
      <w:r w:rsidR="00870FF0" w:rsidRPr="00693C36">
        <w:rPr>
          <w:rFonts w:ascii="Verdana" w:hAnsi="Verdana"/>
          <w:sz w:val="20"/>
        </w:rPr>
        <w:t xml:space="preserve"> </w:t>
      </w:r>
      <w:proofErr w:type="spellStart"/>
      <w:r w:rsidR="00870FF0" w:rsidRPr="00693C36">
        <w:rPr>
          <w:rFonts w:ascii="Verdana" w:hAnsi="Verdana"/>
          <w:sz w:val="20"/>
        </w:rPr>
        <w:t>Chacan</w:t>
      </w:r>
      <w:proofErr w:type="spellEnd"/>
      <w:r w:rsidR="00870FF0" w:rsidRPr="00693C36">
        <w:rPr>
          <w:rFonts w:ascii="Verdana" w:hAnsi="Verdana"/>
          <w:sz w:val="20"/>
        </w:rPr>
        <w:t xml:space="preserve"> Pale. </w:t>
      </w:r>
    </w:p>
    <w:p w:rsidR="00CA4626" w:rsidRDefault="00CA4626" w:rsidP="00CA4626">
      <w:pPr>
        <w:jc w:val="both"/>
        <w:rPr>
          <w:rFonts w:ascii="Verdana" w:hAnsi="Verdana"/>
          <w:sz w:val="20"/>
        </w:rPr>
      </w:pPr>
    </w:p>
    <w:p w:rsidR="00CA4626" w:rsidRDefault="00CA17A2" w:rsidP="00006044">
      <w:pPr>
        <w:numPr>
          <w:ilvl w:val="0"/>
          <w:numId w:val="2"/>
        </w:numPr>
        <w:ind w:left="0" w:firstLine="0"/>
        <w:jc w:val="both"/>
        <w:rPr>
          <w:rFonts w:ascii="Verdana" w:hAnsi="Verdana"/>
          <w:sz w:val="20"/>
        </w:rPr>
      </w:pPr>
      <w:r>
        <w:rPr>
          <w:rFonts w:ascii="Verdana" w:hAnsi="Verdana"/>
          <w:sz w:val="20"/>
        </w:rPr>
        <w:t xml:space="preserve">Respecto a la situación de riesgo de los beneficiarios, </w:t>
      </w:r>
      <w:r w:rsidR="00CA4626" w:rsidRPr="00870FF0">
        <w:rPr>
          <w:rFonts w:ascii="Verdana" w:hAnsi="Verdana"/>
          <w:sz w:val="20"/>
        </w:rPr>
        <w:t>el Estado solicit</w:t>
      </w:r>
      <w:r w:rsidR="00D859C2">
        <w:rPr>
          <w:rFonts w:ascii="Verdana" w:hAnsi="Verdana"/>
          <w:sz w:val="20"/>
        </w:rPr>
        <w:t>ó</w:t>
      </w:r>
      <w:r w:rsidR="00CA4626" w:rsidRPr="00870FF0">
        <w:rPr>
          <w:rFonts w:ascii="Verdana" w:hAnsi="Verdana"/>
          <w:sz w:val="20"/>
        </w:rPr>
        <w:t xml:space="preserve"> que se realice una evaluación de las condiciones establecidas en la Convención Americana para la prevalencia de las medidas respecto de todas y cada una de</w:t>
      </w:r>
      <w:r w:rsidR="004750F2">
        <w:rPr>
          <w:rFonts w:ascii="Verdana" w:hAnsi="Verdana"/>
          <w:sz w:val="20"/>
        </w:rPr>
        <w:t xml:space="preserve"> las personas beneficiarias</w:t>
      </w:r>
      <w:r w:rsidR="00CA4626" w:rsidRPr="00870FF0">
        <w:rPr>
          <w:rFonts w:ascii="Verdana" w:hAnsi="Verdana"/>
          <w:sz w:val="20"/>
        </w:rPr>
        <w:t>. En primer lugar, solicitó</w:t>
      </w:r>
      <w:r w:rsidR="00D859C2">
        <w:rPr>
          <w:rFonts w:ascii="Verdana" w:hAnsi="Verdana"/>
          <w:sz w:val="20"/>
        </w:rPr>
        <w:t xml:space="preserve"> que</w:t>
      </w:r>
      <w:r w:rsidR="00CA4626" w:rsidRPr="00870FF0">
        <w:rPr>
          <w:rFonts w:ascii="Verdana" w:hAnsi="Verdana"/>
          <w:sz w:val="20"/>
        </w:rPr>
        <w:t xml:space="preserve"> “se evalué la vigencia de la situación de gravedad y urgencia respecto de las 108 personas beneficiarias”. El Estado alegó que las personas beneficiarias </w:t>
      </w:r>
      <w:r w:rsidR="00D859C2">
        <w:rPr>
          <w:rFonts w:ascii="Verdana" w:hAnsi="Verdana"/>
          <w:sz w:val="20"/>
        </w:rPr>
        <w:t>únicamente</w:t>
      </w:r>
      <w:r w:rsidR="00CA4626" w:rsidRPr="00870FF0">
        <w:rPr>
          <w:rFonts w:ascii="Verdana" w:hAnsi="Verdana"/>
          <w:sz w:val="20"/>
        </w:rPr>
        <w:t xml:space="preserve"> han manifestado en sus informes a la Corte condiciones de riesgo para un núcleo que comprende a: a) Inés Fernández Ortega y su núcleo familiar; b) Cuauhtémoc Ramírez y </w:t>
      </w:r>
      <w:proofErr w:type="spellStart"/>
      <w:r w:rsidR="00CA4626" w:rsidRPr="00870FF0">
        <w:rPr>
          <w:rFonts w:ascii="Verdana" w:hAnsi="Verdana"/>
          <w:sz w:val="20"/>
        </w:rPr>
        <w:t>Obtilia</w:t>
      </w:r>
      <w:proofErr w:type="spellEnd"/>
      <w:r w:rsidR="00CA4626" w:rsidRPr="00870FF0">
        <w:rPr>
          <w:rFonts w:ascii="Verdana" w:hAnsi="Verdana"/>
          <w:sz w:val="20"/>
        </w:rPr>
        <w:t xml:space="preserve"> Eugenio</w:t>
      </w:r>
      <w:r w:rsidR="00D859C2">
        <w:rPr>
          <w:rFonts w:ascii="Verdana" w:hAnsi="Verdana"/>
          <w:sz w:val="20"/>
        </w:rPr>
        <w:t xml:space="preserve"> Manuel</w:t>
      </w:r>
      <w:r w:rsidR="00CA4626" w:rsidRPr="00870FF0">
        <w:rPr>
          <w:rFonts w:ascii="Verdana" w:hAnsi="Verdana"/>
          <w:sz w:val="20"/>
        </w:rPr>
        <w:t xml:space="preserve">, dirigentes de la OPIM y c) Abel </w:t>
      </w:r>
      <w:proofErr w:type="spellStart"/>
      <w:r w:rsidR="00CA4626" w:rsidRPr="00870FF0">
        <w:rPr>
          <w:rFonts w:ascii="Verdana" w:hAnsi="Verdana"/>
          <w:sz w:val="20"/>
        </w:rPr>
        <w:t>Barerra</w:t>
      </w:r>
      <w:proofErr w:type="spellEnd"/>
      <w:r w:rsidR="00CA4626" w:rsidRPr="00870FF0">
        <w:rPr>
          <w:rFonts w:ascii="Verdana" w:hAnsi="Verdana"/>
          <w:sz w:val="20"/>
        </w:rPr>
        <w:t xml:space="preserve"> Hernández, Director del Centro de Derechos Humanos </w:t>
      </w:r>
      <w:proofErr w:type="spellStart"/>
      <w:r w:rsidR="00CA4626" w:rsidRPr="00870FF0">
        <w:rPr>
          <w:rFonts w:ascii="Verdana" w:hAnsi="Verdana"/>
          <w:sz w:val="20"/>
        </w:rPr>
        <w:t>Tlachinollan</w:t>
      </w:r>
      <w:proofErr w:type="spellEnd"/>
      <w:r w:rsidR="00CA4626" w:rsidRPr="00870FF0">
        <w:rPr>
          <w:rFonts w:ascii="Verdana" w:hAnsi="Verdana"/>
          <w:sz w:val="20"/>
        </w:rPr>
        <w:t xml:space="preserve"> y las personas directamente vinculadas con la defensa del caso de la señora Fernández Ortega. E</w:t>
      </w:r>
      <w:r w:rsidR="002E6A9A">
        <w:rPr>
          <w:rFonts w:ascii="Verdana" w:hAnsi="Verdana"/>
          <w:sz w:val="20"/>
        </w:rPr>
        <w:t>n cuanto a los demás, e</w:t>
      </w:r>
      <w:r w:rsidR="00CA4626" w:rsidRPr="00870FF0">
        <w:rPr>
          <w:rFonts w:ascii="Verdana" w:hAnsi="Verdana"/>
          <w:sz w:val="20"/>
        </w:rPr>
        <w:t xml:space="preserve">l Estado afirmó que “no se </w:t>
      </w:r>
      <w:r w:rsidR="00CA4626" w:rsidRPr="00870FF0">
        <w:rPr>
          <w:rFonts w:ascii="Verdana" w:hAnsi="Verdana"/>
          <w:sz w:val="20"/>
        </w:rPr>
        <w:lastRenderedPageBreak/>
        <w:t>fundamenta la situación de extrema gravedad y urgencia que viven las personas [beneficiarias] que daría sustento a la determinación de continuar con las medidas provisionales en su favor”. Respecto de la capacidad del Estado para hacer frente a las situaciones de riesgo que puedan presentar las personas beneficiarias, consideró que “la efectividad en las medidas implementadas puede reflejarse en la disminución e</w:t>
      </w:r>
      <w:r w:rsidR="004750F2">
        <w:rPr>
          <w:rFonts w:ascii="Verdana" w:hAnsi="Verdana"/>
          <w:sz w:val="20"/>
        </w:rPr>
        <w:t>n</w:t>
      </w:r>
      <w:r w:rsidR="00CA4626" w:rsidRPr="00870FF0">
        <w:rPr>
          <w:rFonts w:ascii="Verdana" w:hAnsi="Verdana"/>
          <w:sz w:val="20"/>
        </w:rPr>
        <w:t xml:space="preserve"> la situación de riesgo de la mayoría de las personas beneficiarias”. </w:t>
      </w:r>
    </w:p>
    <w:p w:rsidR="00006044" w:rsidRDefault="00006044" w:rsidP="00006044">
      <w:pPr>
        <w:jc w:val="both"/>
        <w:rPr>
          <w:rFonts w:ascii="Verdana" w:hAnsi="Verdana"/>
          <w:sz w:val="20"/>
        </w:rPr>
      </w:pPr>
    </w:p>
    <w:p w:rsidR="00CA4626" w:rsidRPr="00CA4626" w:rsidRDefault="00CA4626" w:rsidP="00CA4626">
      <w:pPr>
        <w:numPr>
          <w:ilvl w:val="0"/>
          <w:numId w:val="2"/>
        </w:numPr>
        <w:tabs>
          <w:tab w:val="clear" w:pos="720"/>
          <w:tab w:val="num" w:pos="0"/>
        </w:tabs>
        <w:ind w:left="0" w:firstLine="0"/>
        <w:jc w:val="both"/>
        <w:rPr>
          <w:rFonts w:ascii="Verdana" w:hAnsi="Verdana"/>
          <w:sz w:val="20"/>
        </w:rPr>
      </w:pPr>
      <w:r>
        <w:rPr>
          <w:rFonts w:ascii="Verdana" w:hAnsi="Verdana"/>
          <w:sz w:val="20"/>
        </w:rPr>
        <w:t xml:space="preserve">La Comisión informó </w:t>
      </w:r>
      <w:r w:rsidRPr="00384BCC">
        <w:rPr>
          <w:rFonts w:ascii="Verdana" w:hAnsi="Verdana"/>
          <w:sz w:val="20"/>
        </w:rPr>
        <w:t xml:space="preserve">que el 17 de mayo de 2010 Ana Luz Prisciliano Fernández “recibió amenazas de muerte contra ella y contra sus padres. </w:t>
      </w:r>
      <w:r w:rsidR="00D859C2">
        <w:rPr>
          <w:rFonts w:ascii="Verdana" w:hAnsi="Verdana"/>
          <w:sz w:val="20"/>
        </w:rPr>
        <w:t>[La joven]</w:t>
      </w:r>
      <w:r w:rsidRPr="00384BCC">
        <w:rPr>
          <w:rFonts w:ascii="Verdana" w:hAnsi="Verdana"/>
          <w:sz w:val="20"/>
        </w:rPr>
        <w:t xml:space="preserve"> fue interceptada por dos individuos quienes le preguntaron por sus padres y por qui</w:t>
      </w:r>
      <w:r w:rsidR="00D859C2">
        <w:rPr>
          <w:rFonts w:ascii="Verdana" w:hAnsi="Verdana"/>
          <w:sz w:val="20"/>
        </w:rPr>
        <w:t>é</w:t>
      </w:r>
      <w:r w:rsidRPr="00384BCC">
        <w:rPr>
          <w:rFonts w:ascii="Verdana" w:hAnsi="Verdana"/>
          <w:sz w:val="20"/>
        </w:rPr>
        <w:t xml:space="preserve">nes acompañan a su madre en el </w:t>
      </w:r>
      <w:proofErr w:type="gramStart"/>
      <w:r w:rsidRPr="00384BCC">
        <w:rPr>
          <w:rFonts w:ascii="Verdana" w:hAnsi="Verdana"/>
          <w:sz w:val="20"/>
        </w:rPr>
        <w:t>proceso[</w:t>
      </w:r>
      <w:proofErr w:type="gramEnd"/>
      <w:r w:rsidRPr="00384BCC">
        <w:rPr>
          <w:rFonts w:ascii="Verdana" w:hAnsi="Verdana"/>
          <w:sz w:val="20"/>
        </w:rPr>
        <w:t xml:space="preserve">;] le robaron el celular [y] uno de los hombres le puso un cuchillo de cocina en la cintura, mientras trataban de subirla a un vehículo. Sin embargo, </w:t>
      </w:r>
      <w:r w:rsidR="00D859C2">
        <w:rPr>
          <w:rFonts w:ascii="Verdana" w:hAnsi="Verdana"/>
          <w:sz w:val="20"/>
        </w:rPr>
        <w:t>[la joven]</w:t>
      </w:r>
      <w:r w:rsidRPr="00384BCC">
        <w:rPr>
          <w:rFonts w:ascii="Verdana" w:hAnsi="Verdana"/>
          <w:sz w:val="20"/>
        </w:rPr>
        <w:t xml:space="preserve"> pudo soltarse y correr a su casa”.  </w:t>
      </w:r>
    </w:p>
    <w:p w:rsidR="00CA4626" w:rsidRDefault="00CA4626" w:rsidP="00CA4626">
      <w:pPr>
        <w:pStyle w:val="Prrafodelista"/>
        <w:rPr>
          <w:rFonts w:ascii="Verdana" w:hAnsi="Verdana"/>
          <w:sz w:val="20"/>
        </w:rPr>
      </w:pPr>
    </w:p>
    <w:p w:rsidR="00CA4626" w:rsidRPr="00CA4626" w:rsidRDefault="00CA4626" w:rsidP="00CA4626">
      <w:pPr>
        <w:numPr>
          <w:ilvl w:val="0"/>
          <w:numId w:val="2"/>
        </w:numPr>
        <w:tabs>
          <w:tab w:val="clear" w:pos="720"/>
          <w:tab w:val="num" w:pos="0"/>
        </w:tabs>
        <w:ind w:left="0" w:firstLine="0"/>
        <w:jc w:val="both"/>
        <w:rPr>
          <w:rFonts w:ascii="Verdana" w:hAnsi="Verdana"/>
          <w:sz w:val="20"/>
        </w:rPr>
      </w:pPr>
      <w:r>
        <w:rPr>
          <w:rFonts w:ascii="Verdana" w:hAnsi="Verdana"/>
          <w:sz w:val="20"/>
        </w:rPr>
        <w:t>Por otra parte, l</w:t>
      </w:r>
      <w:r w:rsidRPr="00CA4626">
        <w:rPr>
          <w:rFonts w:ascii="Verdana" w:hAnsi="Verdana"/>
          <w:sz w:val="20"/>
        </w:rPr>
        <w:t xml:space="preserve">a Comisión destacó que “las presentes medidas </w:t>
      </w:r>
      <w:r w:rsidR="004750F2">
        <w:rPr>
          <w:rFonts w:ascii="Verdana" w:hAnsi="Verdana"/>
          <w:sz w:val="20"/>
        </w:rPr>
        <w:t xml:space="preserve">provisionales </w:t>
      </w:r>
      <w:r w:rsidRPr="00CA4626">
        <w:rPr>
          <w:rFonts w:ascii="Verdana" w:hAnsi="Verdana"/>
          <w:sz w:val="20"/>
        </w:rPr>
        <w:t>protegen no sólo a las víctimas del caso y sus defensores, sino a las personas que pertenecen a las organizaciones que velan por la defensa de los derechos humanos, siendo ésta la razón principal para ser blanco de amenazas y hostigamiento</w:t>
      </w:r>
      <w:r w:rsidR="004750F2">
        <w:rPr>
          <w:rFonts w:ascii="Verdana" w:hAnsi="Verdana"/>
          <w:sz w:val="20"/>
        </w:rPr>
        <w:t>”</w:t>
      </w:r>
      <w:r w:rsidRPr="00CA4626">
        <w:rPr>
          <w:rFonts w:ascii="Verdana" w:hAnsi="Verdana"/>
          <w:sz w:val="20"/>
        </w:rPr>
        <w:t>. Así pues, la Comisión consideró que la gravedad y urgencia en estas medidas se mantienen en virtud de la visibilidad de los casos referidos</w:t>
      </w:r>
      <w:r w:rsidR="004750F2">
        <w:rPr>
          <w:rFonts w:ascii="Verdana" w:hAnsi="Verdana"/>
          <w:sz w:val="20"/>
        </w:rPr>
        <w:t>.</w:t>
      </w:r>
    </w:p>
    <w:p w:rsidR="00CA4626" w:rsidRDefault="00CA4626" w:rsidP="00CA4626">
      <w:pPr>
        <w:pStyle w:val="Prrafodelista"/>
        <w:rPr>
          <w:rFonts w:ascii="Verdana" w:hAnsi="Verdana"/>
          <w:sz w:val="20"/>
        </w:rPr>
      </w:pPr>
    </w:p>
    <w:p w:rsidR="00006044" w:rsidRDefault="00006044" w:rsidP="00CA4626">
      <w:pPr>
        <w:numPr>
          <w:ilvl w:val="0"/>
          <w:numId w:val="2"/>
        </w:numPr>
        <w:tabs>
          <w:tab w:val="clear" w:pos="720"/>
          <w:tab w:val="num" w:pos="0"/>
        </w:tabs>
        <w:ind w:left="0" w:firstLine="0"/>
        <w:jc w:val="both"/>
        <w:rPr>
          <w:rFonts w:ascii="Verdana" w:hAnsi="Verdana"/>
          <w:sz w:val="20"/>
        </w:rPr>
      </w:pPr>
      <w:r>
        <w:rPr>
          <w:rFonts w:ascii="Verdana" w:hAnsi="Verdana"/>
          <w:sz w:val="20"/>
        </w:rPr>
        <w:t xml:space="preserve">Respecto de los nuevos hechos en contra de los beneficiarios, la Comisión, entre otros, afirmó que: </w:t>
      </w:r>
    </w:p>
    <w:p w:rsidR="00006044" w:rsidRDefault="00006044" w:rsidP="00006044">
      <w:pPr>
        <w:pStyle w:val="ListParagraph"/>
        <w:ind w:left="0"/>
        <w:rPr>
          <w:rFonts w:ascii="Verdana" w:hAnsi="Verdana"/>
          <w:sz w:val="20"/>
        </w:rPr>
      </w:pPr>
    </w:p>
    <w:p w:rsidR="00006044" w:rsidRDefault="00161E39" w:rsidP="00006044">
      <w:pPr>
        <w:numPr>
          <w:ilvl w:val="1"/>
          <w:numId w:val="2"/>
        </w:numPr>
        <w:jc w:val="both"/>
        <w:rPr>
          <w:rFonts w:ascii="Verdana" w:hAnsi="Verdana"/>
          <w:sz w:val="20"/>
        </w:rPr>
      </w:pPr>
      <w:r>
        <w:rPr>
          <w:rFonts w:ascii="Verdana" w:hAnsi="Verdana"/>
          <w:sz w:val="20"/>
        </w:rPr>
        <w:t>observó</w:t>
      </w:r>
      <w:r w:rsidR="00006044">
        <w:rPr>
          <w:rFonts w:ascii="Verdana" w:hAnsi="Verdana"/>
          <w:sz w:val="20"/>
        </w:rPr>
        <w:t xml:space="preserve"> con preocupación la información respecto de la niña Ana Luz Prisciliano Fernández, en particular, </w:t>
      </w:r>
      <w:r>
        <w:rPr>
          <w:rFonts w:ascii="Verdana" w:hAnsi="Verdana"/>
          <w:sz w:val="20"/>
        </w:rPr>
        <w:t xml:space="preserve">de que sería </w:t>
      </w:r>
      <w:r w:rsidR="00006044">
        <w:rPr>
          <w:rFonts w:ascii="Verdana" w:hAnsi="Verdana"/>
          <w:sz w:val="20"/>
        </w:rPr>
        <w:t>necesario que se presenten formalmente las denuncias para la procuración de justicia sobre estos hechos y que el Estado condiciona a la iniciativa procesal de los beneficiarios la persecución de aquellos hechos especialmente relacionados con amenazas a su vida e integridad personal</w:t>
      </w:r>
      <w:r>
        <w:rPr>
          <w:rFonts w:ascii="Verdana" w:hAnsi="Verdana"/>
          <w:sz w:val="20"/>
        </w:rPr>
        <w:t>;</w:t>
      </w:r>
    </w:p>
    <w:p w:rsidR="00006044" w:rsidRDefault="00006044" w:rsidP="00006044">
      <w:pPr>
        <w:pStyle w:val="ListParagraph"/>
        <w:ind w:left="0"/>
        <w:rPr>
          <w:rFonts w:ascii="Verdana" w:hAnsi="Verdana"/>
          <w:sz w:val="20"/>
        </w:rPr>
      </w:pPr>
    </w:p>
    <w:p w:rsidR="00006044" w:rsidRPr="000F4006" w:rsidRDefault="00006044" w:rsidP="00006044">
      <w:pPr>
        <w:numPr>
          <w:ilvl w:val="1"/>
          <w:numId w:val="2"/>
        </w:numPr>
        <w:jc w:val="both"/>
        <w:rPr>
          <w:rFonts w:ascii="Verdana" w:hAnsi="Verdana"/>
          <w:sz w:val="20"/>
        </w:rPr>
      </w:pPr>
      <w:r>
        <w:rPr>
          <w:rFonts w:ascii="Verdana" w:hAnsi="Verdana"/>
          <w:sz w:val="20"/>
        </w:rPr>
        <w:t xml:space="preserve">el Estado ha cumplido parcialmente con las medidas de protección impuestas por la Corte. Sin embargo, </w:t>
      </w:r>
      <w:r w:rsidR="00161E39">
        <w:rPr>
          <w:rFonts w:ascii="Verdana" w:hAnsi="Verdana"/>
          <w:sz w:val="20"/>
        </w:rPr>
        <w:t xml:space="preserve">destacó </w:t>
      </w:r>
      <w:r>
        <w:rPr>
          <w:rFonts w:ascii="Verdana" w:hAnsi="Verdana"/>
          <w:sz w:val="20"/>
        </w:rPr>
        <w:t xml:space="preserve">la información respecto del aumento de amenazas y actos de hostigamiento en contra de los beneficiarios de las medidas, a pesar de la vigencia de las mismas. En este sentido, </w:t>
      </w:r>
      <w:r w:rsidR="00161E39">
        <w:rPr>
          <w:rFonts w:ascii="Verdana" w:hAnsi="Verdana"/>
          <w:sz w:val="20"/>
        </w:rPr>
        <w:t>“</w:t>
      </w:r>
      <w:proofErr w:type="spellStart"/>
      <w:r>
        <w:rPr>
          <w:rFonts w:ascii="Verdana" w:hAnsi="Verdana"/>
          <w:sz w:val="20"/>
        </w:rPr>
        <w:t>observ</w:t>
      </w:r>
      <w:proofErr w:type="spellEnd"/>
      <w:r>
        <w:rPr>
          <w:rFonts w:ascii="Verdana" w:hAnsi="Verdana"/>
          <w:sz w:val="20"/>
        </w:rPr>
        <w:t xml:space="preserve">[ó] con preocupación que la situación de riesgo en la que se encuentran los beneficiarios no esté siendo atendida de forma adecuada, y que la misma no se vea reducida, ni siquiera frente a las medidas de seguridad tomadas por iniciativa de los propios beneficiarios”; </w:t>
      </w:r>
    </w:p>
    <w:p w:rsidR="00006044" w:rsidRDefault="00006044" w:rsidP="00006044">
      <w:pPr>
        <w:jc w:val="both"/>
        <w:rPr>
          <w:rFonts w:ascii="Verdana" w:hAnsi="Verdana"/>
          <w:sz w:val="20"/>
        </w:rPr>
      </w:pPr>
    </w:p>
    <w:p w:rsidR="00006044" w:rsidRPr="000F4006" w:rsidRDefault="00006044" w:rsidP="00006044">
      <w:pPr>
        <w:numPr>
          <w:ilvl w:val="1"/>
          <w:numId w:val="2"/>
        </w:numPr>
        <w:jc w:val="both"/>
        <w:rPr>
          <w:rFonts w:ascii="Verdana" w:hAnsi="Verdana"/>
          <w:sz w:val="20"/>
        </w:rPr>
      </w:pPr>
      <w:r w:rsidRPr="000F4006">
        <w:rPr>
          <w:rFonts w:ascii="Verdana" w:hAnsi="Verdana"/>
          <w:sz w:val="20"/>
        </w:rPr>
        <w:t xml:space="preserve">la falta de implementación adecuada de las medidas de protección a la luz de las amenazas frecuentes contra los beneficiarios de las mismas, </w:t>
      </w:r>
      <w:r w:rsidR="00161E39">
        <w:rPr>
          <w:rFonts w:ascii="Verdana" w:hAnsi="Verdana"/>
          <w:sz w:val="20"/>
        </w:rPr>
        <w:t>“</w:t>
      </w:r>
      <w:r w:rsidRPr="000F4006">
        <w:rPr>
          <w:rFonts w:ascii="Verdana" w:hAnsi="Verdana"/>
          <w:sz w:val="20"/>
        </w:rPr>
        <w:t xml:space="preserve">hace indispensable y urgente que se adopten medidas concretas que cumplan con asegurar </w:t>
      </w:r>
      <w:r w:rsidR="00D859C2">
        <w:rPr>
          <w:rFonts w:ascii="Verdana" w:hAnsi="Verdana"/>
          <w:sz w:val="20"/>
        </w:rPr>
        <w:t xml:space="preserve">[la] </w:t>
      </w:r>
      <w:r w:rsidRPr="000F4006">
        <w:rPr>
          <w:rFonts w:ascii="Verdana" w:hAnsi="Verdana"/>
          <w:sz w:val="20"/>
        </w:rPr>
        <w:t>debida protección a favor de los beneficiarios</w:t>
      </w:r>
      <w:r>
        <w:rPr>
          <w:rFonts w:ascii="Verdana" w:hAnsi="Verdana"/>
          <w:sz w:val="20"/>
        </w:rPr>
        <w:t xml:space="preserve">”, y </w:t>
      </w:r>
    </w:p>
    <w:p w:rsidR="00006044" w:rsidRPr="00330A5A" w:rsidRDefault="00006044" w:rsidP="00006044">
      <w:pPr>
        <w:jc w:val="both"/>
        <w:rPr>
          <w:rFonts w:ascii="Verdana" w:hAnsi="Verdana"/>
          <w:sz w:val="20"/>
        </w:rPr>
      </w:pPr>
    </w:p>
    <w:p w:rsidR="00006044" w:rsidRPr="00330A5A" w:rsidRDefault="00006044" w:rsidP="00006044">
      <w:pPr>
        <w:numPr>
          <w:ilvl w:val="1"/>
          <w:numId w:val="2"/>
        </w:numPr>
        <w:jc w:val="both"/>
        <w:rPr>
          <w:rFonts w:ascii="Verdana" w:hAnsi="Verdana"/>
          <w:sz w:val="20"/>
          <w:szCs w:val="18"/>
          <w:lang w:bidi="ar-SA"/>
        </w:rPr>
      </w:pPr>
      <w:r w:rsidRPr="00330A5A">
        <w:rPr>
          <w:rFonts w:ascii="Verdana" w:hAnsi="Verdana"/>
          <w:sz w:val="20"/>
        </w:rPr>
        <w:t xml:space="preserve">algunas </w:t>
      </w:r>
      <w:r w:rsidRPr="00330A5A">
        <w:rPr>
          <w:rFonts w:ascii="Verdana" w:hAnsi="Verdana"/>
          <w:sz w:val="20"/>
          <w:szCs w:val="18"/>
          <w:lang w:bidi="ar-SA"/>
        </w:rPr>
        <w:t xml:space="preserve">amenazas contra los beneficiarios “hicieron expresa mención de los casos que los beneficiarios defienden a nivel nacional e interamericano”. </w:t>
      </w:r>
    </w:p>
    <w:p w:rsidR="00006044" w:rsidRDefault="00006044" w:rsidP="00006044">
      <w:pPr>
        <w:jc w:val="both"/>
        <w:rPr>
          <w:rFonts w:ascii="Verdana" w:hAnsi="Verdana"/>
          <w:sz w:val="20"/>
        </w:rPr>
      </w:pPr>
    </w:p>
    <w:p w:rsidR="00B34B78" w:rsidRDefault="00006044" w:rsidP="00B34B78">
      <w:pPr>
        <w:numPr>
          <w:ilvl w:val="0"/>
          <w:numId w:val="2"/>
        </w:numPr>
        <w:tabs>
          <w:tab w:val="clear" w:pos="720"/>
          <w:tab w:val="num" w:pos="0"/>
        </w:tabs>
        <w:ind w:left="0" w:firstLine="0"/>
        <w:jc w:val="both"/>
      </w:pPr>
      <w:r>
        <w:rPr>
          <w:rFonts w:ascii="Verdana" w:hAnsi="Verdana"/>
          <w:sz w:val="20"/>
        </w:rPr>
        <w:t xml:space="preserve">De la información aportada por las partes el Tribunal </w:t>
      </w:r>
      <w:r w:rsidR="00D859C2">
        <w:rPr>
          <w:rFonts w:ascii="Verdana" w:hAnsi="Verdana"/>
          <w:sz w:val="20"/>
        </w:rPr>
        <w:t>observa</w:t>
      </w:r>
      <w:r>
        <w:rPr>
          <w:rFonts w:ascii="Verdana" w:hAnsi="Verdana"/>
          <w:sz w:val="20"/>
        </w:rPr>
        <w:t xml:space="preserve"> que, </w:t>
      </w:r>
      <w:r w:rsidR="007814FA">
        <w:rPr>
          <w:rFonts w:ascii="Verdana" w:hAnsi="Verdana"/>
          <w:sz w:val="20"/>
        </w:rPr>
        <w:t xml:space="preserve">no obstante las medidas </w:t>
      </w:r>
      <w:r w:rsidR="002846CB">
        <w:rPr>
          <w:rFonts w:ascii="Verdana" w:hAnsi="Verdana"/>
          <w:sz w:val="20"/>
        </w:rPr>
        <w:t>dispuestas</w:t>
      </w:r>
      <w:r w:rsidR="007814FA">
        <w:rPr>
          <w:rFonts w:ascii="Verdana" w:hAnsi="Verdana"/>
          <w:sz w:val="20"/>
        </w:rPr>
        <w:t xml:space="preserve"> </w:t>
      </w:r>
      <w:r>
        <w:rPr>
          <w:rFonts w:ascii="Verdana" w:hAnsi="Verdana"/>
          <w:sz w:val="20"/>
        </w:rPr>
        <w:t>desde la adopción de la Resolución de 30 de abril de 2009, se han informado sobre varios incidentes de hostigamiento, amenazas o actos de violencia en contra de algunos beneficiarios (</w:t>
      </w:r>
      <w:r>
        <w:rPr>
          <w:rFonts w:ascii="Verdana" w:hAnsi="Verdana"/>
          <w:i/>
          <w:sz w:val="20"/>
        </w:rPr>
        <w:t xml:space="preserve">supra </w:t>
      </w:r>
      <w:r w:rsidR="00161E39">
        <w:rPr>
          <w:rFonts w:ascii="Verdana" w:hAnsi="Verdana"/>
          <w:sz w:val="20"/>
        </w:rPr>
        <w:t>Considerandos 1</w:t>
      </w:r>
      <w:r w:rsidR="00C6442C">
        <w:rPr>
          <w:rFonts w:ascii="Verdana" w:hAnsi="Verdana"/>
          <w:sz w:val="20"/>
        </w:rPr>
        <w:t>6</w:t>
      </w:r>
      <w:r>
        <w:rPr>
          <w:rFonts w:ascii="Verdana" w:hAnsi="Verdana"/>
          <w:sz w:val="20"/>
        </w:rPr>
        <w:t xml:space="preserve"> y </w:t>
      </w:r>
      <w:r w:rsidR="00C6442C">
        <w:rPr>
          <w:rFonts w:ascii="Verdana" w:hAnsi="Verdana"/>
          <w:sz w:val="20"/>
        </w:rPr>
        <w:t>19</w:t>
      </w:r>
      <w:r>
        <w:rPr>
          <w:rFonts w:ascii="Verdana" w:hAnsi="Verdana"/>
          <w:sz w:val="20"/>
        </w:rPr>
        <w:t xml:space="preserve">). Ante ello, la Corte reitera que el Estado debe brindar a los beneficiarios la debida protección a su </w:t>
      </w:r>
      <w:r>
        <w:rPr>
          <w:rFonts w:ascii="Verdana" w:hAnsi="Verdana"/>
          <w:sz w:val="20"/>
        </w:rPr>
        <w:lastRenderedPageBreak/>
        <w:t xml:space="preserve">integridad personal, de conformidad con lo ordenado mediante las presentes medidas provisionales y lo acordado con los representantes. </w:t>
      </w:r>
    </w:p>
    <w:p w:rsidR="00B34B78" w:rsidRDefault="00B34B78" w:rsidP="00B34B78">
      <w:pPr>
        <w:jc w:val="both"/>
      </w:pPr>
    </w:p>
    <w:p w:rsidR="00B34B78" w:rsidRPr="00B34B78" w:rsidRDefault="00556D33" w:rsidP="00B34B78">
      <w:pPr>
        <w:numPr>
          <w:ilvl w:val="0"/>
          <w:numId w:val="2"/>
        </w:numPr>
        <w:tabs>
          <w:tab w:val="clear" w:pos="720"/>
          <w:tab w:val="num" w:pos="0"/>
        </w:tabs>
        <w:ind w:left="0" w:firstLine="0"/>
        <w:jc w:val="both"/>
      </w:pPr>
      <w:r>
        <w:rPr>
          <w:rFonts w:ascii="Verdana" w:eastAsia="Times New Roman" w:hAnsi="Verdana" w:cs="Verdana"/>
          <w:sz w:val="20"/>
          <w:lang w:val="es-ES"/>
        </w:rPr>
        <w:t>D</w:t>
      </w:r>
      <w:r w:rsidR="00D859C2">
        <w:rPr>
          <w:rFonts w:ascii="Verdana" w:eastAsia="Times New Roman" w:hAnsi="Verdana" w:cs="Verdana"/>
          <w:sz w:val="20"/>
          <w:lang w:val="es-ES"/>
        </w:rPr>
        <w:t xml:space="preserve">e la información aportada </w:t>
      </w:r>
      <w:r w:rsidR="007814FA" w:rsidRPr="00B34B78">
        <w:rPr>
          <w:rFonts w:ascii="Verdana" w:eastAsia="Times New Roman" w:hAnsi="Verdana" w:cs="Verdana"/>
          <w:sz w:val="20"/>
          <w:lang w:val="es-ES"/>
        </w:rPr>
        <w:t xml:space="preserve">no se desprende que </w:t>
      </w:r>
      <w:r w:rsidR="007A5125" w:rsidRPr="00B34B78">
        <w:rPr>
          <w:rFonts w:ascii="Verdana" w:eastAsia="Times New Roman" w:hAnsi="Verdana" w:cs="Verdana"/>
          <w:sz w:val="20"/>
          <w:lang w:val="es-ES"/>
        </w:rPr>
        <w:t xml:space="preserve">todos los hechos informados </w:t>
      </w:r>
      <w:r w:rsidR="007814FA" w:rsidRPr="00B34B78">
        <w:rPr>
          <w:rFonts w:ascii="Verdana" w:eastAsia="Times New Roman" w:hAnsi="Verdana" w:cs="Verdana"/>
          <w:sz w:val="20"/>
          <w:lang w:val="es-ES"/>
        </w:rPr>
        <w:t xml:space="preserve">por los representantes tengan vinculación con los hechos del caso contencioso </w:t>
      </w:r>
      <w:r w:rsidR="007814FA" w:rsidRPr="00095DC0">
        <w:rPr>
          <w:rFonts w:ascii="Verdana" w:eastAsia="Times New Roman" w:hAnsi="Verdana" w:cs="Verdana"/>
          <w:i/>
          <w:sz w:val="20"/>
          <w:lang w:val="es-ES"/>
        </w:rPr>
        <w:t>Fernández Ortega y otros</w:t>
      </w:r>
      <w:r w:rsidR="007814FA" w:rsidRPr="00B34B78">
        <w:rPr>
          <w:rFonts w:ascii="Verdana" w:eastAsia="Times New Roman" w:hAnsi="Verdana" w:cs="Verdana"/>
          <w:sz w:val="20"/>
          <w:lang w:val="es-ES"/>
        </w:rPr>
        <w:t xml:space="preserve">, </w:t>
      </w:r>
      <w:r w:rsidR="007814FA" w:rsidRPr="00556D33">
        <w:rPr>
          <w:rFonts w:ascii="Verdana" w:eastAsia="Times New Roman" w:hAnsi="Verdana" w:cs="Verdana"/>
          <w:sz w:val="20"/>
          <w:lang w:val="es-ES"/>
        </w:rPr>
        <w:t>ni con los eventos que justificaron, oportunamente, la adopción de las medidas provisionales.</w:t>
      </w:r>
      <w:r w:rsidR="007814FA" w:rsidRPr="00B34B78">
        <w:rPr>
          <w:rFonts w:ascii="Verdana" w:eastAsia="Times New Roman" w:hAnsi="Verdana" w:cs="Verdana"/>
          <w:sz w:val="20"/>
          <w:lang w:val="es-ES"/>
        </w:rPr>
        <w:t xml:space="preserve"> </w:t>
      </w:r>
      <w:r>
        <w:rPr>
          <w:rFonts w:ascii="Verdana" w:eastAsia="Times New Roman" w:hAnsi="Verdana" w:cs="Verdana"/>
          <w:sz w:val="20"/>
          <w:lang w:val="es-ES"/>
        </w:rPr>
        <w:t>Por su parte</w:t>
      </w:r>
      <w:r w:rsidR="007A5125" w:rsidRPr="00B34B78">
        <w:rPr>
          <w:rFonts w:ascii="Verdana" w:eastAsia="Times New Roman" w:hAnsi="Verdana" w:cs="Verdana"/>
          <w:sz w:val="20"/>
          <w:lang w:val="es-ES"/>
        </w:rPr>
        <w:t xml:space="preserve">, el Estado ha informado que inició averiguaciones previas sobre todas las denuncias realizadas a nivel interno, de manera que existen procedimientos abiertos para su investigación. </w:t>
      </w:r>
      <w:r w:rsidR="00E95BB2" w:rsidRPr="00B34B78">
        <w:rPr>
          <w:rFonts w:ascii="Verdana" w:hAnsi="Verdana"/>
          <w:sz w:val="20"/>
          <w:lang w:val="es-ES"/>
        </w:rPr>
        <w:t>Por otro lado, algunos de l</w:t>
      </w:r>
      <w:r w:rsidR="00006044" w:rsidRPr="00B34B78">
        <w:rPr>
          <w:rFonts w:ascii="Verdana" w:hAnsi="Verdana"/>
          <w:sz w:val="20"/>
        </w:rPr>
        <w:t xml:space="preserve">os hechos de hostigamiento, violencia y amenazas sucedidos en contra de algunos beneficiarios de las medidas provisionales evidencian la persistencia de la situación de extrema gravedad y urgencia </w:t>
      </w:r>
      <w:r w:rsidR="00D859C2">
        <w:rPr>
          <w:rFonts w:ascii="Verdana" w:hAnsi="Verdana"/>
          <w:sz w:val="20"/>
        </w:rPr>
        <w:t>con</w:t>
      </w:r>
      <w:r w:rsidR="00006044" w:rsidRPr="00B34B78">
        <w:rPr>
          <w:rFonts w:ascii="Verdana" w:hAnsi="Verdana"/>
          <w:sz w:val="20"/>
        </w:rPr>
        <w:t xml:space="preserve"> relación a ellos, y representan una situación de riesgo inminente para su vida e integridad personal. </w:t>
      </w:r>
    </w:p>
    <w:p w:rsidR="00B34B78" w:rsidRDefault="00B34B78" w:rsidP="00B34B78">
      <w:pPr>
        <w:pStyle w:val="Prrafodelista"/>
        <w:rPr>
          <w:rFonts w:ascii="Verdana" w:hAnsi="Verdana"/>
          <w:sz w:val="20"/>
        </w:rPr>
      </w:pPr>
    </w:p>
    <w:p w:rsidR="00B34B78" w:rsidRPr="002E6A9A" w:rsidRDefault="00803103" w:rsidP="00B34B78">
      <w:pPr>
        <w:numPr>
          <w:ilvl w:val="0"/>
          <w:numId w:val="2"/>
        </w:numPr>
        <w:tabs>
          <w:tab w:val="clear" w:pos="720"/>
          <w:tab w:val="num" w:pos="0"/>
        </w:tabs>
        <w:ind w:left="0" w:firstLine="0"/>
        <w:jc w:val="both"/>
      </w:pPr>
      <w:r w:rsidRPr="00556D33">
        <w:rPr>
          <w:rFonts w:ascii="Verdana" w:hAnsi="Verdana"/>
          <w:sz w:val="20"/>
        </w:rPr>
        <w:t xml:space="preserve">Respecto de la familia de </w:t>
      </w:r>
      <w:r w:rsidR="00556D33" w:rsidRPr="00556D33">
        <w:rPr>
          <w:rFonts w:ascii="Verdana" w:hAnsi="Verdana"/>
          <w:sz w:val="20"/>
        </w:rPr>
        <w:t>Inés</w:t>
      </w:r>
      <w:r w:rsidRPr="00556D33">
        <w:rPr>
          <w:rFonts w:ascii="Verdana" w:hAnsi="Verdana"/>
          <w:sz w:val="20"/>
        </w:rPr>
        <w:t xml:space="preserve"> Fernández Ortega, </w:t>
      </w:r>
      <w:r w:rsidR="00556D33" w:rsidRPr="00556D33">
        <w:rPr>
          <w:rFonts w:ascii="Verdana" w:hAnsi="Verdana"/>
          <w:sz w:val="20"/>
        </w:rPr>
        <w:t xml:space="preserve">ocurrieron </w:t>
      </w:r>
      <w:r w:rsidRPr="00556D33">
        <w:rPr>
          <w:rFonts w:ascii="Verdana" w:hAnsi="Verdana"/>
          <w:sz w:val="20"/>
        </w:rPr>
        <w:t>diversos incidentes en</w:t>
      </w:r>
      <w:r w:rsidR="00556D33" w:rsidRPr="00556D33">
        <w:rPr>
          <w:rFonts w:ascii="Verdana" w:hAnsi="Verdana"/>
          <w:sz w:val="20"/>
        </w:rPr>
        <w:t>tre</w:t>
      </w:r>
      <w:r w:rsidRPr="00556D33">
        <w:rPr>
          <w:rFonts w:ascii="Verdana" w:hAnsi="Verdana"/>
          <w:sz w:val="20"/>
        </w:rPr>
        <w:t xml:space="preserve"> los años 2009 y 2010</w:t>
      </w:r>
      <w:r w:rsidR="0065763B" w:rsidRPr="00556D33">
        <w:rPr>
          <w:rFonts w:ascii="Verdana" w:hAnsi="Verdana"/>
          <w:sz w:val="20"/>
        </w:rPr>
        <w:t xml:space="preserve"> </w:t>
      </w:r>
      <w:r w:rsidR="00556D33" w:rsidRPr="00556D33">
        <w:rPr>
          <w:rFonts w:ascii="Verdana" w:hAnsi="Verdana"/>
          <w:sz w:val="20"/>
        </w:rPr>
        <w:t>que, entre otros,</w:t>
      </w:r>
      <w:r w:rsidR="0065763B" w:rsidRPr="00556D33">
        <w:rPr>
          <w:rFonts w:ascii="Verdana" w:hAnsi="Verdana"/>
          <w:sz w:val="20"/>
        </w:rPr>
        <w:t xml:space="preserve"> </w:t>
      </w:r>
      <w:r w:rsidR="00556D33" w:rsidRPr="00556D33">
        <w:rPr>
          <w:rFonts w:ascii="Verdana" w:hAnsi="Verdana"/>
          <w:sz w:val="20"/>
        </w:rPr>
        <w:t xml:space="preserve">se dirigieron </w:t>
      </w:r>
      <w:r w:rsidR="0065763B" w:rsidRPr="00556D33">
        <w:rPr>
          <w:rFonts w:ascii="Verdana" w:hAnsi="Verdana"/>
          <w:sz w:val="20"/>
        </w:rPr>
        <w:t xml:space="preserve">contra de </w:t>
      </w:r>
      <w:r w:rsidRPr="00556D33">
        <w:rPr>
          <w:rFonts w:ascii="Verdana" w:hAnsi="Verdana"/>
          <w:sz w:val="20"/>
        </w:rPr>
        <w:t>sus hijas menores de edad</w:t>
      </w:r>
      <w:r w:rsidR="00756280" w:rsidRPr="00556D33">
        <w:rPr>
          <w:rFonts w:ascii="Verdana" w:hAnsi="Verdana"/>
          <w:sz w:val="20"/>
        </w:rPr>
        <w:t xml:space="preserve"> (</w:t>
      </w:r>
      <w:r w:rsidR="00756280" w:rsidRPr="00556D33">
        <w:rPr>
          <w:rFonts w:ascii="Verdana" w:hAnsi="Verdana"/>
          <w:i/>
          <w:sz w:val="20"/>
        </w:rPr>
        <w:t xml:space="preserve">supra </w:t>
      </w:r>
      <w:r w:rsidR="00756280" w:rsidRPr="00556D33">
        <w:rPr>
          <w:rFonts w:ascii="Verdana" w:hAnsi="Verdana"/>
          <w:sz w:val="20"/>
        </w:rPr>
        <w:t xml:space="preserve">Considerandos </w:t>
      </w:r>
      <w:r w:rsidR="00161E39">
        <w:rPr>
          <w:rFonts w:ascii="Verdana" w:hAnsi="Verdana"/>
          <w:sz w:val="20"/>
        </w:rPr>
        <w:t>1</w:t>
      </w:r>
      <w:r w:rsidR="00C6442C">
        <w:rPr>
          <w:rFonts w:ascii="Verdana" w:hAnsi="Verdana"/>
          <w:sz w:val="20"/>
        </w:rPr>
        <w:t>6</w:t>
      </w:r>
      <w:r w:rsidR="00756280" w:rsidRPr="00556D33">
        <w:rPr>
          <w:rFonts w:ascii="Verdana" w:hAnsi="Verdana"/>
          <w:sz w:val="20"/>
        </w:rPr>
        <w:t xml:space="preserve"> y </w:t>
      </w:r>
      <w:r w:rsidR="00C6442C">
        <w:rPr>
          <w:rFonts w:ascii="Verdana" w:hAnsi="Verdana"/>
          <w:sz w:val="20"/>
        </w:rPr>
        <w:t>19</w:t>
      </w:r>
      <w:r w:rsidR="00756280" w:rsidRPr="00556D33">
        <w:rPr>
          <w:rFonts w:ascii="Verdana" w:hAnsi="Verdana"/>
          <w:sz w:val="20"/>
        </w:rPr>
        <w:t>)</w:t>
      </w:r>
      <w:r w:rsidRPr="00556D33">
        <w:rPr>
          <w:rFonts w:ascii="Verdana" w:hAnsi="Verdana"/>
          <w:sz w:val="20"/>
        </w:rPr>
        <w:t>.</w:t>
      </w:r>
      <w:r w:rsidR="0065763B" w:rsidRPr="00556D33">
        <w:rPr>
          <w:rFonts w:ascii="Verdana" w:hAnsi="Verdana"/>
          <w:sz w:val="20"/>
        </w:rPr>
        <w:t xml:space="preserve"> Asimismo, los beneficiarios </w:t>
      </w:r>
      <w:proofErr w:type="spellStart"/>
      <w:r w:rsidR="0065763B" w:rsidRPr="00556D33">
        <w:rPr>
          <w:rFonts w:ascii="Verdana" w:hAnsi="Verdana"/>
          <w:sz w:val="20"/>
        </w:rPr>
        <w:t>Obtilia</w:t>
      </w:r>
      <w:proofErr w:type="spellEnd"/>
      <w:r w:rsidR="0065763B" w:rsidRPr="00556D33">
        <w:rPr>
          <w:rFonts w:ascii="Verdana" w:hAnsi="Verdana"/>
          <w:sz w:val="20"/>
        </w:rPr>
        <w:t xml:space="preserve"> Eugenio Manuel y </w:t>
      </w:r>
      <w:proofErr w:type="spellStart"/>
      <w:r w:rsidR="0065763B" w:rsidRPr="00556D33">
        <w:rPr>
          <w:rFonts w:ascii="Verdana" w:hAnsi="Verdana"/>
          <w:sz w:val="20"/>
        </w:rPr>
        <w:t>Cuauht</w:t>
      </w:r>
      <w:r w:rsidR="00B34B78" w:rsidRPr="00556D33">
        <w:rPr>
          <w:rFonts w:ascii="Verdana" w:hAnsi="Verdana"/>
          <w:sz w:val="20"/>
        </w:rPr>
        <w:t>e</w:t>
      </w:r>
      <w:r w:rsidR="0065763B" w:rsidRPr="00556D33">
        <w:rPr>
          <w:rFonts w:ascii="Verdana" w:hAnsi="Verdana"/>
          <w:sz w:val="20"/>
        </w:rPr>
        <w:t>móc</w:t>
      </w:r>
      <w:proofErr w:type="spellEnd"/>
      <w:r w:rsidR="0065763B" w:rsidRPr="00556D33">
        <w:rPr>
          <w:rFonts w:ascii="Verdana" w:hAnsi="Verdana"/>
          <w:sz w:val="20"/>
        </w:rPr>
        <w:t xml:space="preserve"> Ramírez Rodríguez recibieron amenazas tanto en el estado de Guerrero como en </w:t>
      </w:r>
      <w:r w:rsidR="00556D33" w:rsidRPr="00556D33">
        <w:rPr>
          <w:rFonts w:ascii="Verdana" w:hAnsi="Verdana"/>
          <w:sz w:val="20"/>
        </w:rPr>
        <w:t>una</w:t>
      </w:r>
      <w:r w:rsidR="00594B7C" w:rsidRPr="00556D33">
        <w:rPr>
          <w:rFonts w:ascii="Verdana" w:hAnsi="Verdana"/>
          <w:sz w:val="20"/>
        </w:rPr>
        <w:t xml:space="preserve"> residencia temporal en otro </w:t>
      </w:r>
      <w:r w:rsidR="00556D33" w:rsidRPr="00556D33">
        <w:rPr>
          <w:rFonts w:ascii="Verdana" w:hAnsi="Verdana"/>
          <w:sz w:val="20"/>
        </w:rPr>
        <w:t>e</w:t>
      </w:r>
      <w:r w:rsidR="00594B7C" w:rsidRPr="00556D33">
        <w:rPr>
          <w:rFonts w:ascii="Verdana" w:hAnsi="Verdana"/>
          <w:sz w:val="20"/>
        </w:rPr>
        <w:t>stado</w:t>
      </w:r>
      <w:r w:rsidR="0065763B" w:rsidRPr="00556D33">
        <w:rPr>
          <w:rFonts w:ascii="Verdana" w:hAnsi="Verdana"/>
          <w:sz w:val="20"/>
        </w:rPr>
        <w:t xml:space="preserve">, </w:t>
      </w:r>
      <w:r w:rsidR="00556D33" w:rsidRPr="00556D33">
        <w:rPr>
          <w:rFonts w:ascii="Verdana" w:hAnsi="Verdana"/>
          <w:sz w:val="20"/>
        </w:rPr>
        <w:t>a</w:t>
      </w:r>
      <w:r w:rsidR="0065763B" w:rsidRPr="00556D33">
        <w:rPr>
          <w:rFonts w:ascii="Verdana" w:hAnsi="Verdana"/>
          <w:sz w:val="20"/>
        </w:rPr>
        <w:t>donde se habían mudado para resguardar su seguridad</w:t>
      </w:r>
      <w:r w:rsidR="00756280" w:rsidRPr="00556D33">
        <w:rPr>
          <w:rFonts w:ascii="Verdana" w:hAnsi="Verdana"/>
          <w:sz w:val="20"/>
        </w:rPr>
        <w:t xml:space="preserve"> (</w:t>
      </w:r>
      <w:r w:rsidR="00756280" w:rsidRPr="00556D33">
        <w:rPr>
          <w:rFonts w:ascii="Verdana" w:hAnsi="Verdana"/>
          <w:i/>
          <w:sz w:val="20"/>
        </w:rPr>
        <w:t xml:space="preserve">supra </w:t>
      </w:r>
      <w:r w:rsidR="00756280" w:rsidRPr="00556D33">
        <w:rPr>
          <w:rFonts w:ascii="Verdana" w:hAnsi="Verdana"/>
          <w:sz w:val="20"/>
        </w:rPr>
        <w:t xml:space="preserve">Considerandos </w:t>
      </w:r>
      <w:r w:rsidR="00161E39" w:rsidRPr="002E6A9A">
        <w:rPr>
          <w:rFonts w:ascii="Verdana" w:hAnsi="Verdana"/>
          <w:sz w:val="20"/>
        </w:rPr>
        <w:t>1</w:t>
      </w:r>
      <w:r w:rsidR="00C6442C">
        <w:rPr>
          <w:rFonts w:ascii="Verdana" w:hAnsi="Verdana"/>
          <w:sz w:val="20"/>
        </w:rPr>
        <w:t>6</w:t>
      </w:r>
      <w:r w:rsidR="00161E39" w:rsidRPr="002E6A9A">
        <w:rPr>
          <w:rFonts w:ascii="Verdana" w:hAnsi="Verdana"/>
          <w:sz w:val="20"/>
        </w:rPr>
        <w:t xml:space="preserve"> c, j, n y q</w:t>
      </w:r>
      <w:r w:rsidR="00756280" w:rsidRPr="002E6A9A">
        <w:rPr>
          <w:rFonts w:ascii="Verdana" w:hAnsi="Verdana"/>
          <w:sz w:val="20"/>
        </w:rPr>
        <w:t>)</w:t>
      </w:r>
      <w:r w:rsidR="0065763B" w:rsidRPr="002E6A9A">
        <w:rPr>
          <w:rFonts w:ascii="Verdana" w:hAnsi="Verdana"/>
          <w:sz w:val="20"/>
        </w:rPr>
        <w:t xml:space="preserve">. </w:t>
      </w:r>
      <w:r w:rsidR="00BE680E" w:rsidRPr="002E6A9A">
        <w:rPr>
          <w:rFonts w:ascii="Verdana" w:hAnsi="Verdana"/>
          <w:sz w:val="20"/>
        </w:rPr>
        <w:t xml:space="preserve">Dichas amenazas se </w:t>
      </w:r>
      <w:r w:rsidR="00556D33" w:rsidRPr="002E6A9A">
        <w:rPr>
          <w:rFonts w:ascii="Verdana" w:hAnsi="Verdana"/>
          <w:sz w:val="20"/>
        </w:rPr>
        <w:t xml:space="preserve">vincularon </w:t>
      </w:r>
      <w:r w:rsidR="00BE680E" w:rsidRPr="002E6A9A">
        <w:rPr>
          <w:rFonts w:ascii="Verdana" w:hAnsi="Verdana"/>
          <w:sz w:val="20"/>
        </w:rPr>
        <w:t xml:space="preserve">a su trabajo en relación con </w:t>
      </w:r>
      <w:r w:rsidR="00556D33" w:rsidRPr="002E6A9A">
        <w:rPr>
          <w:rFonts w:ascii="Verdana" w:hAnsi="Verdana"/>
          <w:sz w:val="20"/>
        </w:rPr>
        <w:t>e</w:t>
      </w:r>
      <w:r w:rsidR="00286DD4" w:rsidRPr="002E6A9A">
        <w:rPr>
          <w:rFonts w:ascii="Verdana" w:hAnsi="Verdana"/>
          <w:sz w:val="20"/>
        </w:rPr>
        <w:t xml:space="preserve">l </w:t>
      </w:r>
      <w:r w:rsidR="00BE680E" w:rsidRPr="002E6A9A">
        <w:rPr>
          <w:rFonts w:ascii="Verdana" w:hAnsi="Verdana"/>
          <w:sz w:val="20"/>
        </w:rPr>
        <w:t xml:space="preserve">caso </w:t>
      </w:r>
      <w:r w:rsidR="00BE680E" w:rsidRPr="002E6A9A">
        <w:rPr>
          <w:rFonts w:ascii="Verdana" w:hAnsi="Verdana"/>
          <w:i/>
          <w:sz w:val="20"/>
        </w:rPr>
        <w:t>Fernández Ortega</w:t>
      </w:r>
      <w:r w:rsidR="00B34B78" w:rsidRPr="002E6A9A">
        <w:rPr>
          <w:rFonts w:ascii="Verdana" w:hAnsi="Verdana"/>
          <w:sz w:val="20"/>
        </w:rPr>
        <w:t>.</w:t>
      </w:r>
      <w:r w:rsidR="00556D33" w:rsidRPr="002E6A9A">
        <w:rPr>
          <w:rFonts w:ascii="Verdana" w:hAnsi="Verdana"/>
          <w:sz w:val="20"/>
        </w:rPr>
        <w:t xml:space="preserve"> De igual modo, </w:t>
      </w:r>
      <w:r w:rsidR="00BE680E" w:rsidRPr="002E6A9A">
        <w:rPr>
          <w:rFonts w:ascii="Verdana" w:hAnsi="Verdana"/>
          <w:sz w:val="20"/>
        </w:rPr>
        <w:t xml:space="preserve">el beneficiario Abel Barrera, director de la organización </w:t>
      </w:r>
      <w:proofErr w:type="spellStart"/>
      <w:r w:rsidR="00BE680E" w:rsidRPr="002E6A9A">
        <w:rPr>
          <w:rFonts w:ascii="Verdana" w:hAnsi="Verdana"/>
          <w:sz w:val="20"/>
        </w:rPr>
        <w:t>Tlachinollan</w:t>
      </w:r>
      <w:proofErr w:type="spellEnd"/>
      <w:r w:rsidR="00BE680E" w:rsidRPr="002E6A9A">
        <w:rPr>
          <w:rFonts w:ascii="Verdana" w:hAnsi="Verdana"/>
          <w:sz w:val="20"/>
        </w:rPr>
        <w:t xml:space="preserve">, recibió amenazas </w:t>
      </w:r>
      <w:r w:rsidR="000F1317" w:rsidRPr="002E6A9A">
        <w:rPr>
          <w:rFonts w:ascii="Verdana" w:hAnsi="Verdana"/>
          <w:sz w:val="20"/>
        </w:rPr>
        <w:t xml:space="preserve">en los años 2009 y 2011. Dichas amenazas </w:t>
      </w:r>
      <w:r w:rsidR="00556D33" w:rsidRPr="002E6A9A">
        <w:rPr>
          <w:rFonts w:ascii="Verdana" w:hAnsi="Verdana"/>
          <w:sz w:val="20"/>
        </w:rPr>
        <w:t>hacían</w:t>
      </w:r>
      <w:r w:rsidR="000F1317" w:rsidRPr="002E6A9A">
        <w:rPr>
          <w:rFonts w:ascii="Verdana" w:hAnsi="Verdana"/>
          <w:sz w:val="20"/>
        </w:rPr>
        <w:t xml:space="preserve"> referencia al trabajo de su organización</w:t>
      </w:r>
      <w:r w:rsidR="00556D33" w:rsidRPr="002E6A9A">
        <w:rPr>
          <w:rFonts w:ascii="Verdana" w:hAnsi="Verdana"/>
          <w:sz w:val="20"/>
        </w:rPr>
        <w:t xml:space="preserve"> y al caso contencioso indicado </w:t>
      </w:r>
      <w:r w:rsidR="000F1317" w:rsidRPr="002E6A9A">
        <w:rPr>
          <w:rFonts w:ascii="Verdana" w:hAnsi="Verdana"/>
          <w:sz w:val="20"/>
        </w:rPr>
        <w:t>(</w:t>
      </w:r>
      <w:r w:rsidR="000F1317" w:rsidRPr="002E6A9A">
        <w:rPr>
          <w:rFonts w:ascii="Verdana" w:hAnsi="Verdana"/>
          <w:i/>
          <w:sz w:val="20"/>
        </w:rPr>
        <w:t xml:space="preserve">supra </w:t>
      </w:r>
      <w:r w:rsidR="000F1317" w:rsidRPr="002E6A9A">
        <w:rPr>
          <w:rFonts w:ascii="Verdana" w:hAnsi="Verdana"/>
          <w:sz w:val="20"/>
        </w:rPr>
        <w:t xml:space="preserve">Considerandos </w:t>
      </w:r>
      <w:r w:rsidR="00FB4588" w:rsidRPr="002E6A9A">
        <w:rPr>
          <w:rFonts w:ascii="Verdana" w:hAnsi="Verdana"/>
          <w:sz w:val="20"/>
        </w:rPr>
        <w:t>1</w:t>
      </w:r>
      <w:r w:rsidR="00C6442C">
        <w:rPr>
          <w:rFonts w:ascii="Verdana" w:hAnsi="Verdana"/>
          <w:sz w:val="20"/>
        </w:rPr>
        <w:t>6</w:t>
      </w:r>
      <w:r w:rsidR="00FB4588" w:rsidRPr="002E6A9A">
        <w:rPr>
          <w:rFonts w:ascii="Verdana" w:hAnsi="Verdana"/>
          <w:sz w:val="20"/>
        </w:rPr>
        <w:t xml:space="preserve"> h, y o</w:t>
      </w:r>
      <w:r w:rsidR="00B34B78" w:rsidRPr="002E6A9A">
        <w:rPr>
          <w:rFonts w:ascii="Verdana" w:hAnsi="Verdana"/>
          <w:sz w:val="20"/>
        </w:rPr>
        <w:t>).</w:t>
      </w:r>
      <w:r w:rsidR="00680802" w:rsidRPr="002E6A9A">
        <w:rPr>
          <w:rFonts w:ascii="Verdana" w:hAnsi="Verdana"/>
          <w:sz w:val="20"/>
        </w:rPr>
        <w:t xml:space="preserve"> Asimismo, otros integrantes de dicha organización </w:t>
      </w:r>
      <w:r w:rsidR="00556D33" w:rsidRPr="002E6A9A">
        <w:rPr>
          <w:rFonts w:ascii="Verdana" w:hAnsi="Verdana"/>
          <w:sz w:val="20"/>
        </w:rPr>
        <w:t>observaron</w:t>
      </w:r>
      <w:r w:rsidR="00680802" w:rsidRPr="002E6A9A">
        <w:rPr>
          <w:rFonts w:ascii="Verdana" w:hAnsi="Verdana"/>
          <w:sz w:val="20"/>
        </w:rPr>
        <w:t xml:space="preserve"> actos de hostigamiento o amenazas mientras se encontraban </w:t>
      </w:r>
      <w:r w:rsidR="00556D33" w:rsidRPr="002E6A9A">
        <w:rPr>
          <w:rFonts w:ascii="Verdana" w:hAnsi="Verdana"/>
          <w:sz w:val="20"/>
        </w:rPr>
        <w:t xml:space="preserve">en </w:t>
      </w:r>
      <w:r w:rsidR="00680802" w:rsidRPr="002E6A9A">
        <w:rPr>
          <w:rFonts w:ascii="Verdana" w:hAnsi="Verdana"/>
          <w:sz w:val="20"/>
        </w:rPr>
        <w:t>su oficina (</w:t>
      </w:r>
      <w:r w:rsidR="00680802" w:rsidRPr="002E6A9A">
        <w:rPr>
          <w:rFonts w:ascii="Verdana" w:hAnsi="Verdana"/>
          <w:i/>
          <w:sz w:val="20"/>
        </w:rPr>
        <w:t xml:space="preserve">supra </w:t>
      </w:r>
      <w:r w:rsidR="00680802" w:rsidRPr="002E6A9A">
        <w:rPr>
          <w:rFonts w:ascii="Verdana" w:hAnsi="Verdana"/>
          <w:sz w:val="20"/>
        </w:rPr>
        <w:t xml:space="preserve">Considerando </w:t>
      </w:r>
      <w:r w:rsidR="00FB4588" w:rsidRPr="002E6A9A">
        <w:rPr>
          <w:rFonts w:ascii="Verdana" w:hAnsi="Verdana"/>
          <w:sz w:val="20"/>
        </w:rPr>
        <w:t>1</w:t>
      </w:r>
      <w:r w:rsidR="00C6442C">
        <w:rPr>
          <w:rFonts w:ascii="Verdana" w:hAnsi="Verdana"/>
          <w:sz w:val="20"/>
        </w:rPr>
        <w:t>6</w:t>
      </w:r>
      <w:r w:rsidR="00FB4588" w:rsidRPr="002E6A9A">
        <w:rPr>
          <w:rFonts w:ascii="Verdana" w:hAnsi="Verdana"/>
          <w:sz w:val="20"/>
        </w:rPr>
        <w:t xml:space="preserve"> k</w:t>
      </w:r>
      <w:r w:rsidR="00680802" w:rsidRPr="002E6A9A">
        <w:rPr>
          <w:rFonts w:ascii="Verdana" w:hAnsi="Verdana"/>
          <w:sz w:val="20"/>
        </w:rPr>
        <w:t>).</w:t>
      </w:r>
      <w:r w:rsidR="00556D33" w:rsidRPr="002E6A9A">
        <w:rPr>
          <w:rFonts w:ascii="Verdana" w:hAnsi="Verdana"/>
          <w:sz w:val="20"/>
        </w:rPr>
        <w:t xml:space="preserve"> </w:t>
      </w:r>
    </w:p>
    <w:p w:rsidR="00B34B78" w:rsidRDefault="00B34B78" w:rsidP="00B34B78">
      <w:pPr>
        <w:pStyle w:val="Prrafodelista"/>
        <w:rPr>
          <w:rFonts w:ascii="Verdana" w:hAnsi="Verdana"/>
          <w:sz w:val="20"/>
        </w:rPr>
      </w:pPr>
    </w:p>
    <w:p w:rsidR="00E95BEE" w:rsidRPr="00556D33" w:rsidRDefault="000A775A" w:rsidP="00E95BEE">
      <w:pPr>
        <w:numPr>
          <w:ilvl w:val="0"/>
          <w:numId w:val="2"/>
        </w:numPr>
        <w:tabs>
          <w:tab w:val="clear" w:pos="720"/>
          <w:tab w:val="num" w:pos="0"/>
        </w:tabs>
        <w:ind w:left="0" w:firstLine="0"/>
        <w:jc w:val="both"/>
      </w:pPr>
      <w:r w:rsidRPr="00556D33">
        <w:rPr>
          <w:rFonts w:ascii="Verdana" w:hAnsi="Verdana"/>
          <w:sz w:val="20"/>
        </w:rPr>
        <w:t xml:space="preserve">Sobre los familiares de </w:t>
      </w:r>
      <w:r w:rsidR="00750187">
        <w:rPr>
          <w:rFonts w:ascii="Verdana" w:hAnsi="Verdana"/>
          <w:sz w:val="20"/>
        </w:rPr>
        <w:t>Raúl Lucas Lucía</w:t>
      </w:r>
      <w:r w:rsidRPr="00556D33">
        <w:rPr>
          <w:rFonts w:ascii="Verdana" w:hAnsi="Verdana"/>
          <w:sz w:val="20"/>
        </w:rPr>
        <w:t xml:space="preserve"> y Manuel Ponce Rosas, el Tribunal constata que </w:t>
      </w:r>
      <w:r w:rsidR="00556D33" w:rsidRPr="00556D33">
        <w:rPr>
          <w:rFonts w:ascii="Verdana" w:hAnsi="Verdana"/>
          <w:sz w:val="20"/>
        </w:rPr>
        <w:t xml:space="preserve">más allá de un incidente ocurrido en junio de 2009, </w:t>
      </w:r>
      <w:r w:rsidRPr="00556D33">
        <w:rPr>
          <w:rFonts w:ascii="Verdana" w:hAnsi="Verdana"/>
          <w:sz w:val="20"/>
        </w:rPr>
        <w:t xml:space="preserve">no se ha informado </w:t>
      </w:r>
      <w:r w:rsidR="00680802" w:rsidRPr="00556D33">
        <w:rPr>
          <w:rFonts w:ascii="Verdana" w:hAnsi="Verdana"/>
          <w:sz w:val="20"/>
        </w:rPr>
        <w:t xml:space="preserve">respecto de </w:t>
      </w:r>
      <w:r w:rsidRPr="00556D33">
        <w:rPr>
          <w:rFonts w:ascii="Verdana" w:hAnsi="Verdana"/>
          <w:sz w:val="20"/>
        </w:rPr>
        <w:t xml:space="preserve">hechos </w:t>
      </w:r>
      <w:r w:rsidR="00556D33" w:rsidRPr="00556D33">
        <w:rPr>
          <w:rFonts w:ascii="Verdana" w:hAnsi="Verdana"/>
          <w:sz w:val="20"/>
        </w:rPr>
        <w:t xml:space="preserve">recientes </w:t>
      </w:r>
      <w:r w:rsidRPr="00556D33">
        <w:rPr>
          <w:rFonts w:ascii="Verdana" w:hAnsi="Verdana"/>
          <w:sz w:val="20"/>
        </w:rPr>
        <w:t xml:space="preserve">que </w:t>
      </w:r>
      <w:r w:rsidR="00556D33" w:rsidRPr="00556D33">
        <w:rPr>
          <w:rFonts w:ascii="Verdana" w:hAnsi="Verdana"/>
          <w:sz w:val="20"/>
        </w:rPr>
        <w:t>pusieran en riesgo</w:t>
      </w:r>
      <w:r w:rsidRPr="00556D33">
        <w:rPr>
          <w:rFonts w:ascii="Verdana" w:hAnsi="Verdana"/>
          <w:sz w:val="20"/>
        </w:rPr>
        <w:t xml:space="preserve"> su </w:t>
      </w:r>
      <w:r w:rsidR="00680802" w:rsidRPr="00556D33">
        <w:rPr>
          <w:rFonts w:ascii="Verdana" w:hAnsi="Verdana"/>
          <w:sz w:val="20"/>
        </w:rPr>
        <w:t xml:space="preserve">integridad o </w:t>
      </w:r>
      <w:r w:rsidRPr="00556D33">
        <w:rPr>
          <w:rFonts w:ascii="Verdana" w:hAnsi="Verdana"/>
          <w:sz w:val="20"/>
        </w:rPr>
        <w:t xml:space="preserve">seguridad que tengan relación directa con el caso </w:t>
      </w:r>
      <w:r w:rsidRPr="00556D33">
        <w:rPr>
          <w:rFonts w:ascii="Verdana" w:hAnsi="Verdana"/>
          <w:i/>
          <w:sz w:val="20"/>
        </w:rPr>
        <w:t>Fernández Ortega</w:t>
      </w:r>
      <w:r w:rsidR="00FB4588">
        <w:rPr>
          <w:rFonts w:ascii="Verdana" w:hAnsi="Verdana"/>
          <w:i/>
          <w:sz w:val="20"/>
        </w:rPr>
        <w:t xml:space="preserve"> y otros</w:t>
      </w:r>
      <w:r w:rsidRPr="00556D33">
        <w:rPr>
          <w:rFonts w:ascii="Verdana" w:hAnsi="Verdana"/>
          <w:sz w:val="20"/>
        </w:rPr>
        <w:t xml:space="preserve">. </w:t>
      </w:r>
      <w:r w:rsidR="00C701F8" w:rsidRPr="00556D33">
        <w:rPr>
          <w:rFonts w:ascii="Verdana" w:hAnsi="Verdana"/>
          <w:sz w:val="20"/>
        </w:rPr>
        <w:t xml:space="preserve">Al respecto, en relación con el último hecho informado por los representantes, sobre la detención del señor </w:t>
      </w:r>
      <w:r w:rsidR="00C8299B" w:rsidRPr="00556D33">
        <w:rPr>
          <w:rFonts w:ascii="Verdana" w:hAnsi="Verdana"/>
          <w:sz w:val="20"/>
        </w:rPr>
        <w:t>Máximo</w:t>
      </w:r>
      <w:r w:rsidR="00C701F8" w:rsidRPr="00556D33">
        <w:rPr>
          <w:rFonts w:ascii="Verdana" w:hAnsi="Verdana"/>
          <w:sz w:val="20"/>
        </w:rPr>
        <w:t xml:space="preserve"> García Catarino, la Corte observa que dicho procedimiento no tiene relación alguna con el </w:t>
      </w:r>
      <w:r w:rsidR="00FB4588">
        <w:rPr>
          <w:rFonts w:ascii="Verdana" w:hAnsi="Verdana"/>
          <w:sz w:val="20"/>
        </w:rPr>
        <w:t xml:space="preserve">referido </w:t>
      </w:r>
      <w:r w:rsidR="00C701F8" w:rsidRPr="00556D33">
        <w:rPr>
          <w:rFonts w:ascii="Verdana" w:hAnsi="Verdana"/>
          <w:sz w:val="20"/>
        </w:rPr>
        <w:t xml:space="preserve">caso </w:t>
      </w:r>
      <w:r w:rsidR="00C8299B">
        <w:rPr>
          <w:rFonts w:ascii="Verdana" w:hAnsi="Verdana"/>
          <w:sz w:val="20"/>
        </w:rPr>
        <w:t>contencioso</w:t>
      </w:r>
      <w:r w:rsidR="00C701F8" w:rsidRPr="00556D33">
        <w:rPr>
          <w:rFonts w:ascii="Verdana" w:hAnsi="Verdana"/>
          <w:sz w:val="20"/>
        </w:rPr>
        <w:t xml:space="preserve">, sino </w:t>
      </w:r>
      <w:r w:rsidR="00556D33" w:rsidRPr="00556D33">
        <w:rPr>
          <w:rFonts w:ascii="Verdana" w:hAnsi="Verdana"/>
          <w:sz w:val="20"/>
        </w:rPr>
        <w:t>que</w:t>
      </w:r>
      <w:r w:rsidR="00C701F8" w:rsidRPr="00556D33">
        <w:rPr>
          <w:rFonts w:ascii="Verdana" w:hAnsi="Verdana"/>
          <w:sz w:val="20"/>
        </w:rPr>
        <w:t xml:space="preserve"> se refiere a una investigación ministerial realizada por la muerte de una persona en la cual sup</w:t>
      </w:r>
      <w:r w:rsidR="006E4706" w:rsidRPr="00556D33">
        <w:rPr>
          <w:rFonts w:ascii="Verdana" w:hAnsi="Verdana"/>
          <w:sz w:val="20"/>
        </w:rPr>
        <w:t>u</w:t>
      </w:r>
      <w:r w:rsidR="00C701F8" w:rsidRPr="00556D33">
        <w:rPr>
          <w:rFonts w:ascii="Verdana" w:hAnsi="Verdana"/>
          <w:sz w:val="20"/>
        </w:rPr>
        <w:t xml:space="preserve">estamente </w:t>
      </w:r>
      <w:r w:rsidR="00556D33" w:rsidRPr="00556D33">
        <w:rPr>
          <w:rFonts w:ascii="Verdana" w:hAnsi="Verdana"/>
          <w:sz w:val="20"/>
        </w:rPr>
        <w:t xml:space="preserve">dos testigos habrían </w:t>
      </w:r>
      <w:r w:rsidR="00C701F8" w:rsidRPr="00556D33">
        <w:rPr>
          <w:rFonts w:ascii="Verdana" w:hAnsi="Verdana"/>
          <w:sz w:val="20"/>
        </w:rPr>
        <w:t>indica</w:t>
      </w:r>
      <w:r w:rsidR="00556D33" w:rsidRPr="00556D33">
        <w:rPr>
          <w:rFonts w:ascii="Verdana" w:hAnsi="Verdana"/>
          <w:sz w:val="20"/>
        </w:rPr>
        <w:t>do</w:t>
      </w:r>
      <w:r w:rsidR="00C701F8" w:rsidRPr="00556D33">
        <w:rPr>
          <w:rFonts w:ascii="Verdana" w:hAnsi="Verdana"/>
          <w:sz w:val="20"/>
        </w:rPr>
        <w:t xml:space="preserve"> </w:t>
      </w:r>
      <w:r w:rsidR="00556D33" w:rsidRPr="00556D33">
        <w:rPr>
          <w:rFonts w:ascii="Verdana" w:hAnsi="Verdana"/>
          <w:sz w:val="20"/>
        </w:rPr>
        <w:t xml:space="preserve">que </w:t>
      </w:r>
      <w:r w:rsidR="00C701F8" w:rsidRPr="00556D33">
        <w:rPr>
          <w:rFonts w:ascii="Verdana" w:hAnsi="Verdana"/>
          <w:sz w:val="20"/>
        </w:rPr>
        <w:t xml:space="preserve">el señor García Catarino </w:t>
      </w:r>
      <w:r w:rsidR="00556D33" w:rsidRPr="00556D33">
        <w:rPr>
          <w:rFonts w:ascii="Verdana" w:hAnsi="Verdana"/>
          <w:sz w:val="20"/>
        </w:rPr>
        <w:t xml:space="preserve">habría participado </w:t>
      </w:r>
      <w:r w:rsidR="006E4706" w:rsidRPr="00556D33">
        <w:rPr>
          <w:rFonts w:ascii="Verdana" w:hAnsi="Verdana"/>
          <w:sz w:val="20"/>
        </w:rPr>
        <w:t xml:space="preserve">en el </w:t>
      </w:r>
      <w:r w:rsidR="00556D33" w:rsidRPr="00556D33">
        <w:rPr>
          <w:rFonts w:ascii="Verdana" w:hAnsi="Verdana"/>
          <w:sz w:val="20"/>
        </w:rPr>
        <w:t>hecho</w:t>
      </w:r>
      <w:r w:rsidR="006E4706" w:rsidRPr="00556D33">
        <w:rPr>
          <w:rFonts w:ascii="Verdana" w:hAnsi="Verdana"/>
          <w:sz w:val="20"/>
        </w:rPr>
        <w:t>.</w:t>
      </w:r>
      <w:r w:rsidR="00C8299B">
        <w:rPr>
          <w:rFonts w:ascii="Verdana" w:hAnsi="Verdana"/>
          <w:sz w:val="20"/>
        </w:rPr>
        <w:t xml:space="preserve"> </w:t>
      </w:r>
      <w:r w:rsidRPr="00556D33">
        <w:rPr>
          <w:rFonts w:ascii="Verdana" w:hAnsi="Verdana"/>
          <w:sz w:val="20"/>
        </w:rPr>
        <w:t xml:space="preserve">Asimismo, el argumento de los representantes de que existiría un riesgo a estos familiares porque la investigación de la desaparición forzada y posterior tortura y ejecución de </w:t>
      </w:r>
      <w:r w:rsidR="00750187">
        <w:rPr>
          <w:rFonts w:ascii="Verdana" w:hAnsi="Verdana"/>
          <w:sz w:val="20"/>
        </w:rPr>
        <w:t xml:space="preserve">Raúl </w:t>
      </w:r>
      <w:r w:rsidRPr="00556D33">
        <w:rPr>
          <w:rFonts w:ascii="Verdana" w:hAnsi="Verdana"/>
          <w:sz w:val="20"/>
        </w:rPr>
        <w:t xml:space="preserve">Lucas </w:t>
      </w:r>
      <w:r w:rsidR="00750187">
        <w:rPr>
          <w:rFonts w:ascii="Verdana" w:hAnsi="Verdana"/>
          <w:sz w:val="20"/>
        </w:rPr>
        <w:t>Lucía</w:t>
      </w:r>
      <w:r w:rsidRPr="00556D33">
        <w:rPr>
          <w:rFonts w:ascii="Verdana" w:hAnsi="Verdana"/>
          <w:sz w:val="20"/>
        </w:rPr>
        <w:t xml:space="preserve"> y </w:t>
      </w:r>
      <w:r w:rsidR="00750187">
        <w:rPr>
          <w:rFonts w:ascii="Verdana" w:hAnsi="Verdana"/>
          <w:sz w:val="20"/>
        </w:rPr>
        <w:t xml:space="preserve">Manuel </w:t>
      </w:r>
      <w:r w:rsidRPr="00556D33">
        <w:rPr>
          <w:rFonts w:ascii="Verdana" w:hAnsi="Verdana"/>
          <w:sz w:val="20"/>
        </w:rPr>
        <w:t>Ponce Rosas no ha sido concluida no ofrece una base concreta para que se concluya la subsistencia de una situación de extrema gravedad y urgencia en la cual urge prevenir un posible daño irreparable a las personas.</w:t>
      </w:r>
      <w:r w:rsidR="00C8299B">
        <w:rPr>
          <w:rFonts w:ascii="Verdana" w:hAnsi="Verdana"/>
          <w:sz w:val="20"/>
        </w:rPr>
        <w:t xml:space="preserve"> La Corte recuerda su criterio que la carga argumentativa y probatoria es diferente al momento de adoptar una medida provisional que al solicitar la continuidad de las mismas (</w:t>
      </w:r>
      <w:r w:rsidR="00C8299B" w:rsidRPr="00C8299B">
        <w:rPr>
          <w:rFonts w:ascii="Verdana" w:hAnsi="Verdana"/>
          <w:i/>
          <w:sz w:val="20"/>
        </w:rPr>
        <w:t>infra</w:t>
      </w:r>
      <w:r w:rsidR="00C6442C">
        <w:rPr>
          <w:rFonts w:ascii="Verdana" w:hAnsi="Verdana"/>
          <w:sz w:val="20"/>
        </w:rPr>
        <w:t xml:space="preserve"> Considerando 2</w:t>
      </w:r>
      <w:r w:rsidR="00B6160D">
        <w:rPr>
          <w:rFonts w:ascii="Verdana" w:hAnsi="Verdana"/>
          <w:sz w:val="20"/>
        </w:rPr>
        <w:t>7</w:t>
      </w:r>
      <w:r w:rsidR="00C8299B">
        <w:rPr>
          <w:rFonts w:ascii="Verdana" w:hAnsi="Verdana"/>
          <w:sz w:val="20"/>
        </w:rPr>
        <w:t>)</w:t>
      </w:r>
    </w:p>
    <w:p w:rsidR="00E95BEE" w:rsidRDefault="00E95BEE" w:rsidP="00E95BEE">
      <w:pPr>
        <w:pStyle w:val="Prrafodelista"/>
        <w:rPr>
          <w:rFonts w:ascii="Verdana" w:hAnsi="Verdana"/>
          <w:sz w:val="20"/>
        </w:rPr>
      </w:pPr>
    </w:p>
    <w:p w:rsidR="00E95BEE" w:rsidRPr="002E6A9A" w:rsidRDefault="000F1317" w:rsidP="00E95BEE">
      <w:pPr>
        <w:numPr>
          <w:ilvl w:val="0"/>
          <w:numId w:val="2"/>
        </w:numPr>
        <w:tabs>
          <w:tab w:val="clear" w:pos="720"/>
          <w:tab w:val="num" w:pos="0"/>
        </w:tabs>
        <w:ind w:left="0" w:firstLine="0"/>
        <w:jc w:val="both"/>
      </w:pPr>
      <w:r w:rsidRPr="002E6A9A">
        <w:rPr>
          <w:rFonts w:ascii="Verdana" w:hAnsi="Verdana"/>
          <w:sz w:val="20"/>
        </w:rPr>
        <w:t xml:space="preserve">Ahora bien, respecto a </w:t>
      </w:r>
      <w:r w:rsidR="00A46851" w:rsidRPr="002E6A9A">
        <w:rPr>
          <w:rFonts w:ascii="Verdana" w:hAnsi="Verdana"/>
          <w:sz w:val="20"/>
        </w:rPr>
        <w:t xml:space="preserve">los integrantes de la OPIM, la Corte observa que no es evidente que </w:t>
      </w:r>
      <w:r w:rsidR="00C8299B" w:rsidRPr="002E6A9A">
        <w:rPr>
          <w:rFonts w:ascii="Verdana" w:hAnsi="Verdana"/>
          <w:sz w:val="20"/>
        </w:rPr>
        <w:t xml:space="preserve">todos </w:t>
      </w:r>
      <w:r w:rsidR="00A46851" w:rsidRPr="002E6A9A">
        <w:rPr>
          <w:rFonts w:ascii="Verdana" w:hAnsi="Verdana"/>
          <w:sz w:val="20"/>
        </w:rPr>
        <w:t xml:space="preserve">los hechos denunciados por los representantes tengan relación con el caso </w:t>
      </w:r>
      <w:r w:rsidR="00A46851" w:rsidRPr="002E6A9A">
        <w:rPr>
          <w:rFonts w:ascii="Verdana" w:hAnsi="Verdana"/>
          <w:i/>
          <w:sz w:val="20"/>
        </w:rPr>
        <w:t>Fernández Ortega y otros</w:t>
      </w:r>
      <w:r w:rsidR="00A46851" w:rsidRPr="002E6A9A">
        <w:rPr>
          <w:rFonts w:ascii="Verdana" w:hAnsi="Verdana"/>
          <w:sz w:val="20"/>
        </w:rPr>
        <w:t xml:space="preserve">. En efecto, no obstante la Resolución del Tribunal que desestimó una solicitud de ampliación de las medidas provisionales el 23 de noviembre de 2010, los representantes </w:t>
      </w:r>
      <w:r w:rsidR="005B2904" w:rsidRPr="002E6A9A">
        <w:rPr>
          <w:rFonts w:ascii="Verdana" w:hAnsi="Verdana"/>
          <w:sz w:val="20"/>
        </w:rPr>
        <w:t xml:space="preserve">continuaron </w:t>
      </w:r>
      <w:r w:rsidR="00594B7C" w:rsidRPr="002E6A9A">
        <w:rPr>
          <w:rFonts w:ascii="Verdana" w:hAnsi="Verdana"/>
          <w:sz w:val="20"/>
        </w:rPr>
        <w:t>mencionando</w:t>
      </w:r>
      <w:r w:rsidR="00A46851" w:rsidRPr="002E6A9A">
        <w:rPr>
          <w:rFonts w:ascii="Verdana" w:hAnsi="Verdana"/>
          <w:sz w:val="20"/>
        </w:rPr>
        <w:t xml:space="preserve"> hechos referidos en dicha solicitud como evidencia del riesgo </w:t>
      </w:r>
      <w:r w:rsidR="00E95BEE" w:rsidRPr="002E6A9A">
        <w:rPr>
          <w:rFonts w:ascii="Verdana" w:hAnsi="Verdana"/>
          <w:sz w:val="20"/>
        </w:rPr>
        <w:t xml:space="preserve">a </w:t>
      </w:r>
      <w:r w:rsidR="00A46851" w:rsidRPr="002E6A9A">
        <w:rPr>
          <w:rFonts w:ascii="Verdana" w:hAnsi="Verdana"/>
          <w:sz w:val="20"/>
        </w:rPr>
        <w:t xml:space="preserve">que </w:t>
      </w:r>
      <w:r w:rsidR="00E95BEE" w:rsidRPr="002E6A9A">
        <w:rPr>
          <w:rFonts w:ascii="Verdana" w:hAnsi="Verdana"/>
          <w:sz w:val="20"/>
        </w:rPr>
        <w:t xml:space="preserve">estarían sometidos </w:t>
      </w:r>
      <w:r w:rsidR="00A46851" w:rsidRPr="002E6A9A">
        <w:rPr>
          <w:rFonts w:ascii="Verdana" w:hAnsi="Verdana"/>
          <w:sz w:val="20"/>
        </w:rPr>
        <w:t xml:space="preserve">los </w:t>
      </w:r>
      <w:r w:rsidR="00E95BEE" w:rsidRPr="002E6A9A">
        <w:rPr>
          <w:rFonts w:ascii="Verdana" w:hAnsi="Verdana"/>
          <w:sz w:val="20"/>
        </w:rPr>
        <w:t>integrantes de esa organización</w:t>
      </w:r>
      <w:r w:rsidR="00A46851" w:rsidRPr="002E6A9A">
        <w:rPr>
          <w:rFonts w:ascii="Verdana" w:hAnsi="Verdana"/>
          <w:sz w:val="20"/>
        </w:rPr>
        <w:t xml:space="preserve">. </w:t>
      </w:r>
      <w:r w:rsidR="005B2904" w:rsidRPr="002E6A9A">
        <w:rPr>
          <w:rFonts w:ascii="Verdana" w:hAnsi="Verdana"/>
          <w:sz w:val="20"/>
        </w:rPr>
        <w:t xml:space="preserve">Por otra parte, </w:t>
      </w:r>
      <w:r w:rsidR="00C8299B" w:rsidRPr="002E6A9A">
        <w:rPr>
          <w:rFonts w:ascii="Verdana" w:hAnsi="Verdana"/>
          <w:sz w:val="20"/>
        </w:rPr>
        <w:t>tampoco</w:t>
      </w:r>
      <w:r w:rsidR="005B2904" w:rsidRPr="002E6A9A">
        <w:rPr>
          <w:rFonts w:ascii="Verdana" w:hAnsi="Verdana"/>
          <w:sz w:val="20"/>
        </w:rPr>
        <w:t xml:space="preserve"> </w:t>
      </w:r>
      <w:r w:rsidR="00C8299B" w:rsidRPr="002E6A9A">
        <w:rPr>
          <w:rFonts w:ascii="Verdana" w:hAnsi="Verdana"/>
          <w:sz w:val="20"/>
        </w:rPr>
        <w:t>se desprende</w:t>
      </w:r>
      <w:r w:rsidR="00674129" w:rsidRPr="002E6A9A">
        <w:rPr>
          <w:rFonts w:ascii="Verdana" w:hAnsi="Verdana"/>
          <w:sz w:val="20"/>
        </w:rPr>
        <w:t xml:space="preserve"> </w:t>
      </w:r>
      <w:r w:rsidR="005B2904" w:rsidRPr="002E6A9A">
        <w:rPr>
          <w:rFonts w:ascii="Verdana" w:hAnsi="Verdana"/>
          <w:sz w:val="20"/>
        </w:rPr>
        <w:t xml:space="preserve">que </w:t>
      </w:r>
      <w:r w:rsidR="000A775A" w:rsidRPr="002E6A9A">
        <w:rPr>
          <w:rFonts w:ascii="Verdana" w:hAnsi="Verdana"/>
          <w:sz w:val="20"/>
        </w:rPr>
        <w:t xml:space="preserve">“el intercambio verbal áspero” y el intento de revisión de vehículos particulares por parte de miembros del ejército, </w:t>
      </w:r>
      <w:r w:rsidR="005B2904" w:rsidRPr="002E6A9A">
        <w:rPr>
          <w:rFonts w:ascii="Verdana" w:hAnsi="Verdana"/>
          <w:sz w:val="20"/>
        </w:rPr>
        <w:lastRenderedPageBreak/>
        <w:t xml:space="preserve">ocurrido el 6 de junio de 2011 </w:t>
      </w:r>
      <w:r w:rsidR="00674129" w:rsidRPr="002E6A9A">
        <w:rPr>
          <w:rFonts w:ascii="Verdana" w:hAnsi="Verdana"/>
          <w:sz w:val="20"/>
        </w:rPr>
        <w:t>(</w:t>
      </w:r>
      <w:r w:rsidR="00674129" w:rsidRPr="002E6A9A">
        <w:rPr>
          <w:rFonts w:ascii="Verdana" w:hAnsi="Verdana"/>
          <w:i/>
          <w:sz w:val="20"/>
        </w:rPr>
        <w:t xml:space="preserve">supra </w:t>
      </w:r>
      <w:r w:rsidR="00674129" w:rsidRPr="002E6A9A">
        <w:rPr>
          <w:rFonts w:ascii="Verdana" w:hAnsi="Verdana"/>
          <w:sz w:val="20"/>
        </w:rPr>
        <w:t xml:space="preserve">Considerando </w:t>
      </w:r>
      <w:r w:rsidR="00FB4588" w:rsidRPr="002E6A9A">
        <w:rPr>
          <w:rFonts w:ascii="Verdana" w:hAnsi="Verdana"/>
          <w:sz w:val="20"/>
        </w:rPr>
        <w:t>1</w:t>
      </w:r>
      <w:r w:rsidR="00C6442C">
        <w:rPr>
          <w:rFonts w:ascii="Verdana" w:hAnsi="Verdana"/>
          <w:sz w:val="20"/>
        </w:rPr>
        <w:t>6</w:t>
      </w:r>
      <w:r w:rsidR="00FB4588" w:rsidRPr="002E6A9A">
        <w:rPr>
          <w:rFonts w:ascii="Verdana" w:hAnsi="Verdana"/>
          <w:sz w:val="20"/>
        </w:rPr>
        <w:t xml:space="preserve"> p</w:t>
      </w:r>
      <w:r w:rsidR="00674129" w:rsidRPr="002E6A9A">
        <w:rPr>
          <w:rFonts w:ascii="Verdana" w:hAnsi="Verdana"/>
          <w:sz w:val="20"/>
        </w:rPr>
        <w:t>)</w:t>
      </w:r>
      <w:r w:rsidR="000A775A" w:rsidRPr="002E6A9A">
        <w:rPr>
          <w:rFonts w:ascii="Verdana" w:hAnsi="Verdana"/>
          <w:sz w:val="20"/>
        </w:rPr>
        <w:t>,</w:t>
      </w:r>
      <w:r w:rsidR="00674129" w:rsidRPr="002E6A9A">
        <w:rPr>
          <w:rFonts w:ascii="Verdana" w:hAnsi="Verdana"/>
          <w:sz w:val="20"/>
        </w:rPr>
        <w:t xml:space="preserve"> tenga como consecuencia la subsistencia de una situación de riesgo </w:t>
      </w:r>
      <w:r w:rsidR="005B2904" w:rsidRPr="002E6A9A">
        <w:rPr>
          <w:rFonts w:ascii="Verdana" w:hAnsi="Verdana"/>
          <w:sz w:val="20"/>
        </w:rPr>
        <w:t>de daño irreparable</w:t>
      </w:r>
      <w:r w:rsidR="00674129" w:rsidRPr="002E6A9A">
        <w:rPr>
          <w:rFonts w:ascii="Verdana" w:hAnsi="Verdana"/>
          <w:sz w:val="20"/>
        </w:rPr>
        <w:t xml:space="preserve"> a todos los miembros de la organización</w:t>
      </w:r>
      <w:r w:rsidR="005B2904" w:rsidRPr="002E6A9A">
        <w:rPr>
          <w:rFonts w:ascii="Verdana" w:hAnsi="Verdana"/>
          <w:sz w:val="20"/>
        </w:rPr>
        <w:t xml:space="preserve">. </w:t>
      </w:r>
      <w:r w:rsidR="000A775A" w:rsidRPr="002E6A9A">
        <w:rPr>
          <w:rFonts w:ascii="Verdana" w:hAnsi="Verdana"/>
          <w:sz w:val="20"/>
        </w:rPr>
        <w:t>L</w:t>
      </w:r>
      <w:r w:rsidR="00006044" w:rsidRPr="002E6A9A">
        <w:rPr>
          <w:rFonts w:ascii="Verdana" w:hAnsi="Verdana"/>
          <w:sz w:val="20"/>
        </w:rPr>
        <w:t xml:space="preserve">a Corte no cuenta con suficiente información sobre la continuada situación de riesgo respecto de </w:t>
      </w:r>
      <w:r w:rsidR="000A775A" w:rsidRPr="002E6A9A">
        <w:rPr>
          <w:rFonts w:ascii="Verdana" w:hAnsi="Verdana"/>
          <w:sz w:val="20"/>
        </w:rPr>
        <w:t xml:space="preserve">estos </w:t>
      </w:r>
      <w:r w:rsidR="00006044" w:rsidRPr="002E6A9A">
        <w:rPr>
          <w:rFonts w:ascii="Verdana" w:hAnsi="Verdana"/>
          <w:sz w:val="20"/>
        </w:rPr>
        <w:t>beneficiarios de las presentes medidas provisionales, de manera que le permita constatar la persistencia de la situación de extrema gravedad, urgencia y de necesidad de evitar da</w:t>
      </w:r>
      <w:r w:rsidR="00006044" w:rsidRPr="002E6A9A">
        <w:rPr>
          <w:rFonts w:ascii="Verdana" w:hAnsi="Verdana" w:cs="Arial"/>
          <w:sz w:val="20"/>
        </w:rPr>
        <w:t>ños irreparables a ellos.</w:t>
      </w:r>
      <w:r w:rsidR="00006044" w:rsidRPr="002E6A9A">
        <w:rPr>
          <w:rFonts w:ascii="Verdana" w:hAnsi="Verdana"/>
          <w:sz w:val="20"/>
        </w:rPr>
        <w:t xml:space="preserve"> </w:t>
      </w:r>
      <w:r w:rsidR="00C8299B" w:rsidRPr="002E6A9A">
        <w:rPr>
          <w:rFonts w:ascii="Verdana" w:hAnsi="Verdana"/>
          <w:sz w:val="20"/>
        </w:rPr>
        <w:t>Por ello, se requiere a los representantes que se brinde respecto de tal grupo de beneficiarios un informe detallado sobre la situación de riesgo de cada unos de ellos</w:t>
      </w:r>
      <w:r w:rsidR="002E6A9A">
        <w:rPr>
          <w:rFonts w:ascii="Verdana" w:hAnsi="Verdana"/>
          <w:sz w:val="20"/>
        </w:rPr>
        <w:t xml:space="preserve"> (</w:t>
      </w:r>
      <w:r w:rsidR="002E6A9A" w:rsidRPr="002E6A9A">
        <w:rPr>
          <w:rFonts w:ascii="Verdana" w:hAnsi="Verdana"/>
          <w:i/>
          <w:sz w:val="20"/>
        </w:rPr>
        <w:t>infra</w:t>
      </w:r>
      <w:r w:rsidR="00C6442C">
        <w:rPr>
          <w:rFonts w:ascii="Verdana" w:hAnsi="Verdana"/>
          <w:sz w:val="20"/>
        </w:rPr>
        <w:t xml:space="preserve"> Considerando 31</w:t>
      </w:r>
      <w:r w:rsidR="002E6A9A">
        <w:rPr>
          <w:rFonts w:ascii="Verdana" w:hAnsi="Verdana"/>
          <w:sz w:val="20"/>
        </w:rPr>
        <w:t>)</w:t>
      </w:r>
      <w:r w:rsidR="00C8299B" w:rsidRPr="002E6A9A">
        <w:rPr>
          <w:rFonts w:ascii="Verdana" w:hAnsi="Verdana"/>
          <w:sz w:val="20"/>
        </w:rPr>
        <w:t xml:space="preserve">. </w:t>
      </w:r>
    </w:p>
    <w:p w:rsidR="00E95BEE" w:rsidRDefault="00E95BEE" w:rsidP="00E95BEE">
      <w:pPr>
        <w:jc w:val="both"/>
      </w:pPr>
    </w:p>
    <w:p w:rsidR="00006044" w:rsidRPr="00E95BEE" w:rsidRDefault="00006044" w:rsidP="00E95BEE">
      <w:pPr>
        <w:numPr>
          <w:ilvl w:val="0"/>
          <w:numId w:val="2"/>
        </w:numPr>
        <w:tabs>
          <w:tab w:val="clear" w:pos="720"/>
          <w:tab w:val="num" w:pos="0"/>
        </w:tabs>
        <w:ind w:left="0" w:firstLine="0"/>
        <w:jc w:val="both"/>
      </w:pPr>
      <w:r w:rsidRPr="00E95BEE">
        <w:rPr>
          <w:rFonts w:ascii="Verdana" w:hAnsi="Verdana"/>
          <w:sz w:val="20"/>
        </w:rPr>
        <w:t xml:space="preserve">La Corte recuerda que al dictar las medidas de protección el estándar de apreciación de estos requisitos por parte del Tribunal o quien lo presida es </w:t>
      </w:r>
      <w:r w:rsidRPr="00E95BEE">
        <w:rPr>
          <w:rFonts w:ascii="Verdana" w:hAnsi="Verdana"/>
          <w:i/>
          <w:sz w:val="20"/>
        </w:rPr>
        <w:t xml:space="preserve">prima facie, </w:t>
      </w:r>
      <w:r w:rsidRPr="00E95BEE">
        <w:rPr>
          <w:rFonts w:ascii="Verdana" w:hAnsi="Verdana"/>
          <w:sz w:val="20"/>
        </w:rPr>
        <w:t>siendo en ocasiones necesaria la aplicación de presunciones ante las necesidades de protección</w:t>
      </w:r>
      <w:r w:rsidRPr="00242FA4">
        <w:rPr>
          <w:rFonts w:ascii="Verdana" w:hAnsi="Verdana"/>
          <w:sz w:val="20"/>
          <w:vertAlign w:val="superscript"/>
        </w:rPr>
        <w:footnoteReference w:id="7"/>
      </w:r>
      <w:r w:rsidRPr="00E95BEE">
        <w:rPr>
          <w:rFonts w:ascii="Verdana" w:hAnsi="Verdana"/>
          <w:sz w:val="20"/>
        </w:rPr>
        <w:t>. Sin perjuicio de lo anterior, el mantenimiento de las medidas de protección exige una evaluación más rigurosa de la Corte en cuanto a la persistencia de la situación que dio origen a las mismas</w:t>
      </w:r>
      <w:r w:rsidRPr="00242FA4">
        <w:rPr>
          <w:rFonts w:ascii="Verdana" w:hAnsi="Verdana"/>
          <w:sz w:val="20"/>
          <w:vertAlign w:val="superscript"/>
        </w:rPr>
        <w:footnoteReference w:id="8"/>
      </w:r>
      <w:r w:rsidRPr="00E95BEE">
        <w:rPr>
          <w:rFonts w:ascii="Verdana" w:hAnsi="Verdana"/>
          <w:sz w:val="20"/>
        </w:rPr>
        <w:t>. Si un Estado solicita el levantamiento o la modificación de las medidas provisionales ordenadas, deberá presentar la suficiente evidencia y argumentación que permita al Tribunal apreciar que el riesgo o la amenaza ya no reúne los requisitos de extrema gravedad y urgencia de evitar daños irreparables. A la vez, la carga probatoria y argumentativa de los beneficiarios y de la Comisión aumentará conforme transcurre el tiempo y no se presentan nuevas amenazas. Ciertamente, el hecho de que no se presenten nuevas amenazas puede deberse precisamente a la efectividad de la protección brindada o a la disuasión ocasionada con la orden de la Corte. No obstante, el Tribunal ha considerado que el transcurso de un razonable período de tiempo sin amenazas o intimidaciones, sumado a la falta de un riesgo inminente, puede conllevar el levantamiento de las medidas provisionales</w:t>
      </w:r>
      <w:r w:rsidRPr="00242FA4">
        <w:rPr>
          <w:rFonts w:ascii="Verdana" w:hAnsi="Verdana"/>
          <w:sz w:val="20"/>
          <w:vertAlign w:val="superscript"/>
        </w:rPr>
        <w:footnoteReference w:id="9"/>
      </w:r>
      <w:r w:rsidRPr="00E95BEE">
        <w:rPr>
          <w:rFonts w:ascii="Verdana" w:hAnsi="Verdana"/>
          <w:sz w:val="20"/>
        </w:rPr>
        <w:t>.</w:t>
      </w:r>
    </w:p>
    <w:p w:rsidR="00006044" w:rsidRDefault="00006044" w:rsidP="00006044">
      <w:pPr>
        <w:jc w:val="both"/>
        <w:rPr>
          <w:rFonts w:ascii="Verdana" w:hAnsi="Verdana"/>
          <w:color w:val="FF0000"/>
          <w:sz w:val="20"/>
        </w:rPr>
      </w:pPr>
    </w:p>
    <w:p w:rsidR="00006044" w:rsidRPr="00092C0F" w:rsidRDefault="00006044" w:rsidP="00220171">
      <w:pPr>
        <w:numPr>
          <w:ilvl w:val="0"/>
          <w:numId w:val="2"/>
        </w:numPr>
        <w:tabs>
          <w:tab w:val="clear" w:pos="720"/>
          <w:tab w:val="num" w:pos="0"/>
        </w:tabs>
        <w:ind w:left="0" w:firstLine="0"/>
        <w:jc w:val="both"/>
        <w:rPr>
          <w:rFonts w:ascii="Verdana" w:hAnsi="Verdana" w:cs="Arial"/>
          <w:sz w:val="20"/>
          <w:lang w:val="es-AR"/>
        </w:rPr>
      </w:pPr>
      <w:r>
        <w:rPr>
          <w:rFonts w:ascii="Verdana" w:hAnsi="Verdana"/>
          <w:sz w:val="20"/>
        </w:rPr>
        <w:t>A su vez</w:t>
      </w:r>
      <w:r w:rsidRPr="00EE08B9">
        <w:rPr>
          <w:rFonts w:ascii="Verdana" w:hAnsi="Verdana"/>
          <w:sz w:val="20"/>
        </w:rPr>
        <w:t>, la Corte debe tomar en cuenta que, conforme al Preámbulo de la Convención Americana, la protección internacional de naturaleza convencional es “coadyuvante o complementaria de la que ofrece el derecho interno de los Estados americanos”. Por ello, de comprobarse que el Estado en cuestión ha desarrollado mec</w:t>
      </w:r>
      <w:r w:rsidRPr="00D73C05">
        <w:rPr>
          <w:rFonts w:ascii="Verdana" w:hAnsi="Verdana"/>
          <w:sz w:val="20"/>
        </w:rPr>
        <w:t>anismos o acciones de protección eficaces para los beneficiarios de las medidas provisionales, el Tribunal podría decidir levantar o reducir el número de beneficiarios de las medidas provisionales descargando la obligación de protección en su resp</w:t>
      </w:r>
      <w:r w:rsidRPr="00EE08B9">
        <w:rPr>
          <w:rFonts w:ascii="Verdana" w:hAnsi="Verdana"/>
          <w:sz w:val="20"/>
        </w:rPr>
        <w:t>onsable</w:t>
      </w:r>
      <w:r>
        <w:rPr>
          <w:rFonts w:ascii="Verdana" w:hAnsi="Verdana"/>
          <w:sz w:val="20"/>
        </w:rPr>
        <w:t xml:space="preserve"> primario</w:t>
      </w:r>
      <w:r w:rsidRPr="00EE08B9">
        <w:rPr>
          <w:rFonts w:ascii="Verdana" w:hAnsi="Verdana"/>
          <w:sz w:val="20"/>
        </w:rPr>
        <w:t>, esto es, el Estado</w:t>
      </w:r>
      <w:r w:rsidRPr="00EE08B9">
        <w:rPr>
          <w:rFonts w:ascii="Verdana" w:hAnsi="Verdana"/>
          <w:sz w:val="20"/>
          <w:vertAlign w:val="superscript"/>
        </w:rPr>
        <w:footnoteReference w:id="10"/>
      </w:r>
      <w:r w:rsidRPr="00EE08B9">
        <w:rPr>
          <w:rFonts w:ascii="Verdana" w:hAnsi="Verdana"/>
          <w:sz w:val="20"/>
        </w:rPr>
        <w:t xml:space="preserve">. De levantarse </w:t>
      </w:r>
      <w:r w:rsidRPr="00D73C05">
        <w:rPr>
          <w:rFonts w:ascii="Verdana" w:hAnsi="Verdana"/>
          <w:sz w:val="20"/>
        </w:rPr>
        <w:t xml:space="preserve">o reducirse el número de beneficiarios </w:t>
      </w:r>
      <w:r>
        <w:rPr>
          <w:rFonts w:ascii="Verdana" w:hAnsi="Verdana"/>
          <w:sz w:val="20"/>
        </w:rPr>
        <w:t xml:space="preserve">de </w:t>
      </w:r>
      <w:r w:rsidRPr="00D73C05">
        <w:rPr>
          <w:rFonts w:ascii="Verdana" w:hAnsi="Verdana"/>
          <w:sz w:val="20"/>
        </w:rPr>
        <w:t>las medidas provisionales por parte de la Corte por este motivo, c</w:t>
      </w:r>
      <w:r w:rsidRPr="00EE08B9">
        <w:rPr>
          <w:rFonts w:ascii="Verdana" w:hAnsi="Verdana"/>
          <w:sz w:val="20"/>
        </w:rPr>
        <w:t xml:space="preserve">orresponderá al Estado, conforme a su deber de garantía de los derechos humanos, </w:t>
      </w:r>
      <w:r w:rsidRPr="00EE08B9">
        <w:rPr>
          <w:rFonts w:ascii="Verdana" w:hAnsi="Verdana"/>
          <w:sz w:val="20"/>
        </w:rPr>
        <w:lastRenderedPageBreak/>
        <w:t>mantener las medidas de protección que haya adoptado y que el Tribunal consideró eficaces, por el tiempo que las circunstancias lo ameriten</w:t>
      </w:r>
      <w:r>
        <w:rPr>
          <w:rFonts w:ascii="Verdana" w:hAnsi="Verdana"/>
          <w:sz w:val="20"/>
        </w:rPr>
        <w:t>.</w:t>
      </w:r>
    </w:p>
    <w:p w:rsidR="00006044" w:rsidRPr="00092C0F" w:rsidRDefault="00006044" w:rsidP="00006044">
      <w:pPr>
        <w:jc w:val="both"/>
        <w:rPr>
          <w:rFonts w:ascii="Verdana" w:hAnsi="Verdana" w:cs="Arial"/>
          <w:sz w:val="20"/>
          <w:lang w:val="es-AR"/>
        </w:rPr>
      </w:pPr>
    </w:p>
    <w:p w:rsidR="00006044" w:rsidRDefault="00220171" w:rsidP="00220171">
      <w:pPr>
        <w:numPr>
          <w:ilvl w:val="0"/>
          <w:numId w:val="2"/>
        </w:numPr>
        <w:ind w:left="0" w:firstLine="0"/>
        <w:jc w:val="both"/>
        <w:rPr>
          <w:rFonts w:ascii="Verdana" w:hAnsi="Verdana" w:cs="Arial"/>
          <w:sz w:val="20"/>
          <w:lang w:val="es-AR"/>
        </w:rPr>
      </w:pPr>
      <w:r>
        <w:rPr>
          <w:rFonts w:ascii="Verdana" w:hAnsi="Verdana" w:cs="Arial"/>
          <w:sz w:val="20"/>
          <w:lang w:val="es-AR"/>
        </w:rPr>
        <w:t xml:space="preserve">A este respecto y tomando en consideración todo lo anterior, </w:t>
      </w:r>
      <w:r w:rsidR="00006044">
        <w:rPr>
          <w:rFonts w:ascii="Verdana" w:hAnsi="Verdana" w:cs="Arial"/>
          <w:sz w:val="20"/>
          <w:lang w:val="es-AR"/>
        </w:rPr>
        <w:t>l</w:t>
      </w:r>
      <w:r w:rsidR="00006044" w:rsidRPr="00092C0F">
        <w:rPr>
          <w:rFonts w:ascii="Verdana" w:hAnsi="Verdana" w:cs="Arial"/>
          <w:sz w:val="20"/>
          <w:lang w:val="es-AR"/>
        </w:rPr>
        <w:t xml:space="preserve">a Corte observa </w:t>
      </w:r>
      <w:r w:rsidR="00C8299B">
        <w:rPr>
          <w:rFonts w:ascii="Verdana" w:hAnsi="Verdana" w:cs="Arial"/>
          <w:sz w:val="20"/>
          <w:lang w:val="es-AR"/>
        </w:rPr>
        <w:t xml:space="preserve">que </w:t>
      </w:r>
      <w:r w:rsidR="00006044">
        <w:rPr>
          <w:rFonts w:ascii="Verdana" w:hAnsi="Verdana" w:cs="Arial"/>
          <w:sz w:val="20"/>
          <w:lang w:val="es-AR"/>
        </w:rPr>
        <w:t xml:space="preserve">los representantes informaron que 11 beneficiarios ya no </w:t>
      </w:r>
      <w:r w:rsidR="00006044" w:rsidRPr="00092C0F">
        <w:rPr>
          <w:rFonts w:ascii="Verdana" w:hAnsi="Verdana" w:cs="Arial"/>
          <w:sz w:val="20"/>
          <w:lang w:val="es-AR"/>
        </w:rPr>
        <w:t xml:space="preserve">forman parte de </w:t>
      </w:r>
      <w:r w:rsidR="00006044">
        <w:rPr>
          <w:rFonts w:ascii="Verdana" w:hAnsi="Verdana" w:cs="Arial"/>
          <w:sz w:val="20"/>
          <w:lang w:val="es-AR"/>
        </w:rPr>
        <w:t xml:space="preserve">la organización </w:t>
      </w:r>
      <w:proofErr w:type="spellStart"/>
      <w:r w:rsidR="00006044">
        <w:rPr>
          <w:rFonts w:ascii="Verdana" w:hAnsi="Verdana" w:cs="Arial"/>
          <w:sz w:val="20"/>
          <w:lang w:val="es-AR"/>
        </w:rPr>
        <w:t>Tlachinolla</w:t>
      </w:r>
      <w:r w:rsidR="00006044" w:rsidRPr="00092C0F">
        <w:rPr>
          <w:rFonts w:ascii="Verdana" w:hAnsi="Verdana" w:cs="Arial"/>
          <w:sz w:val="20"/>
          <w:lang w:val="es-AR"/>
        </w:rPr>
        <w:t>n</w:t>
      </w:r>
      <w:proofErr w:type="spellEnd"/>
      <w:r w:rsidR="00006044">
        <w:rPr>
          <w:rFonts w:ascii="Verdana" w:hAnsi="Verdana" w:cs="Arial"/>
          <w:sz w:val="20"/>
          <w:lang w:val="es-AR"/>
        </w:rPr>
        <w:t xml:space="preserve"> (</w:t>
      </w:r>
      <w:r w:rsidR="00006044">
        <w:rPr>
          <w:rFonts w:ascii="Verdana" w:hAnsi="Verdana" w:cs="Arial"/>
          <w:i/>
          <w:sz w:val="20"/>
          <w:lang w:val="es-AR"/>
        </w:rPr>
        <w:t xml:space="preserve">supra </w:t>
      </w:r>
      <w:r w:rsidR="00006044">
        <w:rPr>
          <w:rFonts w:ascii="Verdana" w:hAnsi="Verdana" w:cs="Arial"/>
          <w:sz w:val="20"/>
          <w:lang w:val="es-AR"/>
        </w:rPr>
        <w:t xml:space="preserve">Considerando </w:t>
      </w:r>
      <w:r w:rsidR="00C6442C">
        <w:rPr>
          <w:rFonts w:ascii="Verdana" w:hAnsi="Verdana" w:cs="Arial"/>
          <w:sz w:val="20"/>
          <w:lang w:val="es-AR"/>
        </w:rPr>
        <w:t>19</w:t>
      </w:r>
      <w:r w:rsidR="00006044">
        <w:rPr>
          <w:rFonts w:ascii="Verdana" w:hAnsi="Verdana" w:cs="Arial"/>
          <w:sz w:val="20"/>
          <w:lang w:val="es-AR"/>
        </w:rPr>
        <w:t xml:space="preserve">). En relación con estas personas el Tribunal decide </w:t>
      </w:r>
      <w:r w:rsidR="00006044" w:rsidRPr="002846CB">
        <w:rPr>
          <w:rFonts w:ascii="Verdana" w:hAnsi="Verdana" w:cs="Arial"/>
          <w:sz w:val="20"/>
          <w:lang w:val="es-AR"/>
        </w:rPr>
        <w:t>levantar</w:t>
      </w:r>
      <w:r w:rsidR="00006044">
        <w:rPr>
          <w:rFonts w:ascii="Verdana" w:hAnsi="Verdana" w:cs="Arial"/>
          <w:sz w:val="20"/>
          <w:lang w:val="es-AR"/>
        </w:rPr>
        <w:t xml:space="preserve"> </w:t>
      </w:r>
      <w:proofErr w:type="gramStart"/>
      <w:r w:rsidR="00006044">
        <w:rPr>
          <w:rFonts w:ascii="Verdana" w:hAnsi="Verdana" w:cs="Arial"/>
          <w:sz w:val="20"/>
          <w:lang w:val="es-AR"/>
        </w:rPr>
        <w:t>las medidas provisionales</w:t>
      </w:r>
      <w:proofErr w:type="gramEnd"/>
      <w:r w:rsidR="00006044">
        <w:rPr>
          <w:rFonts w:ascii="Verdana" w:hAnsi="Verdana" w:cs="Arial"/>
          <w:sz w:val="20"/>
          <w:lang w:val="es-AR"/>
        </w:rPr>
        <w:t xml:space="preserve"> visto que, respecto de ellos, no </w:t>
      </w:r>
      <w:r w:rsidR="00C210CF">
        <w:rPr>
          <w:rFonts w:ascii="Verdana" w:hAnsi="Verdana" w:cs="Arial"/>
          <w:sz w:val="20"/>
          <w:lang w:val="es-AR"/>
        </w:rPr>
        <w:t>se</w:t>
      </w:r>
      <w:r w:rsidR="00F35A74">
        <w:rPr>
          <w:rFonts w:ascii="Verdana" w:hAnsi="Verdana" w:cs="Arial"/>
          <w:sz w:val="20"/>
          <w:lang w:val="es-AR"/>
        </w:rPr>
        <w:t xml:space="preserve"> </w:t>
      </w:r>
      <w:r w:rsidR="00C210CF">
        <w:rPr>
          <w:rFonts w:ascii="Verdana" w:hAnsi="Verdana" w:cs="Arial"/>
          <w:sz w:val="20"/>
          <w:lang w:val="es-AR"/>
        </w:rPr>
        <w:t>inform</w:t>
      </w:r>
      <w:r w:rsidR="00C8299B">
        <w:rPr>
          <w:rFonts w:ascii="Verdana" w:hAnsi="Verdana" w:cs="Arial"/>
          <w:sz w:val="20"/>
          <w:lang w:val="es-AR"/>
        </w:rPr>
        <w:t>ó</w:t>
      </w:r>
      <w:r w:rsidR="00C210CF">
        <w:rPr>
          <w:rFonts w:ascii="Verdana" w:hAnsi="Verdana" w:cs="Arial"/>
          <w:sz w:val="20"/>
          <w:lang w:val="es-AR"/>
        </w:rPr>
        <w:t xml:space="preserve"> que se verifiquen</w:t>
      </w:r>
      <w:r w:rsidR="00006044">
        <w:rPr>
          <w:rFonts w:ascii="Verdana" w:hAnsi="Verdana" w:cs="Arial"/>
          <w:sz w:val="20"/>
          <w:lang w:val="es-AR"/>
        </w:rPr>
        <w:t xml:space="preserve"> los requisitos necesarios para la continuación de las </w:t>
      </w:r>
      <w:r w:rsidR="00F35A74">
        <w:rPr>
          <w:rFonts w:ascii="Verdana" w:hAnsi="Verdana" w:cs="Arial"/>
          <w:sz w:val="20"/>
          <w:lang w:val="es-AR"/>
        </w:rPr>
        <w:t>mismas</w:t>
      </w:r>
      <w:r w:rsidR="00006044">
        <w:rPr>
          <w:rFonts w:ascii="Verdana" w:hAnsi="Verdana" w:cs="Arial"/>
          <w:sz w:val="20"/>
          <w:lang w:val="es-AR"/>
        </w:rPr>
        <w:t xml:space="preserve">. </w:t>
      </w:r>
    </w:p>
    <w:p w:rsidR="00006044" w:rsidRDefault="00006044" w:rsidP="00006044">
      <w:pPr>
        <w:pStyle w:val="Prrafodelista"/>
        <w:rPr>
          <w:rFonts w:ascii="Verdana" w:hAnsi="Verdana" w:cs="Arial"/>
          <w:sz w:val="20"/>
          <w:lang w:val="es-AR"/>
        </w:rPr>
      </w:pPr>
    </w:p>
    <w:p w:rsidR="00C210CF" w:rsidRPr="00C210CF" w:rsidRDefault="009B14DA" w:rsidP="00006044">
      <w:pPr>
        <w:numPr>
          <w:ilvl w:val="0"/>
          <w:numId w:val="2"/>
        </w:numPr>
        <w:ind w:left="0" w:firstLine="0"/>
        <w:jc w:val="both"/>
        <w:rPr>
          <w:rFonts w:ascii="Verdana" w:hAnsi="Verdana" w:cs="Arial"/>
          <w:sz w:val="20"/>
          <w:lang w:val="es-AR"/>
        </w:rPr>
      </w:pPr>
      <w:r w:rsidRPr="00953E4F">
        <w:rPr>
          <w:rFonts w:ascii="Verdana" w:hAnsi="Verdana" w:cs="Arial"/>
          <w:sz w:val="20"/>
          <w:lang w:val="es-AR"/>
        </w:rPr>
        <w:t>Asimismo</w:t>
      </w:r>
      <w:r w:rsidR="00006044" w:rsidRPr="00953E4F">
        <w:rPr>
          <w:rFonts w:ascii="Verdana" w:hAnsi="Verdana" w:cs="Arial"/>
          <w:sz w:val="20"/>
          <w:lang w:val="es-AR"/>
        </w:rPr>
        <w:t xml:space="preserve">, respecto de </w:t>
      </w:r>
      <w:r w:rsidR="00C210CF" w:rsidRPr="00953E4F">
        <w:rPr>
          <w:rFonts w:ascii="Verdana" w:hAnsi="Verdana"/>
          <w:sz w:val="20"/>
          <w:szCs w:val="16"/>
          <w:lang w:val="es-CL"/>
        </w:rPr>
        <w:t>los</w:t>
      </w:r>
      <w:r w:rsidR="00006044" w:rsidRPr="00953E4F">
        <w:rPr>
          <w:rFonts w:ascii="Verdana" w:hAnsi="Verdana"/>
          <w:sz w:val="20"/>
          <w:szCs w:val="16"/>
          <w:lang w:val="es-CL"/>
        </w:rPr>
        <w:t xml:space="preserve"> familiares de </w:t>
      </w:r>
      <w:r w:rsidR="00750187" w:rsidRPr="00953E4F">
        <w:rPr>
          <w:rFonts w:ascii="Verdana" w:hAnsi="Verdana"/>
          <w:sz w:val="20"/>
          <w:szCs w:val="16"/>
          <w:lang w:val="es-CL"/>
        </w:rPr>
        <w:t>Raúl Lucas Lucía</w:t>
      </w:r>
      <w:r w:rsidR="00006044" w:rsidRPr="00953E4F">
        <w:rPr>
          <w:rFonts w:ascii="Verdana" w:hAnsi="Verdana"/>
          <w:sz w:val="20"/>
          <w:szCs w:val="16"/>
          <w:lang w:val="es-CL"/>
        </w:rPr>
        <w:t xml:space="preserve"> y Manuel Ponce Rosas,</w:t>
      </w:r>
      <w:r w:rsidR="00006044">
        <w:rPr>
          <w:rFonts w:ascii="Verdana" w:hAnsi="Verdana"/>
          <w:sz w:val="20"/>
          <w:szCs w:val="16"/>
          <w:lang w:val="es-CL"/>
        </w:rPr>
        <w:t xml:space="preserve"> la Corte no ha recibido información que indique que se encuentren en situación de riesgo desde la adopción de las medidas provisionales en abril de 2009</w:t>
      </w:r>
      <w:r w:rsidR="00220171">
        <w:rPr>
          <w:rFonts w:ascii="Verdana" w:hAnsi="Verdana"/>
          <w:sz w:val="20"/>
          <w:szCs w:val="16"/>
          <w:lang w:val="es-CL"/>
        </w:rPr>
        <w:t xml:space="preserve"> (</w:t>
      </w:r>
      <w:r w:rsidR="00220171">
        <w:rPr>
          <w:rFonts w:ascii="Verdana" w:hAnsi="Verdana"/>
          <w:i/>
          <w:sz w:val="20"/>
          <w:szCs w:val="16"/>
          <w:lang w:val="es-CL"/>
        </w:rPr>
        <w:t xml:space="preserve">supra </w:t>
      </w:r>
      <w:r w:rsidR="00220171">
        <w:rPr>
          <w:rFonts w:ascii="Verdana" w:hAnsi="Verdana"/>
          <w:sz w:val="20"/>
          <w:szCs w:val="16"/>
          <w:lang w:val="es-CL"/>
        </w:rPr>
        <w:t>Considerando</w:t>
      </w:r>
      <w:r w:rsidR="002E6A9A">
        <w:rPr>
          <w:rFonts w:ascii="Verdana" w:hAnsi="Verdana"/>
          <w:sz w:val="20"/>
          <w:szCs w:val="16"/>
          <w:lang w:val="es-CL"/>
        </w:rPr>
        <w:t>s</w:t>
      </w:r>
      <w:r w:rsidR="00220171">
        <w:rPr>
          <w:rFonts w:ascii="Verdana" w:hAnsi="Verdana"/>
          <w:sz w:val="20"/>
          <w:szCs w:val="16"/>
          <w:lang w:val="es-CL"/>
        </w:rPr>
        <w:t xml:space="preserve"> </w:t>
      </w:r>
      <w:r w:rsidR="00915A4A">
        <w:rPr>
          <w:rFonts w:ascii="Verdana" w:hAnsi="Verdana"/>
          <w:sz w:val="20"/>
          <w:szCs w:val="16"/>
          <w:lang w:val="es-CL"/>
        </w:rPr>
        <w:t>1</w:t>
      </w:r>
      <w:r w:rsidR="00C6442C">
        <w:rPr>
          <w:rFonts w:ascii="Verdana" w:hAnsi="Verdana"/>
          <w:sz w:val="20"/>
          <w:szCs w:val="16"/>
          <w:lang w:val="es-CL"/>
        </w:rPr>
        <w:t>6</w:t>
      </w:r>
      <w:r w:rsidR="002E6A9A">
        <w:rPr>
          <w:rFonts w:ascii="Verdana" w:hAnsi="Verdana"/>
          <w:sz w:val="20"/>
          <w:szCs w:val="16"/>
          <w:lang w:val="es-CL"/>
        </w:rPr>
        <w:t xml:space="preserve"> y 2</w:t>
      </w:r>
      <w:r w:rsidR="00C6442C">
        <w:rPr>
          <w:rFonts w:ascii="Verdana" w:hAnsi="Verdana"/>
          <w:sz w:val="20"/>
          <w:szCs w:val="16"/>
          <w:lang w:val="es-CL"/>
        </w:rPr>
        <w:t>5</w:t>
      </w:r>
      <w:r w:rsidR="00220171">
        <w:rPr>
          <w:rFonts w:ascii="Verdana" w:hAnsi="Verdana"/>
          <w:sz w:val="20"/>
          <w:szCs w:val="16"/>
          <w:lang w:val="es-CL"/>
        </w:rPr>
        <w:t>)</w:t>
      </w:r>
      <w:r w:rsidR="00006044">
        <w:rPr>
          <w:rFonts w:ascii="Verdana" w:hAnsi="Verdana"/>
          <w:sz w:val="20"/>
          <w:szCs w:val="16"/>
          <w:lang w:val="es-CL"/>
        </w:rPr>
        <w:t xml:space="preserve">. Asimismo, el Estado ha informado sobre las actuaciones realizadas en la investigación sobre la desaparición y muerte de </w:t>
      </w:r>
      <w:r w:rsidR="00750187">
        <w:rPr>
          <w:rFonts w:ascii="Verdana" w:hAnsi="Verdana"/>
          <w:sz w:val="20"/>
          <w:szCs w:val="16"/>
          <w:lang w:val="es-CL"/>
        </w:rPr>
        <w:t>Raúl Lucas Lucía</w:t>
      </w:r>
      <w:r w:rsidR="00006044">
        <w:rPr>
          <w:rFonts w:ascii="Verdana" w:hAnsi="Verdana"/>
          <w:sz w:val="20"/>
          <w:szCs w:val="16"/>
          <w:lang w:val="es-CL"/>
        </w:rPr>
        <w:t xml:space="preserve"> y Manuel Ponce Rosas (</w:t>
      </w:r>
      <w:r w:rsidR="00915A4A">
        <w:rPr>
          <w:rFonts w:ascii="Verdana" w:hAnsi="Verdana"/>
          <w:i/>
          <w:sz w:val="20"/>
          <w:szCs w:val="16"/>
          <w:lang w:val="es-CL"/>
        </w:rPr>
        <w:t>supra</w:t>
      </w:r>
      <w:r w:rsidR="00006044">
        <w:rPr>
          <w:rFonts w:ascii="Verdana" w:hAnsi="Verdana"/>
          <w:i/>
          <w:sz w:val="20"/>
          <w:szCs w:val="16"/>
          <w:lang w:val="es-CL"/>
        </w:rPr>
        <w:t xml:space="preserve"> </w:t>
      </w:r>
      <w:r w:rsidR="00006044">
        <w:rPr>
          <w:rFonts w:ascii="Verdana" w:hAnsi="Verdana"/>
          <w:sz w:val="20"/>
          <w:szCs w:val="16"/>
          <w:lang w:val="es-CL"/>
        </w:rPr>
        <w:t xml:space="preserve">Considerando </w:t>
      </w:r>
      <w:r w:rsidR="00915A4A">
        <w:rPr>
          <w:rFonts w:ascii="Verdana" w:hAnsi="Verdana"/>
          <w:sz w:val="20"/>
          <w:szCs w:val="16"/>
          <w:lang w:val="es-CL"/>
        </w:rPr>
        <w:t>11</w:t>
      </w:r>
      <w:r w:rsidR="00006044">
        <w:rPr>
          <w:rFonts w:ascii="Verdana" w:hAnsi="Verdana"/>
          <w:sz w:val="20"/>
          <w:szCs w:val="16"/>
          <w:lang w:val="es-CL"/>
        </w:rPr>
        <w:t xml:space="preserve">). </w:t>
      </w:r>
      <w:r w:rsidR="00C8299B">
        <w:rPr>
          <w:rFonts w:ascii="Verdana" w:hAnsi="Verdana"/>
          <w:sz w:val="20"/>
          <w:szCs w:val="16"/>
          <w:lang w:val="es-CL"/>
        </w:rPr>
        <w:t>Ante</w:t>
      </w:r>
      <w:r w:rsidR="00006044">
        <w:rPr>
          <w:rFonts w:ascii="Verdana" w:hAnsi="Verdana"/>
          <w:sz w:val="20"/>
          <w:szCs w:val="16"/>
          <w:lang w:val="es-CL"/>
        </w:rPr>
        <w:t xml:space="preserve"> la falta de información </w:t>
      </w:r>
      <w:r w:rsidR="00C8299B">
        <w:rPr>
          <w:rFonts w:ascii="Verdana" w:hAnsi="Verdana"/>
          <w:sz w:val="20"/>
          <w:szCs w:val="16"/>
          <w:lang w:val="es-CL"/>
        </w:rPr>
        <w:t>de hechos recientes vinculados con el caso contencioso</w:t>
      </w:r>
      <w:r w:rsidR="00C8299B" w:rsidRPr="00C8299B">
        <w:rPr>
          <w:rFonts w:ascii="Verdana" w:hAnsi="Verdana"/>
          <w:i/>
          <w:sz w:val="20"/>
          <w:szCs w:val="16"/>
          <w:lang w:val="es-CL"/>
        </w:rPr>
        <w:t xml:space="preserve"> Fernández Ortega</w:t>
      </w:r>
      <w:r w:rsidR="00915A4A">
        <w:rPr>
          <w:rFonts w:ascii="Verdana" w:hAnsi="Verdana"/>
          <w:i/>
          <w:sz w:val="20"/>
          <w:szCs w:val="16"/>
          <w:lang w:val="es-CL"/>
        </w:rPr>
        <w:t xml:space="preserve"> y otros,</w:t>
      </w:r>
      <w:r w:rsidR="00006044">
        <w:rPr>
          <w:rFonts w:ascii="Verdana" w:hAnsi="Verdana"/>
          <w:sz w:val="20"/>
          <w:szCs w:val="16"/>
          <w:lang w:val="es-CL"/>
        </w:rPr>
        <w:t xml:space="preserve"> el Tribunal decide </w:t>
      </w:r>
      <w:r w:rsidR="00006044" w:rsidRPr="005A6671">
        <w:rPr>
          <w:rFonts w:ascii="Verdana" w:hAnsi="Verdana"/>
          <w:sz w:val="20"/>
          <w:szCs w:val="16"/>
          <w:lang w:val="es-CL"/>
        </w:rPr>
        <w:t>levantar</w:t>
      </w:r>
      <w:r w:rsidR="00006044">
        <w:rPr>
          <w:rFonts w:ascii="Verdana" w:hAnsi="Verdana"/>
          <w:sz w:val="20"/>
          <w:szCs w:val="16"/>
          <w:lang w:val="es-CL"/>
        </w:rPr>
        <w:t xml:space="preserve"> las medidas provisionales respecto de ellos. </w:t>
      </w:r>
    </w:p>
    <w:p w:rsidR="00C210CF" w:rsidRDefault="00C210CF" w:rsidP="00C210CF">
      <w:pPr>
        <w:pStyle w:val="Prrafodelista"/>
        <w:rPr>
          <w:rFonts w:ascii="Verdana" w:hAnsi="Verdana" w:cs="MSReferenceSansSerif"/>
          <w:color w:val="000000"/>
          <w:sz w:val="20"/>
          <w:lang w:eastAsia="en-US"/>
        </w:rPr>
      </w:pPr>
    </w:p>
    <w:p w:rsidR="00C210CF" w:rsidRPr="00C210CF" w:rsidRDefault="00C8299B" w:rsidP="00006044">
      <w:pPr>
        <w:numPr>
          <w:ilvl w:val="0"/>
          <w:numId w:val="2"/>
        </w:numPr>
        <w:ind w:left="0" w:firstLine="0"/>
        <w:jc w:val="both"/>
        <w:rPr>
          <w:rFonts w:ascii="Verdana" w:hAnsi="Verdana" w:cs="Arial"/>
          <w:sz w:val="20"/>
          <w:lang w:val="es-AR"/>
        </w:rPr>
      </w:pPr>
      <w:r w:rsidRPr="00C8299B">
        <w:rPr>
          <w:rFonts w:ascii="Verdana" w:hAnsi="Verdana" w:cs="MSReferenceSansSerif"/>
          <w:color w:val="000000"/>
          <w:sz w:val="20"/>
          <w:lang w:eastAsia="en-US"/>
        </w:rPr>
        <w:t>L</w:t>
      </w:r>
      <w:r w:rsidR="00C210CF" w:rsidRPr="00C210CF">
        <w:rPr>
          <w:rFonts w:ascii="Verdana" w:hAnsi="Verdana" w:cs="MSReferenceSansSerif"/>
          <w:color w:val="000000"/>
          <w:sz w:val="20"/>
          <w:lang w:eastAsia="en-US"/>
        </w:rPr>
        <w:t xml:space="preserve">a Corte Interamericana también toma nota </w:t>
      </w:r>
      <w:r w:rsidR="002E6A9A">
        <w:rPr>
          <w:rFonts w:ascii="Verdana" w:hAnsi="Verdana" w:cs="MSReferenceSansSerif"/>
          <w:color w:val="000000"/>
          <w:sz w:val="20"/>
          <w:lang w:eastAsia="en-US"/>
        </w:rPr>
        <w:t xml:space="preserve">de </w:t>
      </w:r>
      <w:r w:rsidR="00C210CF" w:rsidRPr="00C210CF">
        <w:rPr>
          <w:rFonts w:ascii="Verdana" w:hAnsi="Verdana" w:cs="MSReferenceSansSerif"/>
          <w:color w:val="000000"/>
          <w:sz w:val="20"/>
          <w:lang w:eastAsia="en-US"/>
        </w:rPr>
        <w:t>la iniciativa del Estado de impulsar la adopción de medidas internas de protección</w:t>
      </w:r>
      <w:r w:rsidR="00844A46">
        <w:rPr>
          <w:rFonts w:ascii="Verdana" w:hAnsi="Verdana" w:cs="MSReferenceSansSerif"/>
          <w:color w:val="000000"/>
          <w:sz w:val="20"/>
          <w:lang w:eastAsia="en-US"/>
        </w:rPr>
        <w:t xml:space="preserve">. En este sentido, en relación con las personas sobre las cuales se levantan las presentes medidas, el Tribunal recuerda </w:t>
      </w:r>
      <w:r w:rsidR="00C210CF" w:rsidRPr="00C210CF">
        <w:rPr>
          <w:rFonts w:ascii="Verdana" w:hAnsi="Verdana" w:cs="MSReferenceSansSerif"/>
          <w:color w:val="000000"/>
          <w:sz w:val="20"/>
          <w:lang w:eastAsia="en-US"/>
        </w:rPr>
        <w:t>que e</w:t>
      </w:r>
      <w:r w:rsidR="00C210CF" w:rsidRPr="00C210CF">
        <w:rPr>
          <w:rFonts w:ascii="Verdana" w:hAnsi="Verdana"/>
          <w:sz w:val="20"/>
        </w:rPr>
        <w:t>l artículo 1.1 de la Convención establece las obligaciones generales que tienen los Estados Parte de respetar los derechos y libertades en ella consagrados y de garantizar su libre y pleno ejercicio a toda persona que esté sujeta a su jurisdicción. En consecuencia, independientemente de la existencia de medidas provisionales específicas, el Estado se encuentra especialmente obligado a garantizar los derechos de las personas en situación de riesgo y debe impulsar las investigaciones necesarias para esclarecer los hechos, seguidas de las consecuencias que la legislación pertinente establezca</w:t>
      </w:r>
      <w:r w:rsidR="00C210CF">
        <w:rPr>
          <w:rStyle w:val="Refdenotaalpie"/>
          <w:rFonts w:ascii="Verdana" w:hAnsi="Verdana" w:cs="HelveticaNeue-Black"/>
          <w:bCs/>
          <w:color w:val="000000"/>
          <w:sz w:val="20"/>
          <w:lang w:eastAsia="en-US"/>
        </w:rPr>
        <w:footnoteReference w:id="11"/>
      </w:r>
      <w:r w:rsidR="002E6A9A">
        <w:rPr>
          <w:rFonts w:ascii="Verdana" w:hAnsi="Verdana"/>
          <w:sz w:val="20"/>
        </w:rPr>
        <w:t xml:space="preserve">. </w:t>
      </w:r>
      <w:r w:rsidR="00C210CF" w:rsidRPr="00C210CF">
        <w:rPr>
          <w:rFonts w:ascii="Verdana" w:hAnsi="Verdana" w:cs="MSReferenceSansSerif"/>
          <w:color w:val="000000"/>
          <w:sz w:val="20"/>
          <w:lang w:eastAsia="en-US"/>
        </w:rPr>
        <w:t xml:space="preserve">Asimismo, la Corte Interamericana en otras ocasiones ha destacado el deber de protección particular que recae sobre los Estados respecto de personas </w:t>
      </w:r>
      <w:r w:rsidR="00C210CF" w:rsidRPr="00C210CF">
        <w:rPr>
          <w:rFonts w:ascii="Verdana" w:hAnsi="Verdana" w:cs="Verdana"/>
          <w:sz w:val="20"/>
        </w:rPr>
        <w:t>que trabajen a favor de la defensa de los derechos humanos</w:t>
      </w:r>
      <w:r w:rsidR="00C210CF">
        <w:rPr>
          <w:rStyle w:val="Refdenotaalpie"/>
          <w:rFonts w:ascii="Verdana" w:hAnsi="Verdana" w:cs="Verdana"/>
          <w:sz w:val="20"/>
        </w:rPr>
        <w:footnoteReference w:id="12"/>
      </w:r>
      <w:r w:rsidR="00C210CF" w:rsidRPr="00C210CF">
        <w:rPr>
          <w:rFonts w:ascii="Verdana" w:hAnsi="Verdana" w:cs="Verdana"/>
          <w:sz w:val="20"/>
        </w:rPr>
        <w:t>.</w:t>
      </w:r>
    </w:p>
    <w:p w:rsidR="00C210CF" w:rsidRDefault="00C210CF" w:rsidP="00006044">
      <w:pPr>
        <w:pStyle w:val="ListParagraph"/>
        <w:ind w:left="0"/>
        <w:jc w:val="both"/>
        <w:rPr>
          <w:rFonts w:ascii="Verdana" w:hAnsi="Verdana"/>
          <w:sz w:val="20"/>
        </w:rPr>
      </w:pPr>
    </w:p>
    <w:p w:rsidR="00006044" w:rsidRDefault="009B14DA" w:rsidP="00220171">
      <w:pPr>
        <w:pStyle w:val="ListParagraph"/>
        <w:numPr>
          <w:ilvl w:val="0"/>
          <w:numId w:val="2"/>
        </w:numPr>
        <w:ind w:left="0" w:firstLine="0"/>
        <w:jc w:val="both"/>
        <w:rPr>
          <w:rFonts w:ascii="Verdana" w:hAnsi="Verdana"/>
          <w:sz w:val="20"/>
        </w:rPr>
      </w:pPr>
      <w:r>
        <w:rPr>
          <w:rFonts w:ascii="Verdana" w:hAnsi="Verdana"/>
          <w:sz w:val="20"/>
        </w:rPr>
        <w:t>Por otra parte</w:t>
      </w:r>
      <w:r w:rsidR="00006044" w:rsidRPr="0053383A">
        <w:rPr>
          <w:rFonts w:ascii="Verdana" w:hAnsi="Verdana"/>
          <w:sz w:val="20"/>
        </w:rPr>
        <w:t>,</w:t>
      </w:r>
      <w:r>
        <w:rPr>
          <w:rFonts w:ascii="Verdana" w:hAnsi="Verdana"/>
          <w:sz w:val="20"/>
        </w:rPr>
        <w:t xml:space="preserve"> </w:t>
      </w:r>
      <w:r w:rsidR="002E6A9A">
        <w:rPr>
          <w:rFonts w:ascii="Verdana" w:hAnsi="Verdana"/>
          <w:sz w:val="20"/>
        </w:rPr>
        <w:t xml:space="preserve">es necesario precisar </w:t>
      </w:r>
      <w:r>
        <w:rPr>
          <w:rFonts w:ascii="Verdana" w:hAnsi="Verdana"/>
          <w:sz w:val="20"/>
        </w:rPr>
        <w:t xml:space="preserve">algunos hechos en contra de determinados beneficiarios </w:t>
      </w:r>
      <w:r w:rsidR="002E6A9A">
        <w:rPr>
          <w:rFonts w:ascii="Verdana" w:hAnsi="Verdana"/>
          <w:sz w:val="20"/>
        </w:rPr>
        <w:t xml:space="preserve">que </w:t>
      </w:r>
      <w:r>
        <w:rPr>
          <w:rFonts w:ascii="Verdana" w:hAnsi="Verdana"/>
          <w:sz w:val="20"/>
        </w:rPr>
        <w:t xml:space="preserve">se </w:t>
      </w:r>
      <w:r w:rsidR="002E6A9A">
        <w:rPr>
          <w:rFonts w:ascii="Verdana" w:hAnsi="Verdana"/>
          <w:sz w:val="20"/>
        </w:rPr>
        <w:t>relacionan</w:t>
      </w:r>
      <w:r>
        <w:rPr>
          <w:rFonts w:ascii="Verdana" w:hAnsi="Verdana"/>
          <w:sz w:val="20"/>
        </w:rPr>
        <w:t xml:space="preserve"> a la</w:t>
      </w:r>
      <w:r w:rsidR="002E6A9A">
        <w:rPr>
          <w:rFonts w:ascii="Verdana" w:hAnsi="Verdana"/>
          <w:sz w:val="20"/>
        </w:rPr>
        <w:t>s</w:t>
      </w:r>
      <w:r>
        <w:rPr>
          <w:rFonts w:ascii="Verdana" w:hAnsi="Verdana"/>
          <w:sz w:val="20"/>
        </w:rPr>
        <w:t xml:space="preserve"> organizaci</w:t>
      </w:r>
      <w:r w:rsidR="002E6A9A">
        <w:rPr>
          <w:rFonts w:ascii="Verdana" w:hAnsi="Verdana"/>
          <w:sz w:val="20"/>
        </w:rPr>
        <w:t>o</w:t>
      </w:r>
      <w:r>
        <w:rPr>
          <w:rFonts w:ascii="Verdana" w:hAnsi="Verdana"/>
          <w:sz w:val="20"/>
        </w:rPr>
        <w:t>n</w:t>
      </w:r>
      <w:r w:rsidR="002E6A9A">
        <w:rPr>
          <w:rFonts w:ascii="Verdana" w:hAnsi="Verdana"/>
          <w:sz w:val="20"/>
        </w:rPr>
        <w:t>es</w:t>
      </w:r>
      <w:r>
        <w:rPr>
          <w:rFonts w:ascii="Verdana" w:hAnsi="Verdana"/>
          <w:sz w:val="20"/>
        </w:rPr>
        <w:t xml:space="preserve"> </w:t>
      </w:r>
      <w:proofErr w:type="spellStart"/>
      <w:r>
        <w:rPr>
          <w:rFonts w:ascii="Verdana" w:hAnsi="Verdana"/>
          <w:sz w:val="20"/>
        </w:rPr>
        <w:t>Tlachinollan</w:t>
      </w:r>
      <w:proofErr w:type="spellEnd"/>
      <w:r>
        <w:rPr>
          <w:rFonts w:ascii="Verdana" w:hAnsi="Verdana"/>
          <w:sz w:val="20"/>
        </w:rPr>
        <w:t xml:space="preserve"> </w:t>
      </w:r>
      <w:r w:rsidR="002E6A9A">
        <w:rPr>
          <w:rFonts w:ascii="Verdana" w:hAnsi="Verdana"/>
          <w:sz w:val="20"/>
        </w:rPr>
        <w:t xml:space="preserve">u </w:t>
      </w:r>
      <w:r>
        <w:rPr>
          <w:rFonts w:ascii="Verdana" w:hAnsi="Verdana"/>
          <w:sz w:val="20"/>
        </w:rPr>
        <w:t xml:space="preserve">OPIM. </w:t>
      </w:r>
      <w:r w:rsidR="002846CB">
        <w:rPr>
          <w:rFonts w:ascii="Verdana" w:hAnsi="Verdana"/>
          <w:sz w:val="20"/>
        </w:rPr>
        <w:t>T</w:t>
      </w:r>
      <w:r w:rsidR="00006044" w:rsidRPr="0053383A">
        <w:rPr>
          <w:rFonts w:ascii="Verdana" w:hAnsi="Verdana"/>
          <w:sz w:val="20"/>
        </w:rPr>
        <w:t xml:space="preserve">eniendo en cuenta el carácter temporal de las medidas provisionales y que las mismas se han extendido por </w:t>
      </w:r>
      <w:r w:rsidR="00006044">
        <w:rPr>
          <w:rFonts w:ascii="Verdana" w:hAnsi="Verdana"/>
          <w:sz w:val="20"/>
        </w:rPr>
        <w:t xml:space="preserve">casi tres </w:t>
      </w:r>
      <w:r w:rsidR="00006044" w:rsidRPr="0053383A">
        <w:rPr>
          <w:rFonts w:ascii="Verdana" w:hAnsi="Verdana"/>
          <w:sz w:val="20"/>
        </w:rPr>
        <w:t>años, con el fin de evaluar la necesidad de su mantenimiento</w:t>
      </w:r>
      <w:r w:rsidR="00006044">
        <w:rPr>
          <w:rFonts w:ascii="Verdana" w:hAnsi="Verdana"/>
          <w:sz w:val="20"/>
        </w:rPr>
        <w:t xml:space="preserve"> en relación con los </w:t>
      </w:r>
      <w:r w:rsidR="00DE114F" w:rsidRPr="00C8299B">
        <w:rPr>
          <w:rFonts w:ascii="Verdana" w:hAnsi="Verdana"/>
          <w:sz w:val="20"/>
        </w:rPr>
        <w:t>actuales</w:t>
      </w:r>
      <w:r w:rsidR="009027BD">
        <w:rPr>
          <w:rFonts w:ascii="Verdana" w:hAnsi="Verdana"/>
          <w:sz w:val="20"/>
        </w:rPr>
        <w:t xml:space="preserve"> </w:t>
      </w:r>
      <w:r w:rsidR="00006044">
        <w:rPr>
          <w:rFonts w:ascii="Verdana" w:hAnsi="Verdana"/>
          <w:sz w:val="20"/>
        </w:rPr>
        <w:t xml:space="preserve">miembros de las organizaciones OPIM y </w:t>
      </w:r>
      <w:proofErr w:type="spellStart"/>
      <w:r w:rsidR="00006044">
        <w:rPr>
          <w:rFonts w:ascii="Verdana" w:hAnsi="Verdana"/>
          <w:sz w:val="20"/>
        </w:rPr>
        <w:t>Tlachinollan</w:t>
      </w:r>
      <w:proofErr w:type="spellEnd"/>
      <w:r w:rsidR="00006044">
        <w:rPr>
          <w:rFonts w:ascii="Verdana" w:hAnsi="Verdana"/>
          <w:sz w:val="20"/>
        </w:rPr>
        <w:t xml:space="preserve">, </w:t>
      </w:r>
      <w:r w:rsidR="00006044" w:rsidRPr="0053383A">
        <w:rPr>
          <w:rFonts w:ascii="Verdana" w:hAnsi="Verdana"/>
          <w:sz w:val="20"/>
        </w:rPr>
        <w:t xml:space="preserve">resulta imprescindible que los representantes remitan información detallada y actualizada sobre las circunstancias de riesgo a </w:t>
      </w:r>
      <w:r w:rsidR="00C106C5">
        <w:rPr>
          <w:rFonts w:ascii="Verdana" w:hAnsi="Verdana"/>
          <w:sz w:val="20"/>
        </w:rPr>
        <w:t>su</w:t>
      </w:r>
      <w:r w:rsidR="00006044" w:rsidRPr="0053383A">
        <w:rPr>
          <w:rFonts w:ascii="Verdana" w:hAnsi="Verdana"/>
          <w:sz w:val="20"/>
        </w:rPr>
        <w:t xml:space="preserve"> vida e integridad personal. Particularmente, </w:t>
      </w:r>
      <w:r w:rsidR="00006044">
        <w:rPr>
          <w:rFonts w:ascii="Verdana" w:hAnsi="Verdana"/>
          <w:sz w:val="20"/>
        </w:rPr>
        <w:t xml:space="preserve">y más allá de lo ya informado, </w:t>
      </w:r>
      <w:r w:rsidR="00006044" w:rsidRPr="0053383A">
        <w:rPr>
          <w:rFonts w:ascii="Verdana" w:hAnsi="Verdana"/>
          <w:sz w:val="20"/>
        </w:rPr>
        <w:t>es preciso que los representantes remitan</w:t>
      </w:r>
      <w:r w:rsidR="009027BD">
        <w:rPr>
          <w:rFonts w:ascii="Verdana" w:hAnsi="Verdana"/>
          <w:sz w:val="20"/>
        </w:rPr>
        <w:t xml:space="preserve"> información </w:t>
      </w:r>
      <w:r w:rsidR="009027BD" w:rsidRPr="00A156C4">
        <w:rPr>
          <w:rFonts w:ascii="Verdana" w:hAnsi="Verdana"/>
          <w:sz w:val="20"/>
        </w:rPr>
        <w:t>específica</w:t>
      </w:r>
      <w:r w:rsidR="00006044" w:rsidRPr="0053383A">
        <w:rPr>
          <w:rFonts w:ascii="Verdana" w:hAnsi="Verdana"/>
          <w:sz w:val="20"/>
        </w:rPr>
        <w:t xml:space="preserve"> y</w:t>
      </w:r>
      <w:r w:rsidR="002846CB">
        <w:rPr>
          <w:rFonts w:ascii="Verdana" w:hAnsi="Verdana"/>
          <w:sz w:val="20"/>
        </w:rPr>
        <w:t xml:space="preserve"> </w:t>
      </w:r>
      <w:r w:rsidR="00B34756">
        <w:rPr>
          <w:rFonts w:ascii="Verdana" w:hAnsi="Verdana"/>
          <w:sz w:val="20"/>
        </w:rPr>
        <w:t xml:space="preserve">con elementos de respaldo sobre: a) </w:t>
      </w:r>
      <w:r w:rsidR="00006044" w:rsidRPr="0053383A">
        <w:rPr>
          <w:rFonts w:ascii="Verdana" w:hAnsi="Verdana"/>
          <w:sz w:val="20"/>
        </w:rPr>
        <w:t>los hechos de amenazas que habría</w:t>
      </w:r>
      <w:r w:rsidR="00006044">
        <w:rPr>
          <w:rFonts w:ascii="Verdana" w:hAnsi="Verdana"/>
          <w:sz w:val="20"/>
        </w:rPr>
        <w:t>n</w:t>
      </w:r>
      <w:r w:rsidR="00006044" w:rsidRPr="0053383A">
        <w:rPr>
          <w:rFonts w:ascii="Verdana" w:hAnsi="Verdana"/>
          <w:sz w:val="20"/>
        </w:rPr>
        <w:t xml:space="preserve"> sufrido cada </w:t>
      </w:r>
      <w:r w:rsidR="00B34756">
        <w:rPr>
          <w:rFonts w:ascii="Verdana" w:hAnsi="Verdana"/>
          <w:sz w:val="20"/>
        </w:rPr>
        <w:t xml:space="preserve">uno de </w:t>
      </w:r>
      <w:r w:rsidR="00006044" w:rsidRPr="0053383A">
        <w:rPr>
          <w:rFonts w:ascii="Verdana" w:hAnsi="Verdana"/>
          <w:sz w:val="20"/>
        </w:rPr>
        <w:t>estos</w:t>
      </w:r>
      <w:r w:rsidR="00006044">
        <w:rPr>
          <w:rFonts w:ascii="Verdana" w:hAnsi="Verdana"/>
          <w:sz w:val="20"/>
        </w:rPr>
        <w:t xml:space="preserve"> beneficiarios</w:t>
      </w:r>
      <w:r w:rsidR="00B34756">
        <w:rPr>
          <w:rFonts w:ascii="Verdana" w:hAnsi="Verdana"/>
          <w:sz w:val="20"/>
        </w:rPr>
        <w:t xml:space="preserve">, y b) la relación entre estos hechos y los fundamentos que justificaron la adopción, en su momento, de las </w:t>
      </w:r>
      <w:r w:rsidR="00B34756">
        <w:rPr>
          <w:rFonts w:ascii="Verdana" w:hAnsi="Verdana"/>
          <w:sz w:val="20"/>
        </w:rPr>
        <w:lastRenderedPageBreak/>
        <w:t xml:space="preserve">presentes medidas provisionales, </w:t>
      </w:r>
      <w:r w:rsidR="00006044">
        <w:rPr>
          <w:rFonts w:ascii="Verdana" w:hAnsi="Verdana"/>
          <w:sz w:val="20"/>
        </w:rPr>
        <w:t xml:space="preserve">a fin de acreditar el cumplimiento de los requisitos de </w:t>
      </w:r>
      <w:r w:rsidR="00C8299B">
        <w:rPr>
          <w:rFonts w:ascii="Verdana" w:hAnsi="Verdana"/>
          <w:sz w:val="20"/>
        </w:rPr>
        <w:t>mantenimiento</w:t>
      </w:r>
      <w:r w:rsidR="00006044">
        <w:rPr>
          <w:rFonts w:ascii="Verdana" w:hAnsi="Verdana"/>
          <w:sz w:val="20"/>
        </w:rPr>
        <w:t xml:space="preserve"> de </w:t>
      </w:r>
      <w:r w:rsidR="00B34756">
        <w:rPr>
          <w:rFonts w:ascii="Verdana" w:hAnsi="Verdana"/>
          <w:sz w:val="20"/>
        </w:rPr>
        <w:t>las mismas</w:t>
      </w:r>
      <w:r w:rsidR="00006044">
        <w:rPr>
          <w:rFonts w:ascii="Verdana" w:hAnsi="Verdana"/>
          <w:sz w:val="20"/>
        </w:rPr>
        <w:t xml:space="preserve">. </w:t>
      </w:r>
    </w:p>
    <w:p w:rsidR="00006044" w:rsidRPr="00A92924" w:rsidRDefault="00006044" w:rsidP="00006044">
      <w:pPr>
        <w:pStyle w:val="ListParagraph"/>
        <w:ind w:left="0"/>
        <w:jc w:val="both"/>
        <w:rPr>
          <w:rFonts w:ascii="Verdana" w:hAnsi="Verdana"/>
          <w:sz w:val="20"/>
        </w:rPr>
      </w:pPr>
    </w:p>
    <w:p w:rsidR="00B35ADA" w:rsidRPr="00D96A8A" w:rsidRDefault="00006044" w:rsidP="00D96A8A">
      <w:pPr>
        <w:numPr>
          <w:ilvl w:val="0"/>
          <w:numId w:val="2"/>
        </w:numPr>
        <w:ind w:left="0" w:firstLine="0"/>
        <w:jc w:val="both"/>
        <w:rPr>
          <w:rFonts w:ascii="Verdana" w:hAnsi="Verdana"/>
          <w:sz w:val="20"/>
        </w:rPr>
      </w:pPr>
      <w:r>
        <w:rPr>
          <w:rFonts w:ascii="Verdana" w:hAnsi="Verdana"/>
          <w:sz w:val="20"/>
        </w:rPr>
        <w:t>Por lo expuesto, la Corte considera que resulta procedente mantener vigente</w:t>
      </w:r>
      <w:r w:rsidR="00C8299B">
        <w:rPr>
          <w:rFonts w:ascii="Verdana" w:hAnsi="Verdana"/>
          <w:sz w:val="20"/>
        </w:rPr>
        <w:t xml:space="preserve">s </w:t>
      </w:r>
      <w:r>
        <w:rPr>
          <w:rFonts w:ascii="Verdana" w:hAnsi="Verdana"/>
          <w:sz w:val="20"/>
        </w:rPr>
        <w:t xml:space="preserve">las medidas provisionales, en virtud de las cuales el Estado tiene la obligación de proteger la vida y la integridad </w:t>
      </w:r>
      <w:r w:rsidR="00C8299B">
        <w:rPr>
          <w:rFonts w:ascii="Verdana" w:hAnsi="Verdana"/>
          <w:sz w:val="20"/>
        </w:rPr>
        <w:t xml:space="preserve">personal </w:t>
      </w:r>
      <w:r>
        <w:rPr>
          <w:rFonts w:ascii="Verdana" w:hAnsi="Verdana"/>
          <w:sz w:val="20"/>
        </w:rPr>
        <w:t>de</w:t>
      </w:r>
      <w:r w:rsidR="00C8299B">
        <w:rPr>
          <w:rFonts w:ascii="Verdana" w:hAnsi="Verdana"/>
          <w:sz w:val="20"/>
        </w:rPr>
        <w:t>:</w:t>
      </w:r>
      <w:r>
        <w:rPr>
          <w:rFonts w:ascii="Verdana" w:hAnsi="Verdana"/>
          <w:sz w:val="20"/>
        </w:rPr>
        <w:t xml:space="preserve"> </w:t>
      </w:r>
      <w:r w:rsidRPr="003D5B7C">
        <w:rPr>
          <w:rFonts w:ascii="Verdana" w:hAnsi="Verdana"/>
          <w:sz w:val="20"/>
          <w:szCs w:val="16"/>
        </w:rPr>
        <w:t xml:space="preserve">a) </w:t>
      </w:r>
      <w:r w:rsidRPr="003D5B7C">
        <w:rPr>
          <w:rFonts w:ascii="Verdana" w:hAnsi="Verdana"/>
          <w:sz w:val="20"/>
          <w:szCs w:val="16"/>
          <w:lang w:val="es-CL"/>
        </w:rPr>
        <w:t xml:space="preserve">Obtilia Eugenio Manuel y </w:t>
      </w:r>
      <w:r w:rsidR="004E1FD3">
        <w:rPr>
          <w:rFonts w:ascii="Verdana" w:hAnsi="Verdana"/>
          <w:sz w:val="20"/>
          <w:szCs w:val="16"/>
          <w:lang w:val="es-CL"/>
        </w:rPr>
        <w:t>los familiares declarados oportunamente beneficiarios de las presentes medidas</w:t>
      </w:r>
      <w:r w:rsidRPr="003D5B7C">
        <w:rPr>
          <w:rFonts w:ascii="Verdana" w:hAnsi="Verdana"/>
          <w:sz w:val="20"/>
          <w:szCs w:val="16"/>
          <w:lang w:val="es-CL"/>
        </w:rPr>
        <w:t xml:space="preserve">; </w:t>
      </w:r>
      <w:r w:rsidRPr="003D5B7C">
        <w:rPr>
          <w:rFonts w:ascii="Verdana" w:hAnsi="Verdana"/>
          <w:sz w:val="20"/>
          <w:szCs w:val="16"/>
        </w:rPr>
        <w:t xml:space="preserve">b) </w:t>
      </w:r>
      <w:r w:rsidRPr="003D5B7C">
        <w:rPr>
          <w:rFonts w:ascii="Verdana" w:hAnsi="Verdana"/>
          <w:sz w:val="20"/>
          <w:szCs w:val="16"/>
          <w:lang w:val="es-CL"/>
        </w:rPr>
        <w:t xml:space="preserve">Inés Fernández Ortega y </w:t>
      </w:r>
      <w:r w:rsidR="004E1FD3">
        <w:rPr>
          <w:rFonts w:ascii="Verdana" w:hAnsi="Verdana"/>
          <w:sz w:val="20"/>
          <w:szCs w:val="16"/>
          <w:lang w:val="es-CL"/>
        </w:rPr>
        <w:t>sus</w:t>
      </w:r>
      <w:r w:rsidRPr="003D5B7C">
        <w:rPr>
          <w:rFonts w:ascii="Verdana" w:hAnsi="Verdana"/>
          <w:sz w:val="20"/>
          <w:szCs w:val="16"/>
          <w:lang w:val="es-CL"/>
        </w:rPr>
        <w:t xml:space="preserve"> familiares</w:t>
      </w:r>
      <w:r w:rsidR="004E1FD3">
        <w:rPr>
          <w:rFonts w:ascii="Verdana" w:hAnsi="Verdana"/>
          <w:sz w:val="20"/>
          <w:szCs w:val="16"/>
          <w:lang w:val="es-CL"/>
        </w:rPr>
        <w:t xml:space="preserve"> oportunamente declarados benefic</w:t>
      </w:r>
      <w:r w:rsidR="009027BD">
        <w:rPr>
          <w:rFonts w:ascii="Verdana" w:hAnsi="Verdana"/>
          <w:sz w:val="20"/>
          <w:szCs w:val="16"/>
          <w:lang w:val="es-CL"/>
        </w:rPr>
        <w:t>i</w:t>
      </w:r>
      <w:r w:rsidR="004E1FD3">
        <w:rPr>
          <w:rFonts w:ascii="Verdana" w:hAnsi="Verdana"/>
          <w:sz w:val="20"/>
          <w:szCs w:val="16"/>
          <w:lang w:val="es-CL"/>
        </w:rPr>
        <w:t>arios de las presentes medidas</w:t>
      </w:r>
      <w:r w:rsidRPr="003D5B7C">
        <w:rPr>
          <w:rFonts w:ascii="Verdana" w:hAnsi="Verdana"/>
          <w:sz w:val="20"/>
          <w:szCs w:val="16"/>
          <w:lang w:val="es-CL"/>
        </w:rPr>
        <w:t xml:space="preserve">; c) </w:t>
      </w:r>
      <w:r w:rsidR="004E1FD3">
        <w:rPr>
          <w:rFonts w:ascii="Verdana" w:hAnsi="Verdana"/>
          <w:sz w:val="20"/>
          <w:szCs w:val="16"/>
          <w:lang w:val="es-CL"/>
        </w:rPr>
        <w:t>los</w:t>
      </w:r>
      <w:r w:rsidRPr="003D5B7C">
        <w:rPr>
          <w:rFonts w:ascii="Verdana" w:hAnsi="Verdana"/>
          <w:sz w:val="20"/>
          <w:szCs w:val="16"/>
          <w:lang w:val="es-CL"/>
        </w:rPr>
        <w:t xml:space="preserve"> integrantes de la </w:t>
      </w:r>
      <w:r w:rsidRPr="003D5B7C">
        <w:rPr>
          <w:rFonts w:ascii="Verdana" w:hAnsi="Verdana"/>
          <w:sz w:val="20"/>
          <w:szCs w:val="16"/>
          <w:lang w:val="es-ES"/>
        </w:rPr>
        <w:t xml:space="preserve">Organización del Pueblo Indígena </w:t>
      </w:r>
      <w:proofErr w:type="spellStart"/>
      <w:r w:rsidRPr="003D5B7C">
        <w:rPr>
          <w:rFonts w:ascii="Verdana" w:hAnsi="Verdana"/>
          <w:sz w:val="20"/>
          <w:szCs w:val="16"/>
          <w:lang w:val="es-ES"/>
        </w:rPr>
        <w:t>Tlapaneco</w:t>
      </w:r>
      <w:proofErr w:type="spellEnd"/>
      <w:r w:rsidRPr="003D5B7C">
        <w:rPr>
          <w:rFonts w:ascii="Verdana" w:hAnsi="Verdana"/>
          <w:sz w:val="20"/>
          <w:szCs w:val="16"/>
          <w:lang w:val="es-ES"/>
        </w:rPr>
        <w:t xml:space="preserve"> A.C. </w:t>
      </w:r>
      <w:r w:rsidR="004E1FD3">
        <w:rPr>
          <w:rFonts w:ascii="Verdana" w:hAnsi="Verdana"/>
          <w:sz w:val="20"/>
        </w:rPr>
        <w:t>oportunamente fueron declarados beneficiarios de las presentes medidas</w:t>
      </w:r>
      <w:r w:rsidRPr="003D5B7C">
        <w:rPr>
          <w:rStyle w:val="Refdenotaalpie"/>
          <w:rFonts w:ascii="Verdana" w:hAnsi="Verdana"/>
          <w:sz w:val="20"/>
        </w:rPr>
        <w:footnoteReference w:id="13"/>
      </w:r>
      <w:r w:rsidRPr="003D5B7C">
        <w:rPr>
          <w:rFonts w:ascii="Verdana" w:hAnsi="Verdana"/>
          <w:sz w:val="20"/>
        </w:rPr>
        <w:t xml:space="preserve">, y </w:t>
      </w:r>
      <w:r w:rsidR="00C106C5">
        <w:rPr>
          <w:rFonts w:ascii="Verdana" w:hAnsi="Verdana"/>
          <w:sz w:val="20"/>
        </w:rPr>
        <w:t xml:space="preserve">d) </w:t>
      </w:r>
      <w:r w:rsidRPr="003D5B7C">
        <w:rPr>
          <w:rFonts w:ascii="Verdana" w:hAnsi="Verdana"/>
          <w:sz w:val="20"/>
          <w:szCs w:val="16"/>
          <w:lang w:val="es-CL"/>
        </w:rPr>
        <w:t>18 miembros de</w:t>
      </w:r>
      <w:r w:rsidRPr="003D5B7C">
        <w:rPr>
          <w:rFonts w:ascii="Verdana" w:hAnsi="Verdana"/>
          <w:sz w:val="20"/>
          <w:szCs w:val="16"/>
          <w:lang w:val="es-ES"/>
        </w:rPr>
        <w:t xml:space="preserve">l </w:t>
      </w:r>
      <w:r w:rsidRPr="003D5B7C">
        <w:rPr>
          <w:rFonts w:ascii="Verdana" w:hAnsi="Verdana"/>
          <w:sz w:val="20"/>
        </w:rPr>
        <w:t xml:space="preserve">Centro de Derechos Humanos de la Montaña </w:t>
      </w:r>
      <w:proofErr w:type="spellStart"/>
      <w:r w:rsidRPr="003D5B7C">
        <w:rPr>
          <w:rFonts w:ascii="Verdana" w:hAnsi="Verdana"/>
          <w:sz w:val="20"/>
        </w:rPr>
        <w:t>Tlachinollan</w:t>
      </w:r>
      <w:proofErr w:type="spellEnd"/>
      <w:r w:rsidRPr="003D5B7C">
        <w:rPr>
          <w:rFonts w:ascii="Verdana" w:hAnsi="Verdana"/>
          <w:sz w:val="20"/>
          <w:szCs w:val="16"/>
          <w:lang w:val="es-ES"/>
        </w:rPr>
        <w:t xml:space="preserve"> A.C.</w:t>
      </w:r>
      <w:r w:rsidRPr="003D5B7C">
        <w:rPr>
          <w:rStyle w:val="Refdenotaalpie"/>
          <w:rFonts w:ascii="Verdana" w:hAnsi="Verdana"/>
          <w:sz w:val="20"/>
        </w:rPr>
        <w:footnoteReference w:id="14"/>
      </w:r>
      <w:r w:rsidR="00234FEF" w:rsidRPr="003D5B7C">
        <w:rPr>
          <w:rFonts w:ascii="Verdana" w:hAnsi="Verdana"/>
          <w:sz w:val="20"/>
        </w:rPr>
        <w:t>.</w:t>
      </w:r>
      <w:r w:rsidRPr="003D5B7C">
        <w:rPr>
          <w:rFonts w:ascii="Verdana" w:hAnsi="Verdana"/>
          <w:sz w:val="20"/>
        </w:rPr>
        <w:t xml:space="preserve"> </w:t>
      </w:r>
    </w:p>
    <w:p w:rsidR="00006044" w:rsidRPr="00230416" w:rsidRDefault="00006044" w:rsidP="00006044">
      <w:pPr>
        <w:autoSpaceDE w:val="0"/>
        <w:autoSpaceDN w:val="0"/>
        <w:adjustRightInd w:val="0"/>
        <w:jc w:val="both"/>
        <w:rPr>
          <w:rFonts w:ascii="Verdana" w:eastAsia="Times New Roman" w:hAnsi="Verdana" w:cs="Verdana"/>
          <w:sz w:val="20"/>
        </w:rPr>
      </w:pPr>
    </w:p>
    <w:p w:rsidR="00006044" w:rsidRDefault="00006044" w:rsidP="00006044">
      <w:pPr>
        <w:pStyle w:val="Textoindependiente"/>
        <w:rPr>
          <w:rFonts w:ascii="Verdana" w:hAnsi="Verdana"/>
          <w:b/>
          <w:sz w:val="20"/>
          <w:lang w:val="es-ES_tradnl"/>
        </w:rPr>
      </w:pPr>
    </w:p>
    <w:p w:rsidR="00006044" w:rsidRDefault="00006044" w:rsidP="00006044">
      <w:pPr>
        <w:pStyle w:val="Textoindependiente"/>
        <w:rPr>
          <w:rFonts w:ascii="Verdana" w:hAnsi="Verdana"/>
          <w:b/>
          <w:sz w:val="20"/>
          <w:lang w:val="es-ES_tradnl"/>
        </w:rPr>
      </w:pPr>
      <w:r>
        <w:rPr>
          <w:rFonts w:ascii="Verdana" w:hAnsi="Verdana"/>
          <w:b/>
          <w:sz w:val="20"/>
          <w:lang w:val="es-ES_tradnl"/>
        </w:rPr>
        <w:t>POR TANTO:</w:t>
      </w:r>
    </w:p>
    <w:p w:rsidR="00006044" w:rsidRDefault="00006044" w:rsidP="00006044">
      <w:pPr>
        <w:jc w:val="both"/>
        <w:rPr>
          <w:rFonts w:ascii="Verdana" w:hAnsi="Verdana"/>
          <w:b/>
          <w:sz w:val="20"/>
        </w:rPr>
      </w:pPr>
    </w:p>
    <w:p w:rsidR="00006044" w:rsidRDefault="00006044" w:rsidP="00006044">
      <w:pPr>
        <w:jc w:val="both"/>
        <w:rPr>
          <w:rFonts w:ascii="Verdana" w:hAnsi="Verdana"/>
          <w:b/>
          <w:sz w:val="20"/>
        </w:rPr>
      </w:pPr>
      <w:r>
        <w:rPr>
          <w:rFonts w:ascii="Verdana" w:hAnsi="Verdana"/>
          <w:b/>
          <w:sz w:val="20"/>
        </w:rPr>
        <w:t xml:space="preserve">LA CORTE INTERAMERICANA DE DERECHOS HUMANOS, </w:t>
      </w:r>
    </w:p>
    <w:p w:rsidR="00006044" w:rsidRDefault="00006044" w:rsidP="00006044">
      <w:pPr>
        <w:ind w:right="22"/>
        <w:jc w:val="both"/>
        <w:rPr>
          <w:rFonts w:ascii="Verdana" w:hAnsi="Verdana"/>
          <w:sz w:val="20"/>
        </w:rPr>
      </w:pPr>
    </w:p>
    <w:p w:rsidR="00006044" w:rsidRDefault="00006044" w:rsidP="00006044">
      <w:pPr>
        <w:ind w:right="22"/>
        <w:jc w:val="both"/>
        <w:rPr>
          <w:rFonts w:ascii="Verdana" w:hAnsi="Verdana"/>
          <w:sz w:val="20"/>
        </w:rPr>
      </w:pPr>
      <w:r>
        <w:rPr>
          <w:rFonts w:ascii="Verdana" w:hAnsi="Verdana"/>
          <w:sz w:val="20"/>
        </w:rPr>
        <w:t xml:space="preserve">en uso de las atribuciones que le confieren los artículos 63.2 de la Convención Americana sobre Derechos Humanos y el artículo 27 del Reglamento del Tribunal, </w:t>
      </w:r>
    </w:p>
    <w:p w:rsidR="00006044" w:rsidRDefault="00006044" w:rsidP="00006044">
      <w:pPr>
        <w:ind w:right="22"/>
        <w:jc w:val="both"/>
        <w:rPr>
          <w:rFonts w:ascii="Verdana" w:hAnsi="Verdana"/>
          <w:b/>
          <w:sz w:val="20"/>
        </w:rPr>
      </w:pPr>
    </w:p>
    <w:p w:rsidR="00006044" w:rsidRDefault="00006044" w:rsidP="00006044">
      <w:pPr>
        <w:ind w:right="22"/>
        <w:jc w:val="both"/>
        <w:rPr>
          <w:rFonts w:ascii="Verdana" w:hAnsi="Verdana"/>
          <w:b/>
          <w:sz w:val="20"/>
        </w:rPr>
      </w:pPr>
      <w:r>
        <w:rPr>
          <w:rFonts w:ascii="Verdana" w:hAnsi="Verdana"/>
          <w:b/>
          <w:sz w:val="20"/>
        </w:rPr>
        <w:t>RESUELVE:</w:t>
      </w:r>
    </w:p>
    <w:p w:rsidR="00006044" w:rsidRDefault="00006044" w:rsidP="00006044">
      <w:pPr>
        <w:ind w:right="-6"/>
        <w:jc w:val="both"/>
        <w:rPr>
          <w:rFonts w:ascii="Verdana" w:hAnsi="Verdana"/>
          <w:sz w:val="20"/>
        </w:rPr>
      </w:pPr>
    </w:p>
    <w:p w:rsidR="00006044" w:rsidRDefault="00006044" w:rsidP="00006044">
      <w:pPr>
        <w:numPr>
          <w:ilvl w:val="0"/>
          <w:numId w:val="24"/>
        </w:numPr>
        <w:ind w:left="0" w:right="-6" w:firstLine="0"/>
        <w:jc w:val="both"/>
        <w:rPr>
          <w:rFonts w:ascii="Verdana" w:hAnsi="Verdana"/>
          <w:sz w:val="20"/>
        </w:rPr>
      </w:pPr>
      <w:r w:rsidRPr="00102DE6">
        <w:rPr>
          <w:rFonts w:ascii="Verdana" w:hAnsi="Verdana"/>
          <w:sz w:val="20"/>
        </w:rPr>
        <w:t>Levantar</w:t>
      </w:r>
      <w:r w:rsidR="0086213C">
        <w:rPr>
          <w:rFonts w:ascii="Verdana" w:hAnsi="Verdana"/>
          <w:sz w:val="20"/>
        </w:rPr>
        <w:t xml:space="preserve"> </w:t>
      </w:r>
      <w:r w:rsidRPr="00CF70CE">
        <w:rPr>
          <w:rFonts w:ascii="Verdana" w:hAnsi="Verdana"/>
          <w:sz w:val="20"/>
        </w:rPr>
        <w:t xml:space="preserve">las medidas provisionales </w:t>
      </w:r>
      <w:r>
        <w:rPr>
          <w:rFonts w:ascii="Verdana" w:hAnsi="Verdana"/>
          <w:sz w:val="20"/>
        </w:rPr>
        <w:t xml:space="preserve">ordenadas por el Tribunal el 30 de abril de 2009 respecto </w:t>
      </w:r>
      <w:r w:rsidR="004E1FD3">
        <w:rPr>
          <w:rFonts w:ascii="Verdana" w:hAnsi="Verdana"/>
          <w:sz w:val="20"/>
        </w:rPr>
        <w:t>de</w:t>
      </w:r>
      <w:r>
        <w:rPr>
          <w:rFonts w:ascii="Verdana" w:hAnsi="Verdana"/>
          <w:sz w:val="20"/>
        </w:rPr>
        <w:t xml:space="preserve"> </w:t>
      </w:r>
      <w:r w:rsidR="0075215B">
        <w:rPr>
          <w:rFonts w:ascii="Verdana" w:hAnsi="Verdana"/>
          <w:sz w:val="20"/>
        </w:rPr>
        <w:t>Claudia Ordoñez Viquez, Isauro</w:t>
      </w:r>
      <w:r w:rsidRPr="00B5020C">
        <w:rPr>
          <w:rFonts w:ascii="Verdana" w:hAnsi="Verdana"/>
          <w:sz w:val="20"/>
        </w:rPr>
        <w:t xml:space="preserve"> Romero Solano, Dioni</w:t>
      </w:r>
      <w:r w:rsidR="0075215B">
        <w:rPr>
          <w:rFonts w:ascii="Verdana" w:hAnsi="Verdana"/>
          <w:sz w:val="20"/>
        </w:rPr>
        <w:t>c</w:t>
      </w:r>
      <w:r w:rsidRPr="00B5020C">
        <w:rPr>
          <w:rFonts w:ascii="Verdana" w:hAnsi="Verdana"/>
          <w:sz w:val="20"/>
        </w:rPr>
        <w:t xml:space="preserve">io Villano González, Jane </w:t>
      </w:r>
      <w:r w:rsidR="0075215B">
        <w:rPr>
          <w:rFonts w:ascii="Verdana" w:hAnsi="Verdana"/>
          <w:sz w:val="20"/>
        </w:rPr>
        <w:t>E</w:t>
      </w:r>
      <w:r w:rsidRPr="0075215B">
        <w:rPr>
          <w:rFonts w:ascii="Verdana" w:hAnsi="Verdana"/>
          <w:sz w:val="20"/>
        </w:rPr>
        <w:t>va</w:t>
      </w:r>
      <w:r w:rsidRPr="00B5020C">
        <w:rPr>
          <w:rFonts w:ascii="Verdana" w:hAnsi="Verdana"/>
          <w:sz w:val="20"/>
        </w:rPr>
        <w:t xml:space="preserve"> Jones, Laura </w:t>
      </w:r>
      <w:proofErr w:type="spellStart"/>
      <w:r w:rsidRPr="00B5020C">
        <w:rPr>
          <w:rFonts w:ascii="Verdana" w:hAnsi="Verdana"/>
          <w:sz w:val="20"/>
        </w:rPr>
        <w:t>Lizette</w:t>
      </w:r>
      <w:proofErr w:type="spellEnd"/>
      <w:r w:rsidRPr="00B5020C">
        <w:rPr>
          <w:rFonts w:ascii="Verdana" w:hAnsi="Verdana"/>
          <w:sz w:val="20"/>
        </w:rPr>
        <w:t xml:space="preserve"> Aragón Castro, Mario Patrón Sánchez, Patricia </w:t>
      </w:r>
      <w:proofErr w:type="spellStart"/>
      <w:r w:rsidRPr="00B5020C">
        <w:rPr>
          <w:rFonts w:ascii="Verdana" w:hAnsi="Verdana"/>
          <w:sz w:val="20"/>
        </w:rPr>
        <w:t>Bordier</w:t>
      </w:r>
      <w:proofErr w:type="spellEnd"/>
      <w:r w:rsidRPr="00B5020C">
        <w:rPr>
          <w:rFonts w:ascii="Verdana" w:hAnsi="Verdana"/>
          <w:sz w:val="20"/>
        </w:rPr>
        <w:t xml:space="preserve"> </w:t>
      </w:r>
      <w:proofErr w:type="spellStart"/>
      <w:r w:rsidRPr="00B5020C">
        <w:rPr>
          <w:rFonts w:ascii="Verdana" w:hAnsi="Verdana"/>
          <w:sz w:val="20"/>
        </w:rPr>
        <w:t>Morteo</w:t>
      </w:r>
      <w:proofErr w:type="spellEnd"/>
      <w:r w:rsidRPr="00B5020C">
        <w:rPr>
          <w:rFonts w:ascii="Verdana" w:hAnsi="Verdana"/>
          <w:sz w:val="20"/>
        </w:rPr>
        <w:t>, Prometeo Rodríguez Lucero, Teresa de la Cruz de la Cruz, Alejandra Gonzáles Marín</w:t>
      </w:r>
      <w:r>
        <w:rPr>
          <w:rFonts w:ascii="Verdana" w:hAnsi="Verdana"/>
          <w:sz w:val="20"/>
        </w:rPr>
        <w:t xml:space="preserve">, </w:t>
      </w:r>
      <w:r w:rsidRPr="00B5020C">
        <w:rPr>
          <w:rFonts w:ascii="Verdana" w:hAnsi="Verdana"/>
          <w:sz w:val="20"/>
        </w:rPr>
        <w:t xml:space="preserve">Rommel </w:t>
      </w:r>
      <w:proofErr w:type="spellStart"/>
      <w:r w:rsidRPr="00B5020C">
        <w:rPr>
          <w:rFonts w:ascii="Verdana" w:hAnsi="Verdana"/>
          <w:sz w:val="20"/>
        </w:rPr>
        <w:t>Cain</w:t>
      </w:r>
      <w:proofErr w:type="spellEnd"/>
      <w:r w:rsidRPr="00B5020C">
        <w:rPr>
          <w:rFonts w:ascii="Verdana" w:hAnsi="Verdana"/>
          <w:sz w:val="20"/>
        </w:rPr>
        <w:t xml:space="preserve"> </w:t>
      </w:r>
      <w:proofErr w:type="spellStart"/>
      <w:r w:rsidRPr="00B5020C">
        <w:rPr>
          <w:rFonts w:ascii="Verdana" w:hAnsi="Verdana"/>
          <w:sz w:val="20"/>
        </w:rPr>
        <w:t>Chacan</w:t>
      </w:r>
      <w:proofErr w:type="spellEnd"/>
      <w:r w:rsidRPr="00B5020C">
        <w:rPr>
          <w:rFonts w:ascii="Verdana" w:hAnsi="Verdana"/>
          <w:sz w:val="20"/>
        </w:rPr>
        <w:t xml:space="preserve"> Pale</w:t>
      </w:r>
      <w:r w:rsidR="004E1FD3">
        <w:rPr>
          <w:rFonts w:ascii="Verdana" w:hAnsi="Verdana"/>
          <w:sz w:val="20"/>
        </w:rPr>
        <w:t>; l</w:t>
      </w:r>
      <w:r w:rsidR="00E525CD">
        <w:rPr>
          <w:rFonts w:ascii="Verdana" w:hAnsi="Verdana"/>
          <w:sz w:val="20"/>
        </w:rPr>
        <w:t>os</w:t>
      </w:r>
      <w:r>
        <w:rPr>
          <w:rFonts w:ascii="Verdana" w:hAnsi="Verdana"/>
          <w:sz w:val="20"/>
          <w:szCs w:val="16"/>
          <w:lang w:val="es-CL"/>
        </w:rPr>
        <w:t xml:space="preserve"> familiares de </w:t>
      </w:r>
      <w:r w:rsidR="00750187">
        <w:rPr>
          <w:rFonts w:ascii="Verdana" w:hAnsi="Verdana"/>
          <w:sz w:val="20"/>
          <w:szCs w:val="16"/>
          <w:lang w:val="es-CL"/>
        </w:rPr>
        <w:t>Raúl Lucas Lucía</w:t>
      </w:r>
      <w:r>
        <w:rPr>
          <w:rFonts w:ascii="Verdana" w:hAnsi="Verdana"/>
          <w:sz w:val="20"/>
          <w:szCs w:val="16"/>
          <w:lang w:val="es-CL"/>
        </w:rPr>
        <w:t xml:space="preserve"> y Manuel Ponce Rosas</w:t>
      </w:r>
      <w:r w:rsidR="00E525CD" w:rsidRPr="000A464A">
        <w:rPr>
          <w:rFonts w:ascii="Verdana" w:hAnsi="Verdana"/>
          <w:sz w:val="20"/>
          <w:lang w:val="es-CL"/>
        </w:rPr>
        <w:t xml:space="preserve">: </w:t>
      </w:r>
      <w:r w:rsidR="00E525CD" w:rsidRPr="000A464A">
        <w:rPr>
          <w:rFonts w:ascii="Verdana" w:hAnsi="Verdana"/>
          <w:sz w:val="20"/>
          <w:lang w:val="es-AR"/>
        </w:rPr>
        <w:t xml:space="preserve">Guadalupe Castro Morales, Samuel Lucas Castro, </w:t>
      </w:r>
      <w:proofErr w:type="spellStart"/>
      <w:r w:rsidR="00E525CD" w:rsidRPr="000A464A">
        <w:rPr>
          <w:rFonts w:ascii="Verdana" w:hAnsi="Verdana"/>
          <w:sz w:val="20"/>
          <w:lang w:val="es-AR"/>
        </w:rPr>
        <w:t>Gaudencia</w:t>
      </w:r>
      <w:proofErr w:type="spellEnd"/>
      <w:r w:rsidR="00E525CD" w:rsidRPr="000A464A">
        <w:rPr>
          <w:rFonts w:ascii="Verdana" w:hAnsi="Verdana"/>
          <w:sz w:val="20"/>
          <w:lang w:val="es-AR"/>
        </w:rPr>
        <w:t xml:space="preserve"> Jesús García, María Inés Lucas Castro, Carmen Lucas Lucía, </w:t>
      </w:r>
      <w:proofErr w:type="spellStart"/>
      <w:r w:rsidR="00E525CD" w:rsidRPr="000A464A">
        <w:rPr>
          <w:rFonts w:ascii="Verdana" w:hAnsi="Verdana"/>
          <w:sz w:val="20"/>
          <w:lang w:val="es-AR"/>
        </w:rPr>
        <w:t>Yareli</w:t>
      </w:r>
      <w:proofErr w:type="spellEnd"/>
      <w:r w:rsidR="00E525CD" w:rsidRPr="000A464A">
        <w:rPr>
          <w:rFonts w:ascii="Verdana" w:hAnsi="Verdana"/>
          <w:sz w:val="20"/>
          <w:lang w:val="es-AR"/>
        </w:rPr>
        <w:t xml:space="preserve"> Alejandro Lucas, Julio Alejandro Lucas, Marco Antonio Alejandro Lucas, Fidel Alejandro Lucas, Margarita Martín de las Nieves, Efrén Ponce Martín, Fermín Ponce Martín, Felipe Ponce García, María Aurora Venancio, Rufina Ponce, Ernesto Porfirio, Santiago Ponce Rosas, </w:t>
      </w:r>
      <w:proofErr w:type="spellStart"/>
      <w:r w:rsidR="00E525CD" w:rsidRPr="000A464A">
        <w:rPr>
          <w:rFonts w:ascii="Verdana" w:hAnsi="Verdana"/>
          <w:sz w:val="20"/>
          <w:lang w:val="es-AR"/>
        </w:rPr>
        <w:t>Alicio</w:t>
      </w:r>
      <w:proofErr w:type="spellEnd"/>
      <w:r w:rsidR="00E525CD" w:rsidRPr="000A464A">
        <w:rPr>
          <w:rFonts w:ascii="Verdana" w:hAnsi="Verdana"/>
          <w:sz w:val="20"/>
          <w:lang w:val="es-AR"/>
        </w:rPr>
        <w:t xml:space="preserve"> Ponce Lola, Victoriano Ponce Lola, Toribio Santos Flores, Jorge Luis García Catarin</w:t>
      </w:r>
      <w:r w:rsidR="00A475CA">
        <w:rPr>
          <w:rFonts w:ascii="Verdana" w:hAnsi="Verdana"/>
          <w:sz w:val="20"/>
          <w:lang w:val="es-AR"/>
        </w:rPr>
        <w:t>o</w:t>
      </w:r>
      <w:r w:rsidR="00E525CD" w:rsidRPr="000A464A">
        <w:rPr>
          <w:rFonts w:ascii="Verdana" w:hAnsi="Verdana"/>
          <w:sz w:val="20"/>
          <w:lang w:val="es-AR"/>
        </w:rPr>
        <w:t>, Aurelio García de los Santos, Cándida García Rufina, Santiago Ponce Lola y Maximino García Catarino</w:t>
      </w:r>
      <w:r>
        <w:rPr>
          <w:rFonts w:ascii="Verdana" w:hAnsi="Verdana"/>
          <w:sz w:val="20"/>
          <w:szCs w:val="16"/>
          <w:lang w:val="es-CL"/>
        </w:rPr>
        <w:t>.</w:t>
      </w:r>
    </w:p>
    <w:p w:rsidR="00006044" w:rsidRDefault="00006044" w:rsidP="00006044">
      <w:pPr>
        <w:ind w:right="-6"/>
        <w:jc w:val="both"/>
        <w:rPr>
          <w:rFonts w:ascii="Verdana" w:hAnsi="Verdana"/>
          <w:sz w:val="20"/>
        </w:rPr>
      </w:pPr>
    </w:p>
    <w:p w:rsidR="00006044" w:rsidRPr="00DA1570" w:rsidRDefault="00006044" w:rsidP="00006044">
      <w:pPr>
        <w:numPr>
          <w:ilvl w:val="0"/>
          <w:numId w:val="24"/>
        </w:numPr>
        <w:ind w:left="0" w:right="-6" w:firstLine="0"/>
        <w:jc w:val="both"/>
        <w:rPr>
          <w:rFonts w:ascii="Verdana" w:hAnsi="Verdana"/>
          <w:sz w:val="20"/>
        </w:rPr>
      </w:pPr>
      <w:r w:rsidRPr="00DA1570">
        <w:rPr>
          <w:rFonts w:ascii="Verdana" w:hAnsi="Verdana"/>
          <w:sz w:val="20"/>
        </w:rPr>
        <w:lastRenderedPageBreak/>
        <w:t>Reiterar al Estado que continúe adoptando de forma inmediata las medidas complementarias</w:t>
      </w:r>
      <w:r w:rsidRPr="00102DE6">
        <w:rPr>
          <w:rFonts w:ascii="Verdana" w:hAnsi="Verdana"/>
          <w:sz w:val="20"/>
        </w:rPr>
        <w:t xml:space="preserve"> que sean necesarias para proteger la vida e integridad</w:t>
      </w:r>
      <w:r w:rsidR="004E1FD3">
        <w:rPr>
          <w:rFonts w:ascii="Verdana" w:hAnsi="Verdana"/>
          <w:sz w:val="20"/>
        </w:rPr>
        <w:t xml:space="preserve"> personal</w:t>
      </w:r>
      <w:r w:rsidRPr="00102DE6">
        <w:rPr>
          <w:rFonts w:ascii="Verdana" w:hAnsi="Verdana"/>
          <w:sz w:val="20"/>
        </w:rPr>
        <w:t xml:space="preserve"> de</w:t>
      </w:r>
      <w:r w:rsidR="004E1FD3">
        <w:rPr>
          <w:rFonts w:ascii="Verdana" w:hAnsi="Verdana"/>
          <w:sz w:val="20"/>
        </w:rPr>
        <w:t>:</w:t>
      </w:r>
      <w:r w:rsidRPr="00102DE6">
        <w:rPr>
          <w:rFonts w:ascii="Verdana" w:hAnsi="Verdana"/>
          <w:sz w:val="20"/>
        </w:rPr>
        <w:t xml:space="preserve"> </w:t>
      </w:r>
      <w:r w:rsidRPr="00102DE6">
        <w:rPr>
          <w:rFonts w:ascii="Verdana" w:hAnsi="Verdana"/>
          <w:sz w:val="20"/>
          <w:szCs w:val="16"/>
        </w:rPr>
        <w:t xml:space="preserve">a) </w:t>
      </w:r>
      <w:proofErr w:type="spellStart"/>
      <w:r w:rsidRPr="00102DE6">
        <w:rPr>
          <w:rFonts w:ascii="Verdana" w:hAnsi="Verdana"/>
          <w:sz w:val="20"/>
          <w:szCs w:val="16"/>
          <w:lang w:val="es-CL"/>
        </w:rPr>
        <w:t>Obtilia</w:t>
      </w:r>
      <w:proofErr w:type="spellEnd"/>
      <w:r w:rsidRPr="00102DE6">
        <w:rPr>
          <w:rFonts w:ascii="Verdana" w:hAnsi="Verdana"/>
          <w:sz w:val="20"/>
          <w:szCs w:val="16"/>
          <w:lang w:val="es-CL"/>
        </w:rPr>
        <w:t xml:space="preserve"> Eugenio Manuel y determinados familiares; </w:t>
      </w:r>
      <w:r w:rsidRPr="00102DE6">
        <w:rPr>
          <w:rFonts w:ascii="Verdana" w:hAnsi="Verdana"/>
          <w:sz w:val="20"/>
          <w:szCs w:val="16"/>
        </w:rPr>
        <w:t xml:space="preserve">b) </w:t>
      </w:r>
      <w:r w:rsidRPr="00102DE6">
        <w:rPr>
          <w:rFonts w:ascii="Verdana" w:hAnsi="Verdana"/>
          <w:sz w:val="20"/>
          <w:szCs w:val="16"/>
          <w:lang w:val="es-CL"/>
        </w:rPr>
        <w:t xml:space="preserve">Inés Fernández Ortega y determinados familiares; c) 41 integrantes de la </w:t>
      </w:r>
      <w:r w:rsidRPr="00102DE6">
        <w:rPr>
          <w:rFonts w:ascii="Verdana" w:hAnsi="Verdana"/>
          <w:sz w:val="20"/>
          <w:szCs w:val="16"/>
          <w:lang w:val="es-ES"/>
        </w:rPr>
        <w:t xml:space="preserve">Organización del Pueblo Indígena </w:t>
      </w:r>
      <w:proofErr w:type="spellStart"/>
      <w:r w:rsidRPr="00102DE6">
        <w:rPr>
          <w:rFonts w:ascii="Verdana" w:hAnsi="Verdana"/>
          <w:sz w:val="20"/>
          <w:szCs w:val="16"/>
          <w:lang w:val="es-ES"/>
        </w:rPr>
        <w:t>Tlapaneco</w:t>
      </w:r>
      <w:proofErr w:type="spellEnd"/>
      <w:r w:rsidRPr="00102DE6">
        <w:rPr>
          <w:rFonts w:ascii="Verdana" w:hAnsi="Verdana"/>
          <w:sz w:val="20"/>
          <w:szCs w:val="16"/>
          <w:lang w:val="es-ES"/>
        </w:rPr>
        <w:t xml:space="preserve"> A.C. </w:t>
      </w:r>
      <w:r w:rsidRPr="00102DE6">
        <w:rPr>
          <w:rFonts w:ascii="Verdana" w:hAnsi="Verdana"/>
          <w:sz w:val="20"/>
        </w:rPr>
        <w:t xml:space="preserve">y </w:t>
      </w:r>
      <w:r w:rsidR="00C106C5">
        <w:rPr>
          <w:rFonts w:ascii="Verdana" w:hAnsi="Verdana"/>
          <w:sz w:val="20"/>
        </w:rPr>
        <w:t xml:space="preserve">d) </w:t>
      </w:r>
      <w:r w:rsidRPr="00102DE6">
        <w:rPr>
          <w:rFonts w:ascii="Verdana" w:hAnsi="Verdana"/>
          <w:sz w:val="20"/>
          <w:szCs w:val="16"/>
          <w:lang w:val="es-CL"/>
        </w:rPr>
        <w:t>18 miembros de</w:t>
      </w:r>
      <w:r w:rsidRPr="00102DE6">
        <w:rPr>
          <w:rFonts w:ascii="Verdana" w:hAnsi="Verdana"/>
          <w:sz w:val="20"/>
          <w:szCs w:val="16"/>
          <w:lang w:val="es-ES"/>
        </w:rPr>
        <w:t xml:space="preserve">l </w:t>
      </w:r>
      <w:r w:rsidRPr="00102DE6">
        <w:rPr>
          <w:rFonts w:ascii="Verdana" w:hAnsi="Verdana"/>
          <w:sz w:val="20"/>
        </w:rPr>
        <w:t>Centro de Derechos Humanos de la Montaña (</w:t>
      </w:r>
      <w:r w:rsidRPr="00102DE6">
        <w:rPr>
          <w:rFonts w:ascii="Verdana" w:hAnsi="Verdana"/>
          <w:i/>
          <w:sz w:val="20"/>
        </w:rPr>
        <w:t xml:space="preserve">supra </w:t>
      </w:r>
      <w:r w:rsidRPr="00102DE6">
        <w:rPr>
          <w:rFonts w:ascii="Verdana" w:hAnsi="Verdana"/>
          <w:sz w:val="20"/>
        </w:rPr>
        <w:t xml:space="preserve">Considerando </w:t>
      </w:r>
      <w:r w:rsidR="0075215B">
        <w:rPr>
          <w:rFonts w:ascii="Verdana" w:hAnsi="Verdana"/>
          <w:sz w:val="20"/>
        </w:rPr>
        <w:t>3</w:t>
      </w:r>
      <w:r w:rsidR="00C6442C">
        <w:rPr>
          <w:rFonts w:ascii="Verdana" w:hAnsi="Verdana"/>
          <w:sz w:val="20"/>
        </w:rPr>
        <w:t>3</w:t>
      </w:r>
      <w:r w:rsidRPr="00102DE6">
        <w:rPr>
          <w:rFonts w:ascii="Verdana" w:hAnsi="Verdana"/>
          <w:sz w:val="20"/>
        </w:rPr>
        <w:t>), tomando en co</w:t>
      </w:r>
      <w:r w:rsidRPr="00DA1570">
        <w:rPr>
          <w:rFonts w:ascii="Verdana" w:hAnsi="Verdana"/>
          <w:sz w:val="20"/>
        </w:rPr>
        <w:t>nsideración las circunstancias particulares de riesgo.</w:t>
      </w:r>
    </w:p>
    <w:p w:rsidR="00006044" w:rsidRDefault="00006044" w:rsidP="00006044">
      <w:pPr>
        <w:ind w:right="-6"/>
        <w:jc w:val="both"/>
        <w:rPr>
          <w:rFonts w:ascii="Verdana" w:hAnsi="Verdana"/>
          <w:sz w:val="20"/>
        </w:rPr>
      </w:pPr>
    </w:p>
    <w:p w:rsidR="00006044" w:rsidRDefault="00006044" w:rsidP="00006044">
      <w:pPr>
        <w:numPr>
          <w:ilvl w:val="0"/>
          <w:numId w:val="24"/>
        </w:numPr>
        <w:ind w:left="0" w:right="-6" w:firstLine="0"/>
        <w:jc w:val="both"/>
        <w:rPr>
          <w:rFonts w:ascii="Verdana" w:hAnsi="Verdana"/>
          <w:sz w:val="20"/>
        </w:rPr>
      </w:pPr>
      <w:r w:rsidRPr="00DB3D4D">
        <w:rPr>
          <w:rFonts w:ascii="Verdana" w:hAnsi="Verdana"/>
          <w:sz w:val="20"/>
        </w:rPr>
        <w:t>Re</w:t>
      </w:r>
      <w:r>
        <w:rPr>
          <w:rFonts w:ascii="Verdana" w:hAnsi="Verdana"/>
          <w:sz w:val="20"/>
        </w:rPr>
        <w:t xml:space="preserve">iterar </w:t>
      </w:r>
      <w:r w:rsidRPr="00DB3D4D">
        <w:rPr>
          <w:rFonts w:ascii="Verdana" w:hAnsi="Verdana"/>
          <w:sz w:val="20"/>
        </w:rPr>
        <w:t>al Estado que realice todas las gestiones pertinentes para que las medidas de protección ordenadas en la presente Resolución se planifiquen e implementen con la participación de los beneficiarios de las mismas</w:t>
      </w:r>
      <w:r w:rsidRPr="00DB3D4D">
        <w:rPr>
          <w:rFonts w:ascii="Verdana" w:hAnsi="Verdana"/>
          <w:b/>
          <w:sz w:val="20"/>
        </w:rPr>
        <w:t xml:space="preserve"> </w:t>
      </w:r>
      <w:r w:rsidRPr="00DB3D4D">
        <w:rPr>
          <w:rFonts w:ascii="Verdana" w:hAnsi="Verdana"/>
          <w:sz w:val="20"/>
        </w:rPr>
        <w:t>o sus representantes, de manera tal que las referidas medidas se brinden de forma diligente y efectiva</w:t>
      </w:r>
      <w:r w:rsidRPr="00DB3D4D">
        <w:rPr>
          <w:rFonts w:ascii="Verdana" w:hAnsi="Verdana"/>
          <w:b/>
          <w:sz w:val="20"/>
        </w:rPr>
        <w:t xml:space="preserve"> </w:t>
      </w:r>
      <w:r w:rsidRPr="00DB3D4D">
        <w:rPr>
          <w:rFonts w:ascii="Verdana" w:hAnsi="Verdana"/>
          <w:sz w:val="20"/>
        </w:rPr>
        <w:t>y que, en general, les mantenga informados sobre el avance de su ejecución.</w:t>
      </w:r>
    </w:p>
    <w:p w:rsidR="00006044" w:rsidRDefault="00006044" w:rsidP="00006044">
      <w:pPr>
        <w:pStyle w:val="ListParagraph"/>
        <w:rPr>
          <w:rFonts w:ascii="Verdana" w:hAnsi="Verdana"/>
          <w:sz w:val="20"/>
        </w:rPr>
      </w:pPr>
    </w:p>
    <w:p w:rsidR="00006044" w:rsidRDefault="00006044" w:rsidP="00006044">
      <w:pPr>
        <w:numPr>
          <w:ilvl w:val="0"/>
          <w:numId w:val="24"/>
        </w:numPr>
        <w:ind w:left="0" w:right="-6" w:firstLine="0"/>
        <w:jc w:val="both"/>
        <w:rPr>
          <w:rFonts w:ascii="Verdana" w:hAnsi="Verdana"/>
          <w:sz w:val="20"/>
        </w:rPr>
      </w:pPr>
      <w:r w:rsidRPr="00A92924">
        <w:rPr>
          <w:rFonts w:ascii="Verdana" w:hAnsi="Verdana"/>
          <w:sz w:val="20"/>
        </w:rPr>
        <w:t xml:space="preserve">Requerir a los representantes que remitan a la Corte Interamericana de Derechos Humanos la información indicada en </w:t>
      </w:r>
      <w:r w:rsidR="00102DE6">
        <w:rPr>
          <w:rFonts w:ascii="Verdana" w:hAnsi="Verdana"/>
          <w:sz w:val="20"/>
        </w:rPr>
        <w:t>e</w:t>
      </w:r>
      <w:r w:rsidRPr="00A92924">
        <w:rPr>
          <w:rFonts w:ascii="Verdana" w:hAnsi="Verdana"/>
          <w:sz w:val="20"/>
        </w:rPr>
        <w:t xml:space="preserve">l Considerando </w:t>
      </w:r>
      <w:r w:rsidR="0075215B">
        <w:rPr>
          <w:rFonts w:ascii="Verdana" w:hAnsi="Verdana"/>
          <w:sz w:val="20"/>
        </w:rPr>
        <w:t>3</w:t>
      </w:r>
      <w:r w:rsidR="00B6160D">
        <w:rPr>
          <w:rFonts w:ascii="Verdana" w:hAnsi="Verdana"/>
          <w:sz w:val="20"/>
        </w:rPr>
        <w:t>2</w:t>
      </w:r>
      <w:r w:rsidRPr="00A92924">
        <w:rPr>
          <w:rFonts w:ascii="Verdana" w:hAnsi="Verdana"/>
          <w:sz w:val="20"/>
        </w:rPr>
        <w:t xml:space="preserve"> de la pr</w:t>
      </w:r>
      <w:r w:rsidR="00A156C4">
        <w:rPr>
          <w:rFonts w:ascii="Verdana" w:hAnsi="Verdana"/>
          <w:sz w:val="20"/>
        </w:rPr>
        <w:t xml:space="preserve">esente Resolución, junto con sus observaciones al próximo informe estatal </w:t>
      </w:r>
      <w:r w:rsidR="00A475CA">
        <w:rPr>
          <w:rFonts w:ascii="Verdana" w:hAnsi="Verdana"/>
          <w:sz w:val="20"/>
        </w:rPr>
        <w:t>requerido en</w:t>
      </w:r>
      <w:r w:rsidR="00A156C4">
        <w:rPr>
          <w:rFonts w:ascii="Verdana" w:hAnsi="Verdana"/>
          <w:sz w:val="20"/>
        </w:rPr>
        <w:t xml:space="preserve"> el punto resolutivo sexto de la presente Resolución.</w:t>
      </w:r>
      <w:r w:rsidRPr="00A92924">
        <w:rPr>
          <w:rFonts w:ascii="Verdana" w:hAnsi="Verdana"/>
          <w:sz w:val="20"/>
        </w:rPr>
        <w:t xml:space="preserve"> </w:t>
      </w:r>
    </w:p>
    <w:p w:rsidR="00006044" w:rsidRDefault="00006044" w:rsidP="00006044">
      <w:pPr>
        <w:pStyle w:val="ListParagraph"/>
        <w:rPr>
          <w:rFonts w:ascii="Verdana" w:hAnsi="Verdana"/>
          <w:sz w:val="20"/>
        </w:rPr>
      </w:pPr>
    </w:p>
    <w:p w:rsidR="00006044" w:rsidRDefault="00006044" w:rsidP="00006044">
      <w:pPr>
        <w:numPr>
          <w:ilvl w:val="0"/>
          <w:numId w:val="24"/>
        </w:numPr>
        <w:ind w:left="0" w:right="-6" w:firstLine="0"/>
        <w:jc w:val="both"/>
        <w:rPr>
          <w:rFonts w:ascii="Verdana" w:hAnsi="Verdana"/>
          <w:sz w:val="20"/>
        </w:rPr>
      </w:pPr>
      <w:r w:rsidRPr="00DB3D4D">
        <w:rPr>
          <w:rFonts w:ascii="Verdana" w:hAnsi="Verdana"/>
          <w:sz w:val="20"/>
        </w:rPr>
        <w:t xml:space="preserve">Requerir al Estado que continúe informando a la Corte Interamericana de Derechos Humanos cada </w:t>
      </w:r>
      <w:r w:rsidR="004E1FD3" w:rsidRPr="004E1FD3">
        <w:rPr>
          <w:rFonts w:ascii="Verdana" w:hAnsi="Verdana"/>
          <w:sz w:val="20"/>
        </w:rPr>
        <w:t>tres</w:t>
      </w:r>
      <w:r w:rsidRPr="004E1FD3">
        <w:rPr>
          <w:rFonts w:ascii="Verdana" w:hAnsi="Verdana"/>
          <w:sz w:val="20"/>
        </w:rPr>
        <w:t xml:space="preserve"> meses,</w:t>
      </w:r>
      <w:r w:rsidRPr="00DB3D4D">
        <w:rPr>
          <w:rFonts w:ascii="Verdana" w:hAnsi="Verdana"/>
          <w:sz w:val="20"/>
        </w:rPr>
        <w:t xml:space="preserve"> contados a partir de la notificación de la presente Resolución</w:t>
      </w:r>
      <w:r w:rsidRPr="00DB3D4D">
        <w:rPr>
          <w:rFonts w:ascii="Verdana" w:hAnsi="Verdana" w:cs="Arial"/>
          <w:sz w:val="20"/>
        </w:rPr>
        <w:t>, sobre las medidas provisionales adoptadas en conformidad con esta decisión.</w:t>
      </w:r>
    </w:p>
    <w:p w:rsidR="00006044" w:rsidRDefault="00006044" w:rsidP="00006044">
      <w:pPr>
        <w:pStyle w:val="ListParagraph"/>
        <w:rPr>
          <w:rFonts w:ascii="Verdana" w:hAnsi="Verdana" w:cs="Arial"/>
          <w:sz w:val="20"/>
        </w:rPr>
      </w:pPr>
    </w:p>
    <w:p w:rsidR="00006044" w:rsidRDefault="00006044" w:rsidP="00006044">
      <w:pPr>
        <w:numPr>
          <w:ilvl w:val="0"/>
          <w:numId w:val="24"/>
        </w:numPr>
        <w:ind w:left="0" w:right="-6" w:firstLine="0"/>
        <w:jc w:val="both"/>
        <w:rPr>
          <w:rFonts w:ascii="Verdana" w:hAnsi="Verdana"/>
          <w:sz w:val="20"/>
        </w:rPr>
      </w:pPr>
      <w:r w:rsidRPr="00DB3D4D">
        <w:rPr>
          <w:rFonts w:ascii="Verdana" w:hAnsi="Verdana" w:cs="Arial"/>
          <w:sz w:val="20"/>
        </w:rPr>
        <w:t xml:space="preserve">Solicitar a los representantes de los beneficiarios de las presentes medidas y a la Comisión Interamericana de Derechos Humanos que presenten sus observaciones </w:t>
      </w:r>
      <w:r w:rsidR="004E1FD3">
        <w:rPr>
          <w:rFonts w:ascii="Verdana" w:hAnsi="Verdana" w:cs="Arial"/>
          <w:sz w:val="20"/>
        </w:rPr>
        <w:t xml:space="preserve">a los informes del Estado </w:t>
      </w:r>
      <w:r w:rsidRPr="00DB3D4D">
        <w:rPr>
          <w:rFonts w:ascii="Verdana" w:hAnsi="Verdana" w:cs="Arial"/>
          <w:sz w:val="20"/>
        </w:rPr>
        <w:t xml:space="preserve">en un plazo de </w:t>
      </w:r>
      <w:r w:rsidRPr="004E1FD3">
        <w:rPr>
          <w:rFonts w:ascii="Verdana" w:hAnsi="Verdana" w:cs="Arial"/>
          <w:sz w:val="20"/>
        </w:rPr>
        <w:t>cuatro y seis semanas,</w:t>
      </w:r>
      <w:r w:rsidRPr="00DB3D4D">
        <w:rPr>
          <w:rFonts w:ascii="Verdana" w:hAnsi="Verdana" w:cs="Arial"/>
          <w:sz w:val="20"/>
        </w:rPr>
        <w:t xml:space="preserve"> respectivamente, contado a partir de la notificación de los informes del Estado que se indican en el punto resolutivo anterior</w:t>
      </w:r>
      <w:r w:rsidRPr="00DB3D4D">
        <w:rPr>
          <w:rFonts w:ascii="Verdana" w:hAnsi="Verdana"/>
          <w:sz w:val="20"/>
        </w:rPr>
        <w:t>.</w:t>
      </w:r>
    </w:p>
    <w:p w:rsidR="00A475CA" w:rsidRDefault="00A475CA" w:rsidP="00A475CA">
      <w:pPr>
        <w:ind w:right="-6"/>
        <w:jc w:val="both"/>
        <w:rPr>
          <w:rFonts w:ascii="Verdana" w:hAnsi="Verdana"/>
          <w:sz w:val="20"/>
        </w:rPr>
      </w:pPr>
    </w:p>
    <w:p w:rsidR="00A156C4" w:rsidRDefault="00006044" w:rsidP="00006044">
      <w:pPr>
        <w:numPr>
          <w:ilvl w:val="0"/>
          <w:numId w:val="24"/>
        </w:numPr>
        <w:ind w:left="0" w:right="-6" w:firstLine="0"/>
        <w:jc w:val="both"/>
        <w:rPr>
          <w:rFonts w:ascii="Verdana" w:hAnsi="Verdana"/>
          <w:sz w:val="20"/>
        </w:rPr>
      </w:pPr>
      <w:r w:rsidRPr="00A475CA">
        <w:rPr>
          <w:rFonts w:ascii="Verdana" w:hAnsi="Verdana"/>
          <w:sz w:val="20"/>
        </w:rPr>
        <w:t xml:space="preserve">Disponer que la Secretaría notifique la presente Resolución al Estado, a la Comisión Interamericana y a los representantes de los beneficiarios. </w:t>
      </w:r>
    </w:p>
    <w:p w:rsidR="00A475CA" w:rsidRPr="00A475CA" w:rsidRDefault="00A475CA" w:rsidP="00A475CA">
      <w:pPr>
        <w:ind w:right="-6"/>
        <w:jc w:val="both"/>
        <w:rPr>
          <w:rFonts w:ascii="Verdana" w:hAnsi="Verdana"/>
          <w:sz w:val="20"/>
        </w:rPr>
      </w:pPr>
    </w:p>
    <w:p w:rsidR="00CF3DC4" w:rsidRDefault="00CF3DC4" w:rsidP="00006044">
      <w:pPr>
        <w:ind w:right="-6"/>
        <w:jc w:val="both"/>
        <w:rPr>
          <w:rFonts w:ascii="Verdana" w:hAnsi="Verdana"/>
          <w:sz w:val="20"/>
          <w:lang w:val="es-MX"/>
        </w:rPr>
      </w:pPr>
      <w:r w:rsidRPr="00377A31">
        <w:rPr>
          <w:rFonts w:ascii="Verdana" w:hAnsi="Verdana"/>
          <w:sz w:val="20"/>
        </w:rPr>
        <w:t>El Juez</w:t>
      </w:r>
      <w:r w:rsidRPr="00377A31">
        <w:rPr>
          <w:rFonts w:ascii="Verdana" w:hAnsi="Verdana"/>
          <w:sz w:val="20"/>
          <w:lang w:val="es-MX"/>
        </w:rPr>
        <w:t xml:space="preserve"> Vio Grossi hizo conocer a la Corte su Voto </w:t>
      </w:r>
      <w:r>
        <w:rPr>
          <w:rFonts w:ascii="Verdana" w:hAnsi="Verdana"/>
          <w:sz w:val="20"/>
          <w:lang w:val="es-MX"/>
        </w:rPr>
        <w:t>Concurrente</w:t>
      </w:r>
      <w:r w:rsidRPr="00377A31">
        <w:rPr>
          <w:rFonts w:ascii="Verdana" w:hAnsi="Verdana"/>
          <w:sz w:val="20"/>
          <w:lang w:val="es-MX"/>
        </w:rPr>
        <w:t>, el cual acompaña la presente Resolución.</w:t>
      </w:r>
    </w:p>
    <w:p w:rsidR="00F0427B" w:rsidRDefault="00F0427B" w:rsidP="00F0427B">
      <w:pPr>
        <w:jc w:val="center"/>
        <w:rPr>
          <w:rFonts w:ascii="Verdana" w:hAnsi="Verdana"/>
          <w:sz w:val="20"/>
        </w:rPr>
      </w:pPr>
      <w:r>
        <w:rPr>
          <w:rFonts w:ascii="Verdana" w:hAnsi="Verdana"/>
          <w:sz w:val="20"/>
          <w:lang w:val="es-MX"/>
        </w:rPr>
        <w:br w:type="page"/>
      </w:r>
    </w:p>
    <w:p w:rsidR="00F0427B" w:rsidRDefault="00F0427B" w:rsidP="00F0427B">
      <w:pPr>
        <w:jc w:val="center"/>
        <w:rPr>
          <w:rFonts w:ascii="Verdana" w:hAnsi="Verdana"/>
          <w:sz w:val="20"/>
        </w:rPr>
      </w:pPr>
    </w:p>
    <w:p w:rsidR="00F0427B" w:rsidRDefault="00F0427B" w:rsidP="00F0427B">
      <w:pPr>
        <w:jc w:val="center"/>
        <w:rPr>
          <w:rFonts w:ascii="Verdana" w:hAnsi="Verdana"/>
          <w:sz w:val="20"/>
        </w:rPr>
      </w:pPr>
    </w:p>
    <w:p w:rsidR="00F0427B" w:rsidRDefault="00F0427B" w:rsidP="00F0427B">
      <w:pPr>
        <w:jc w:val="center"/>
        <w:rPr>
          <w:rFonts w:ascii="Verdana" w:hAnsi="Verdana"/>
          <w:sz w:val="20"/>
        </w:rPr>
      </w:pPr>
    </w:p>
    <w:p w:rsidR="00F0427B" w:rsidRDefault="00F0427B" w:rsidP="00F0427B">
      <w:pPr>
        <w:jc w:val="center"/>
        <w:rPr>
          <w:rFonts w:ascii="Verdana" w:hAnsi="Verdana"/>
          <w:sz w:val="20"/>
        </w:rPr>
      </w:pPr>
    </w:p>
    <w:p w:rsidR="00F0427B" w:rsidRDefault="00F0427B" w:rsidP="00F0427B">
      <w:pPr>
        <w:jc w:val="center"/>
        <w:rPr>
          <w:rFonts w:ascii="Verdana" w:hAnsi="Verdana"/>
          <w:sz w:val="20"/>
        </w:rPr>
      </w:pPr>
      <w:r>
        <w:rPr>
          <w:rFonts w:ascii="Verdana" w:hAnsi="Verdana"/>
          <w:sz w:val="20"/>
        </w:rPr>
        <w:t>Diego García-Sayán</w:t>
      </w:r>
    </w:p>
    <w:p w:rsidR="00F0427B" w:rsidRDefault="00F0427B" w:rsidP="00F0427B">
      <w:pPr>
        <w:jc w:val="center"/>
        <w:rPr>
          <w:rFonts w:ascii="Verdana" w:hAnsi="Verdana"/>
          <w:sz w:val="20"/>
        </w:rPr>
      </w:pPr>
      <w:r>
        <w:rPr>
          <w:rFonts w:ascii="Verdana" w:hAnsi="Verdana"/>
          <w:sz w:val="20"/>
        </w:rPr>
        <w:t>Presidente</w:t>
      </w:r>
    </w:p>
    <w:p w:rsidR="00F0427B" w:rsidRDefault="00F0427B" w:rsidP="00F0427B">
      <w:pPr>
        <w:jc w:val="center"/>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Pr="005A3F61" w:rsidRDefault="00F0427B" w:rsidP="00F0427B">
      <w:pPr>
        <w:rPr>
          <w:rFonts w:ascii="Verdana" w:hAnsi="Verdana"/>
          <w:sz w:val="20"/>
          <w:lang w:val="pt-BR"/>
        </w:rPr>
      </w:pPr>
      <w:r w:rsidRPr="005A3F61">
        <w:rPr>
          <w:rFonts w:ascii="Verdana" w:hAnsi="Verdana"/>
          <w:sz w:val="20"/>
          <w:lang w:val="pt-BR"/>
        </w:rPr>
        <w:t xml:space="preserve">Manuel Ventura Robles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5A3F61">
        <w:rPr>
          <w:rFonts w:ascii="Verdana" w:hAnsi="Verdana"/>
          <w:sz w:val="20"/>
          <w:lang w:val="pt-BR"/>
        </w:rPr>
        <w:t>Leonardo A. Franco</w:t>
      </w:r>
      <w:r w:rsidRPr="005A3F61">
        <w:rPr>
          <w:rFonts w:ascii="Verdana" w:hAnsi="Verdana"/>
          <w:sz w:val="20"/>
          <w:lang w:val="pt-BR"/>
        </w:rPr>
        <w:tab/>
      </w:r>
      <w:r w:rsidRPr="005A3F61">
        <w:rPr>
          <w:rFonts w:ascii="Verdana" w:hAnsi="Verdana"/>
          <w:sz w:val="20"/>
          <w:lang w:val="pt-BR"/>
        </w:rPr>
        <w:tab/>
      </w:r>
      <w:r w:rsidRPr="005A3F61">
        <w:rPr>
          <w:rFonts w:ascii="Verdana" w:hAnsi="Verdana"/>
          <w:sz w:val="20"/>
          <w:lang w:val="pt-BR"/>
        </w:rPr>
        <w:tab/>
      </w:r>
      <w:r w:rsidRPr="005A3F61">
        <w:rPr>
          <w:rFonts w:ascii="Verdana" w:hAnsi="Verdana"/>
          <w:sz w:val="20"/>
          <w:lang w:val="pt-BR"/>
        </w:rPr>
        <w:tab/>
      </w:r>
      <w:r w:rsidRPr="005A3F61">
        <w:rPr>
          <w:rFonts w:ascii="Verdana" w:hAnsi="Verdana"/>
          <w:sz w:val="20"/>
          <w:lang w:val="pt-BR"/>
        </w:rPr>
        <w:tab/>
      </w:r>
      <w:r w:rsidRPr="005A3F61">
        <w:rPr>
          <w:rFonts w:ascii="Verdana" w:hAnsi="Verdana"/>
          <w:sz w:val="20"/>
          <w:lang w:val="pt-BR"/>
        </w:rPr>
        <w:tab/>
      </w:r>
      <w:r w:rsidRPr="005A3F61">
        <w:rPr>
          <w:rFonts w:ascii="Verdana" w:hAnsi="Verdana"/>
          <w:sz w:val="20"/>
          <w:lang w:val="pt-BR"/>
        </w:rPr>
        <w:tab/>
      </w:r>
    </w:p>
    <w:p w:rsidR="00F0427B" w:rsidRPr="005A3F61" w:rsidRDefault="00F0427B" w:rsidP="00F0427B">
      <w:pPr>
        <w:jc w:val="both"/>
        <w:rPr>
          <w:rFonts w:ascii="Verdana" w:hAnsi="Verdana"/>
          <w:sz w:val="20"/>
          <w:lang w:val="pt-BR"/>
        </w:rPr>
      </w:pPr>
    </w:p>
    <w:p w:rsidR="00F0427B" w:rsidRPr="005A3F61" w:rsidRDefault="00F0427B" w:rsidP="00F0427B">
      <w:pPr>
        <w:jc w:val="both"/>
        <w:rPr>
          <w:rFonts w:ascii="Verdana" w:hAnsi="Verdana"/>
          <w:sz w:val="20"/>
          <w:lang w:val="pt-BR"/>
        </w:rPr>
      </w:pPr>
    </w:p>
    <w:p w:rsidR="00F0427B" w:rsidRPr="005A3F61" w:rsidRDefault="00F0427B" w:rsidP="00F0427B">
      <w:pPr>
        <w:jc w:val="both"/>
        <w:rPr>
          <w:rFonts w:ascii="Verdana" w:hAnsi="Verdana"/>
          <w:sz w:val="20"/>
          <w:lang w:val="pt-BR"/>
        </w:rPr>
      </w:pPr>
    </w:p>
    <w:p w:rsidR="00F0427B" w:rsidRPr="005A3F61" w:rsidRDefault="00F0427B" w:rsidP="00F0427B">
      <w:pPr>
        <w:jc w:val="both"/>
        <w:rPr>
          <w:rFonts w:ascii="Verdana" w:hAnsi="Verdana"/>
          <w:sz w:val="20"/>
          <w:lang w:val="pt-BR"/>
        </w:rPr>
      </w:pPr>
    </w:p>
    <w:p w:rsidR="00F0427B" w:rsidRPr="00AF2746" w:rsidRDefault="00F0427B" w:rsidP="00F0427B">
      <w:pPr>
        <w:jc w:val="both"/>
        <w:rPr>
          <w:rFonts w:ascii="Verdana" w:hAnsi="Verdana"/>
          <w:sz w:val="20"/>
          <w:lang w:val="en-GB"/>
        </w:rPr>
      </w:pPr>
      <w:proofErr w:type="spellStart"/>
      <w:r w:rsidRPr="00AF2746">
        <w:rPr>
          <w:rFonts w:ascii="Verdana" w:hAnsi="Verdana"/>
          <w:sz w:val="20"/>
          <w:lang w:val="en-GB"/>
        </w:rPr>
        <w:t>Margarette</w:t>
      </w:r>
      <w:proofErr w:type="spellEnd"/>
      <w:r w:rsidRPr="00AF2746">
        <w:rPr>
          <w:rFonts w:ascii="Verdana" w:hAnsi="Verdana"/>
          <w:sz w:val="20"/>
          <w:lang w:val="en-GB"/>
        </w:rPr>
        <w:t xml:space="preserve"> May Macaulay</w:t>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proofErr w:type="spellStart"/>
      <w:r w:rsidRPr="00AF2746">
        <w:rPr>
          <w:rFonts w:ascii="Verdana" w:hAnsi="Verdana"/>
          <w:sz w:val="20"/>
          <w:lang w:val="en-GB"/>
        </w:rPr>
        <w:t>Rhadys</w:t>
      </w:r>
      <w:proofErr w:type="spellEnd"/>
      <w:r w:rsidRPr="00AF2746">
        <w:rPr>
          <w:rFonts w:ascii="Verdana" w:hAnsi="Verdana"/>
          <w:sz w:val="20"/>
          <w:lang w:val="en-GB"/>
        </w:rPr>
        <w:t xml:space="preserve"> Abreu </w:t>
      </w:r>
      <w:proofErr w:type="spellStart"/>
      <w:r w:rsidRPr="00AF2746">
        <w:rPr>
          <w:rFonts w:ascii="Verdana" w:hAnsi="Verdana"/>
          <w:sz w:val="20"/>
          <w:lang w:val="en-GB"/>
        </w:rPr>
        <w:t>Blondet</w:t>
      </w:r>
      <w:proofErr w:type="spellEnd"/>
      <w:r w:rsidRPr="00AF2746">
        <w:rPr>
          <w:rFonts w:ascii="Verdana" w:hAnsi="Verdana"/>
          <w:sz w:val="20"/>
          <w:lang w:val="en-GB"/>
        </w:rPr>
        <w:t xml:space="preserve">        </w:t>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r w:rsidRPr="00AF2746">
        <w:rPr>
          <w:rFonts w:ascii="Verdana" w:hAnsi="Verdana"/>
          <w:sz w:val="20"/>
          <w:lang w:val="en-GB"/>
        </w:rPr>
        <w:tab/>
      </w:r>
    </w:p>
    <w:p w:rsidR="00F0427B" w:rsidRPr="00AF2746" w:rsidRDefault="00F0427B" w:rsidP="00F0427B">
      <w:pPr>
        <w:jc w:val="both"/>
        <w:rPr>
          <w:rFonts w:ascii="Verdana" w:hAnsi="Verdana"/>
          <w:sz w:val="20"/>
          <w:lang w:val="en-GB"/>
        </w:rPr>
      </w:pPr>
    </w:p>
    <w:p w:rsidR="00F0427B" w:rsidRDefault="00F0427B" w:rsidP="00F0427B">
      <w:pPr>
        <w:jc w:val="both"/>
        <w:rPr>
          <w:rFonts w:ascii="Verdana" w:hAnsi="Verdana"/>
          <w:sz w:val="20"/>
          <w:lang w:val="en-GB"/>
        </w:rPr>
      </w:pPr>
    </w:p>
    <w:p w:rsidR="00F0427B" w:rsidRPr="00AF2746" w:rsidRDefault="00F0427B" w:rsidP="00F0427B">
      <w:pPr>
        <w:jc w:val="both"/>
        <w:rPr>
          <w:rFonts w:ascii="Verdana" w:hAnsi="Verdana"/>
          <w:sz w:val="20"/>
          <w:lang w:val="en-GB"/>
        </w:rPr>
      </w:pPr>
    </w:p>
    <w:p w:rsidR="00F0427B" w:rsidRPr="00AF2746" w:rsidRDefault="00F0427B" w:rsidP="00F0427B">
      <w:pPr>
        <w:jc w:val="both"/>
        <w:rPr>
          <w:rFonts w:ascii="Verdana" w:hAnsi="Verdana"/>
          <w:sz w:val="20"/>
          <w:lang w:val="en-GB"/>
        </w:rPr>
      </w:pPr>
    </w:p>
    <w:p w:rsidR="00F0427B" w:rsidRPr="00567723" w:rsidRDefault="00F0427B" w:rsidP="00F0427B">
      <w:pPr>
        <w:jc w:val="both"/>
        <w:rPr>
          <w:rFonts w:ascii="Verdana" w:hAnsi="Verdana"/>
          <w:sz w:val="20"/>
          <w:lang w:val="es-ES"/>
        </w:rPr>
      </w:pPr>
      <w:r w:rsidRPr="00567723">
        <w:rPr>
          <w:rFonts w:ascii="Verdana" w:hAnsi="Verdana"/>
          <w:sz w:val="20"/>
          <w:lang w:val="es-ES"/>
        </w:rPr>
        <w:t xml:space="preserve">Alberto Pérez </w:t>
      </w:r>
      <w:proofErr w:type="spellStart"/>
      <w:r w:rsidRPr="00567723">
        <w:rPr>
          <w:rFonts w:ascii="Verdana" w:hAnsi="Verdana"/>
          <w:sz w:val="20"/>
          <w:lang w:val="es-ES"/>
        </w:rPr>
        <w:t>P</w:t>
      </w:r>
      <w:r>
        <w:rPr>
          <w:rFonts w:ascii="Verdana" w:hAnsi="Verdana"/>
          <w:sz w:val="20"/>
          <w:lang w:val="es-ES"/>
        </w:rPr>
        <w:t>érez</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Eduardo Vio Grossi</w:t>
      </w:r>
    </w:p>
    <w:p w:rsidR="00F0427B" w:rsidRPr="00567723" w:rsidRDefault="00F0427B" w:rsidP="00F0427B">
      <w:pPr>
        <w:jc w:val="both"/>
        <w:rPr>
          <w:rFonts w:ascii="Verdana" w:hAnsi="Verdana"/>
          <w:sz w:val="20"/>
          <w:lang w:val="es-ES"/>
        </w:rPr>
      </w:pPr>
    </w:p>
    <w:p w:rsidR="00F0427B" w:rsidRDefault="00F0427B" w:rsidP="00F0427B">
      <w:pPr>
        <w:jc w:val="both"/>
        <w:rPr>
          <w:rFonts w:ascii="Verdana" w:hAnsi="Verdana"/>
          <w:sz w:val="20"/>
          <w:lang w:val="es-ES"/>
        </w:rPr>
      </w:pPr>
    </w:p>
    <w:p w:rsidR="00F0427B" w:rsidRDefault="00F0427B" w:rsidP="00F0427B">
      <w:pPr>
        <w:jc w:val="both"/>
        <w:rPr>
          <w:rFonts w:ascii="Verdana" w:hAnsi="Verdana"/>
          <w:sz w:val="20"/>
          <w:lang w:val="es-ES"/>
        </w:rPr>
      </w:pPr>
    </w:p>
    <w:p w:rsidR="00F0427B" w:rsidRDefault="00F0427B" w:rsidP="00F0427B">
      <w:pPr>
        <w:jc w:val="both"/>
        <w:rPr>
          <w:rFonts w:ascii="Verdana" w:hAnsi="Verdana"/>
          <w:sz w:val="20"/>
          <w:lang w:val="es-ES"/>
        </w:rPr>
      </w:pPr>
    </w:p>
    <w:p w:rsidR="00F0427B" w:rsidRDefault="00F0427B" w:rsidP="00F0427B">
      <w:pPr>
        <w:jc w:val="both"/>
        <w:rPr>
          <w:rFonts w:ascii="Verdana" w:hAnsi="Verdana"/>
          <w:sz w:val="20"/>
          <w:lang w:val="es-ES"/>
        </w:rPr>
      </w:pPr>
    </w:p>
    <w:p w:rsidR="00F0427B" w:rsidRDefault="00F0427B" w:rsidP="00F0427B">
      <w:pPr>
        <w:jc w:val="both"/>
        <w:rPr>
          <w:rFonts w:ascii="Verdana" w:hAnsi="Verdana"/>
          <w:sz w:val="20"/>
          <w:lang w:val="es-ES"/>
        </w:rPr>
      </w:pPr>
    </w:p>
    <w:p w:rsidR="00F0427B" w:rsidRPr="00567723" w:rsidRDefault="00F0427B" w:rsidP="00F0427B">
      <w:pPr>
        <w:jc w:val="both"/>
        <w:rPr>
          <w:rFonts w:ascii="Verdana" w:hAnsi="Verdana"/>
          <w:sz w:val="20"/>
          <w:lang w:val="es-ES"/>
        </w:rPr>
      </w:pPr>
    </w:p>
    <w:p w:rsidR="00F0427B" w:rsidRDefault="00F0427B" w:rsidP="00F0427B">
      <w:pPr>
        <w:jc w:val="center"/>
        <w:rPr>
          <w:rFonts w:ascii="Verdana" w:hAnsi="Verdana"/>
          <w:sz w:val="20"/>
        </w:rPr>
      </w:pPr>
      <w:r>
        <w:rPr>
          <w:rFonts w:ascii="Verdana" w:hAnsi="Verdana"/>
          <w:sz w:val="20"/>
        </w:rPr>
        <w:t>Pablo Saavedra Alessandri</w:t>
      </w:r>
    </w:p>
    <w:p w:rsidR="00F0427B" w:rsidRDefault="00F0427B" w:rsidP="00F0427B">
      <w:pPr>
        <w:ind w:left="2880" w:firstLine="720"/>
        <w:rPr>
          <w:rFonts w:ascii="Verdana" w:hAnsi="Verdana"/>
          <w:sz w:val="20"/>
        </w:rPr>
      </w:pPr>
      <w:r>
        <w:rPr>
          <w:rFonts w:ascii="Verdana" w:hAnsi="Verdana"/>
          <w:sz w:val="20"/>
        </w:rPr>
        <w:t>Secretario</w:t>
      </w: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r>
        <w:rPr>
          <w:rFonts w:ascii="Verdana" w:hAnsi="Verdana"/>
          <w:sz w:val="20"/>
        </w:rPr>
        <w:t>Comuníquese y ejecútese,</w:t>
      </w: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ind w:left="3600" w:firstLine="720"/>
        <w:jc w:val="center"/>
        <w:rPr>
          <w:rFonts w:ascii="Verdana" w:hAnsi="Verdana"/>
          <w:sz w:val="20"/>
        </w:rPr>
      </w:pPr>
      <w:r>
        <w:rPr>
          <w:rFonts w:ascii="Verdana" w:hAnsi="Verdana"/>
          <w:sz w:val="20"/>
        </w:rPr>
        <w:t>Diego García-Sayán</w:t>
      </w:r>
    </w:p>
    <w:p w:rsidR="00F0427B" w:rsidRDefault="00F0427B" w:rsidP="00F0427B">
      <w:pPr>
        <w:ind w:left="3600" w:firstLine="720"/>
        <w:jc w:val="center"/>
        <w:rPr>
          <w:rFonts w:ascii="Verdana" w:hAnsi="Verdana"/>
          <w:sz w:val="20"/>
        </w:rPr>
      </w:pPr>
      <w:r>
        <w:rPr>
          <w:rFonts w:ascii="Verdana" w:hAnsi="Verdana"/>
          <w:sz w:val="20"/>
        </w:rPr>
        <w:t>Presidente</w:t>
      </w: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p>
    <w:p w:rsidR="00F0427B" w:rsidRDefault="00F0427B" w:rsidP="00F0427B">
      <w:pPr>
        <w:jc w:val="both"/>
        <w:rPr>
          <w:rFonts w:ascii="Verdana" w:hAnsi="Verdana"/>
          <w:sz w:val="20"/>
        </w:rPr>
      </w:pPr>
      <w:r>
        <w:rPr>
          <w:rFonts w:ascii="Verdana" w:hAnsi="Verdana"/>
          <w:sz w:val="20"/>
        </w:rPr>
        <w:t>Pablo Saavedra Alessandri</w:t>
      </w:r>
    </w:p>
    <w:p w:rsidR="00F0427B" w:rsidRDefault="00F0427B" w:rsidP="00F0427B">
      <w:pPr>
        <w:rPr>
          <w:rFonts w:ascii="Verdana" w:hAnsi="Verdana"/>
          <w:sz w:val="20"/>
        </w:rPr>
      </w:pPr>
      <w:r>
        <w:rPr>
          <w:rFonts w:ascii="Verdana" w:hAnsi="Verdana"/>
          <w:sz w:val="20"/>
        </w:rPr>
        <w:tab/>
        <w:t xml:space="preserve">Secretario </w:t>
      </w:r>
    </w:p>
    <w:p w:rsidR="00F0427B" w:rsidRDefault="00F0427B" w:rsidP="00F0427B">
      <w:pPr>
        <w:rPr>
          <w:rFonts w:ascii="Verdana" w:hAnsi="Verdana"/>
          <w:sz w:val="20"/>
        </w:rPr>
      </w:pPr>
    </w:p>
    <w:p w:rsidR="00F0427B" w:rsidRPr="00EF7C5E" w:rsidRDefault="00F0427B" w:rsidP="00F0427B"/>
    <w:p w:rsidR="00F0427B" w:rsidRDefault="00F0427B" w:rsidP="00006044">
      <w:pPr>
        <w:ind w:right="-6"/>
        <w:jc w:val="both"/>
        <w:rPr>
          <w:rFonts w:ascii="Verdana" w:hAnsi="Verdana"/>
          <w:sz w:val="20"/>
          <w:lang w:val="es-MX"/>
        </w:rPr>
        <w:sectPr w:rsidR="00F0427B">
          <w:headerReference w:type="even" r:id="rId8"/>
          <w:headerReference w:type="default" r:id="rId9"/>
          <w:pgSz w:w="12240" w:h="15840" w:code="1"/>
          <w:pgMar w:top="1418" w:right="1701" w:bottom="1418" w:left="1701" w:header="720" w:footer="720" w:gutter="0"/>
          <w:cols w:space="720"/>
          <w:titlePg/>
          <w:docGrid w:linePitch="360"/>
        </w:sectPr>
      </w:pPr>
    </w:p>
    <w:p w:rsidR="00F0427B" w:rsidRDefault="00F0427B" w:rsidP="00F0427B">
      <w:pPr>
        <w:pStyle w:val="Ttulo1"/>
        <w:rPr>
          <w:sz w:val="20"/>
        </w:rPr>
      </w:pPr>
    </w:p>
    <w:p w:rsidR="00F0427B" w:rsidRPr="009F2D3C" w:rsidRDefault="00F0427B" w:rsidP="00F0427B"/>
    <w:p w:rsidR="00F0427B" w:rsidRDefault="00F0427B" w:rsidP="00F0427B">
      <w:pPr>
        <w:pStyle w:val="Ttulo1"/>
        <w:rPr>
          <w:sz w:val="20"/>
        </w:rPr>
      </w:pPr>
    </w:p>
    <w:p w:rsidR="00F0427B" w:rsidRDefault="00F0427B" w:rsidP="00F0427B">
      <w:pPr>
        <w:pStyle w:val="Ttulo1"/>
        <w:rPr>
          <w:sz w:val="20"/>
        </w:rPr>
      </w:pPr>
    </w:p>
    <w:p w:rsidR="00F0427B" w:rsidRPr="009F2D3C" w:rsidRDefault="00F0427B" w:rsidP="00F0427B"/>
    <w:p w:rsidR="00F0427B" w:rsidRPr="0059457E" w:rsidRDefault="00F0427B" w:rsidP="00F0427B">
      <w:pPr>
        <w:pStyle w:val="Ttulo1"/>
        <w:rPr>
          <w:sz w:val="20"/>
        </w:rPr>
      </w:pPr>
      <w:r w:rsidRPr="0059457E">
        <w:rPr>
          <w:sz w:val="20"/>
        </w:rPr>
        <w:t>VOTO CONCURRENTE DEL JUEZ EDUARDO VIO GROSSI,</w:t>
      </w:r>
    </w:p>
    <w:p w:rsidR="00F0427B" w:rsidRPr="0059457E" w:rsidRDefault="00F0427B" w:rsidP="00F0427B">
      <w:pPr>
        <w:pStyle w:val="Ttulo1"/>
        <w:rPr>
          <w:sz w:val="20"/>
        </w:rPr>
      </w:pPr>
      <w:r w:rsidRPr="0059457E">
        <w:rPr>
          <w:sz w:val="20"/>
        </w:rPr>
        <w:t xml:space="preserve">RESOLUCIÓN </w:t>
      </w:r>
      <w:r w:rsidRPr="0059457E">
        <w:rPr>
          <w:caps w:val="0"/>
          <w:sz w:val="20"/>
        </w:rPr>
        <w:t>de la Corte Interamericana de Derechos Humanos</w:t>
      </w:r>
    </w:p>
    <w:p w:rsidR="00F0427B" w:rsidRPr="0059457E" w:rsidRDefault="00F0427B" w:rsidP="00F0427B">
      <w:pPr>
        <w:jc w:val="center"/>
        <w:rPr>
          <w:b/>
          <w:caps/>
          <w:sz w:val="20"/>
        </w:rPr>
      </w:pPr>
      <w:r w:rsidRPr="0059457E">
        <w:rPr>
          <w:b/>
          <w:caps/>
          <w:sz w:val="20"/>
        </w:rPr>
        <w:t>de 20 de FEBRERO de 2012</w:t>
      </w:r>
    </w:p>
    <w:p w:rsidR="00F0427B" w:rsidRPr="0059457E" w:rsidRDefault="00F0427B" w:rsidP="00F0427B">
      <w:pPr>
        <w:jc w:val="center"/>
        <w:rPr>
          <w:b/>
          <w:caps/>
          <w:sz w:val="20"/>
        </w:rPr>
      </w:pPr>
      <w:r w:rsidRPr="0059457E">
        <w:rPr>
          <w:b/>
          <w:caps/>
          <w:sz w:val="20"/>
        </w:rPr>
        <w:t>Medidas Provisionales Respecto de LOS ESTADOS UNIDOS MEXICANOS</w:t>
      </w:r>
    </w:p>
    <w:p w:rsidR="00F0427B" w:rsidRPr="0059457E" w:rsidRDefault="00F0427B" w:rsidP="00F0427B">
      <w:pPr>
        <w:jc w:val="center"/>
        <w:rPr>
          <w:b/>
          <w:caps/>
          <w:sz w:val="20"/>
        </w:rPr>
      </w:pPr>
      <w:r w:rsidRPr="0059457E">
        <w:rPr>
          <w:b/>
          <w:caps/>
          <w:sz w:val="20"/>
        </w:rPr>
        <w:t>cASO Fernández ORTEGA y otros</w:t>
      </w:r>
    </w:p>
    <w:p w:rsidR="00F0427B" w:rsidRPr="0059457E" w:rsidRDefault="00F0427B" w:rsidP="00F0427B">
      <w:pPr>
        <w:pStyle w:val="Default"/>
        <w:jc w:val="both"/>
        <w:rPr>
          <w:sz w:val="20"/>
          <w:szCs w:val="20"/>
          <w:lang w:val="es-ES_tradnl"/>
        </w:rPr>
      </w:pPr>
    </w:p>
    <w:p w:rsidR="00F0427B" w:rsidRPr="0059457E" w:rsidRDefault="00F0427B" w:rsidP="00F0427B">
      <w:pPr>
        <w:pStyle w:val="Default"/>
        <w:jc w:val="both"/>
        <w:rPr>
          <w:sz w:val="20"/>
          <w:szCs w:val="20"/>
        </w:rPr>
      </w:pPr>
      <w:r w:rsidRPr="0059457E">
        <w:rPr>
          <w:sz w:val="20"/>
          <w:szCs w:val="20"/>
        </w:rPr>
        <w:t>Quién suscribe concurre con su voto a la aprobación de la Resolución  indicada en el rótulo, dejando, empero, constancia de que, en atención a que, habiéndose dictado en autos el “</w:t>
      </w:r>
      <w:r w:rsidRPr="0059457E">
        <w:rPr>
          <w:i/>
          <w:iCs/>
          <w:sz w:val="20"/>
          <w:szCs w:val="20"/>
        </w:rPr>
        <w:t>fallo definitivo e inapelable</w:t>
      </w:r>
      <w:r w:rsidRPr="0059457E">
        <w:rPr>
          <w:sz w:val="20"/>
          <w:szCs w:val="20"/>
        </w:rPr>
        <w:t>”</w:t>
      </w:r>
      <w:r w:rsidRPr="0059457E">
        <w:rPr>
          <w:rStyle w:val="Refdenotaalpie"/>
          <w:sz w:val="20"/>
          <w:szCs w:val="20"/>
        </w:rPr>
        <w:footnoteReference w:id="15"/>
      </w:r>
      <w:r w:rsidRPr="0059457E">
        <w:rPr>
          <w:sz w:val="20"/>
          <w:szCs w:val="20"/>
        </w:rPr>
        <w:t xml:space="preserve"> que ha puesto efectivo término al caso en el que, mientras la Corte Interamericana de Derechos Humanos, en adelante le Corte, lo estuvo “</w:t>
      </w:r>
      <w:r w:rsidRPr="0059457E">
        <w:rPr>
          <w:i/>
          <w:iCs/>
          <w:sz w:val="20"/>
          <w:szCs w:val="20"/>
        </w:rPr>
        <w:t>conociendo</w:t>
      </w:r>
      <w:r w:rsidRPr="0059457E">
        <w:rPr>
          <w:sz w:val="20"/>
          <w:szCs w:val="20"/>
        </w:rPr>
        <w:t>”</w:t>
      </w:r>
      <w:r w:rsidRPr="0059457E">
        <w:rPr>
          <w:rStyle w:val="Refdenotaalpie"/>
          <w:sz w:val="20"/>
          <w:szCs w:val="20"/>
        </w:rPr>
        <w:footnoteReference w:id="16"/>
      </w:r>
      <w:r w:rsidRPr="0059457E">
        <w:rPr>
          <w:sz w:val="20"/>
          <w:szCs w:val="20"/>
        </w:rPr>
        <w:t xml:space="preserve"> adoptó medidas provisionales, su competencia resp</w:t>
      </w:r>
      <w:r>
        <w:rPr>
          <w:sz w:val="20"/>
          <w:szCs w:val="20"/>
        </w:rPr>
        <w:t xml:space="preserve">ecto de estas últimas ha </w:t>
      </w:r>
      <w:proofErr w:type="spellStart"/>
      <w:r>
        <w:rPr>
          <w:sz w:val="20"/>
          <w:szCs w:val="20"/>
        </w:rPr>
        <w:t>preclui</w:t>
      </w:r>
      <w:r w:rsidRPr="0059457E">
        <w:rPr>
          <w:sz w:val="20"/>
          <w:szCs w:val="20"/>
        </w:rPr>
        <w:t>do</w:t>
      </w:r>
      <w:proofErr w:type="spellEnd"/>
      <w:r w:rsidRPr="0059457E">
        <w:rPr>
          <w:sz w:val="20"/>
          <w:szCs w:val="20"/>
        </w:rPr>
        <w:t>, correspondiéndole, en lo sucesivo, tan solo “</w:t>
      </w:r>
      <w:r w:rsidRPr="0059457E">
        <w:rPr>
          <w:i/>
          <w:iCs/>
          <w:sz w:val="20"/>
          <w:szCs w:val="20"/>
        </w:rPr>
        <w:t>supervisar</w:t>
      </w:r>
      <w:r w:rsidRPr="0059457E">
        <w:rPr>
          <w:sz w:val="20"/>
          <w:szCs w:val="20"/>
        </w:rPr>
        <w:t>” el cumplimiento de dicho fallo</w:t>
      </w:r>
      <w:r w:rsidRPr="0059457E">
        <w:rPr>
          <w:rStyle w:val="Refdenotaalpie"/>
          <w:sz w:val="20"/>
          <w:szCs w:val="20"/>
        </w:rPr>
        <w:footnoteReference w:id="17"/>
      </w:r>
      <w:r w:rsidRPr="0059457E">
        <w:rPr>
          <w:sz w:val="20"/>
          <w:szCs w:val="20"/>
        </w:rPr>
        <w:t>, no siendo posible, por ende, que dicte nuevas medidas provisionales durante esa etapa de supervisión puesto que ya no está “</w:t>
      </w:r>
      <w:r w:rsidRPr="0059457E">
        <w:rPr>
          <w:i/>
          <w:sz w:val="20"/>
          <w:szCs w:val="20"/>
        </w:rPr>
        <w:t>conociendo</w:t>
      </w:r>
      <w:r w:rsidRPr="0059457E">
        <w:rPr>
          <w:sz w:val="20"/>
          <w:szCs w:val="20"/>
        </w:rPr>
        <w:t>” de dicho caso contencioso, es decir, ya lo ha “</w:t>
      </w:r>
      <w:r w:rsidRPr="0059457E">
        <w:rPr>
          <w:i/>
          <w:sz w:val="20"/>
          <w:szCs w:val="20"/>
        </w:rPr>
        <w:t>juzgado</w:t>
      </w:r>
      <w:r w:rsidRPr="0059457E">
        <w:rPr>
          <w:sz w:val="20"/>
          <w:szCs w:val="20"/>
        </w:rPr>
        <w:t xml:space="preserve">”. </w:t>
      </w:r>
    </w:p>
    <w:p w:rsidR="00F0427B" w:rsidRPr="0059457E" w:rsidRDefault="00F0427B" w:rsidP="00F0427B">
      <w:pPr>
        <w:pStyle w:val="Default"/>
        <w:jc w:val="both"/>
        <w:rPr>
          <w:sz w:val="20"/>
          <w:szCs w:val="20"/>
        </w:rPr>
      </w:pPr>
    </w:p>
    <w:p w:rsidR="00F0427B" w:rsidRPr="0059457E" w:rsidRDefault="00F0427B" w:rsidP="00F0427B">
      <w:pPr>
        <w:pStyle w:val="Default"/>
        <w:jc w:val="both"/>
        <w:rPr>
          <w:sz w:val="20"/>
          <w:szCs w:val="20"/>
        </w:rPr>
      </w:pPr>
      <w:r w:rsidRPr="0059457E">
        <w:rPr>
          <w:sz w:val="20"/>
          <w:szCs w:val="20"/>
        </w:rPr>
        <w:t>A mayor abundamiento, habría que recordar que, una vez dictada una sentencia, a la Corte únicamente le corresponde dictar la sentencia de reparación y costas, siempre que no lo haya hecho</w:t>
      </w:r>
      <w:r w:rsidRPr="0059457E">
        <w:rPr>
          <w:rStyle w:val="Refdenotaalpie"/>
          <w:sz w:val="20"/>
          <w:szCs w:val="20"/>
        </w:rPr>
        <w:footnoteReference w:id="18"/>
      </w:r>
      <w:r w:rsidRPr="0059457E">
        <w:rPr>
          <w:sz w:val="20"/>
          <w:szCs w:val="20"/>
        </w:rPr>
        <w:t>, interpretar ambos fallos</w:t>
      </w:r>
      <w:r w:rsidRPr="0059457E">
        <w:rPr>
          <w:rStyle w:val="Refdenotaalpie"/>
          <w:sz w:val="20"/>
          <w:szCs w:val="20"/>
        </w:rPr>
        <w:footnoteReference w:id="19"/>
      </w:r>
      <w:r w:rsidRPr="0059457E">
        <w:rPr>
          <w:sz w:val="20"/>
          <w:szCs w:val="20"/>
        </w:rPr>
        <w:t>, enmendar los errores de edición o de cálculo en que hayan incurrido</w:t>
      </w:r>
      <w:r w:rsidRPr="0059457E">
        <w:rPr>
          <w:rStyle w:val="Refdenotaalpie"/>
          <w:sz w:val="20"/>
          <w:szCs w:val="20"/>
        </w:rPr>
        <w:footnoteReference w:id="20"/>
      </w:r>
      <w:r w:rsidRPr="0059457E">
        <w:rPr>
          <w:sz w:val="20"/>
          <w:szCs w:val="20"/>
        </w:rPr>
        <w:t>, supervisar su cumplimiento</w:t>
      </w:r>
      <w:r w:rsidRPr="0059457E">
        <w:rPr>
          <w:rStyle w:val="Refdenotaalpie"/>
          <w:sz w:val="20"/>
          <w:szCs w:val="20"/>
        </w:rPr>
        <w:footnoteReference w:id="21"/>
      </w:r>
      <w:r w:rsidRPr="0059457E">
        <w:rPr>
          <w:sz w:val="20"/>
          <w:szCs w:val="20"/>
        </w:rPr>
        <w:t xml:space="preserve"> e informar a la Asamblea General de la OEA de su incumplimiento</w:t>
      </w:r>
      <w:r w:rsidRPr="0059457E">
        <w:rPr>
          <w:rStyle w:val="Refdenotaalpie"/>
          <w:sz w:val="20"/>
          <w:szCs w:val="20"/>
        </w:rPr>
        <w:footnoteReference w:id="22"/>
      </w:r>
      <w:r w:rsidRPr="0059457E">
        <w:rPr>
          <w:sz w:val="20"/>
          <w:szCs w:val="20"/>
        </w:rPr>
        <w:t>. A la Corte no se le ha conferido, pues, la facultad de disponer de nuevas medidas provisionales “</w:t>
      </w:r>
      <w:r w:rsidRPr="0059457E">
        <w:rPr>
          <w:i/>
          <w:sz w:val="20"/>
          <w:szCs w:val="20"/>
        </w:rPr>
        <w:t>en la etapa de supervisión del cumplimiento de la sentencia</w:t>
      </w:r>
      <w:r w:rsidRPr="0059457E">
        <w:rPr>
          <w:sz w:val="20"/>
          <w:szCs w:val="20"/>
        </w:rPr>
        <w:t>” ni s</w:t>
      </w:r>
      <w:r>
        <w:rPr>
          <w:sz w:val="20"/>
          <w:szCs w:val="20"/>
        </w:rPr>
        <w:t>e</w:t>
      </w:r>
      <w:r w:rsidRPr="0059457E">
        <w:rPr>
          <w:sz w:val="20"/>
          <w:szCs w:val="20"/>
        </w:rPr>
        <w:t xml:space="preserve"> puede encontrar el fundamento para dictarlas en la sola circunstancia de encontrarse el caso en esa etapa, que tiene por exclusivo objeto, como su nombre lo indica, verificar, a través de inform</w:t>
      </w:r>
      <w:r>
        <w:rPr>
          <w:sz w:val="20"/>
          <w:szCs w:val="20"/>
        </w:rPr>
        <w:t>e</w:t>
      </w:r>
      <w:r w:rsidRPr="0059457E">
        <w:rPr>
          <w:sz w:val="20"/>
          <w:szCs w:val="20"/>
        </w:rPr>
        <w:t>s que la Corte solicita a las partes</w:t>
      </w:r>
      <w:r w:rsidRPr="0059457E">
        <w:rPr>
          <w:rStyle w:val="Refdenotaalpie"/>
          <w:sz w:val="20"/>
          <w:szCs w:val="20"/>
        </w:rPr>
        <w:footnoteReference w:id="23"/>
      </w:r>
      <w:r w:rsidRPr="0059457E">
        <w:rPr>
          <w:sz w:val="20"/>
          <w:szCs w:val="20"/>
        </w:rPr>
        <w:t xml:space="preserve">,  si el Estado pertinente ha cumplido o no con lo dispuesto en la o las sentencias correspondientes. </w:t>
      </w:r>
    </w:p>
    <w:p w:rsidR="00F0427B" w:rsidRDefault="00F0427B" w:rsidP="00F0427B">
      <w:pPr>
        <w:pStyle w:val="Default"/>
        <w:jc w:val="both"/>
        <w:rPr>
          <w:sz w:val="20"/>
          <w:szCs w:val="20"/>
        </w:rPr>
      </w:pPr>
    </w:p>
    <w:p w:rsidR="00F0427B" w:rsidRPr="0059457E" w:rsidRDefault="00F0427B" w:rsidP="00F0427B">
      <w:pPr>
        <w:pStyle w:val="Default"/>
        <w:jc w:val="both"/>
        <w:rPr>
          <w:sz w:val="20"/>
          <w:szCs w:val="20"/>
        </w:rPr>
      </w:pPr>
      <w:r w:rsidRPr="0059457E">
        <w:rPr>
          <w:sz w:val="20"/>
          <w:szCs w:val="20"/>
        </w:rPr>
        <w:t>En mérito de lo expuesto, lógicamente tales medidas deberían entenderse como parte del “</w:t>
      </w:r>
      <w:r w:rsidRPr="0059457E">
        <w:rPr>
          <w:i/>
          <w:iCs/>
          <w:sz w:val="20"/>
          <w:szCs w:val="20"/>
        </w:rPr>
        <w:t>fallo definitivo e inapelable</w:t>
      </w:r>
      <w:r w:rsidRPr="0059457E">
        <w:rPr>
          <w:sz w:val="20"/>
          <w:szCs w:val="20"/>
        </w:rPr>
        <w:t>” que resolvió, con valor de cosa juzgada, el caso contencioso y que, por ende, integran las obligaciones del Estado concernido y no de la Corte, derivadas de la dictación del mismo, de garantizar “</w:t>
      </w:r>
      <w:r w:rsidRPr="0059457E">
        <w:rPr>
          <w:i/>
          <w:iCs/>
          <w:sz w:val="20"/>
          <w:szCs w:val="20"/>
        </w:rPr>
        <w:t>al lesionado en el goce de su derecho o libertad conculcados</w:t>
      </w:r>
      <w:r w:rsidRPr="0059457E">
        <w:rPr>
          <w:sz w:val="20"/>
          <w:szCs w:val="20"/>
        </w:rPr>
        <w:t>”</w:t>
      </w:r>
      <w:r w:rsidRPr="0059457E">
        <w:rPr>
          <w:rStyle w:val="Refdenotaalpie"/>
          <w:sz w:val="20"/>
          <w:szCs w:val="20"/>
        </w:rPr>
        <w:footnoteReference w:id="24"/>
      </w:r>
      <w:r w:rsidRPr="0059457E">
        <w:rPr>
          <w:sz w:val="20"/>
          <w:szCs w:val="20"/>
        </w:rPr>
        <w:t xml:space="preserve"> y de adoptar las medidas pertinentes a fin de “</w:t>
      </w:r>
      <w:r w:rsidRPr="0059457E">
        <w:rPr>
          <w:i/>
          <w:iCs/>
          <w:sz w:val="20"/>
          <w:szCs w:val="20"/>
        </w:rPr>
        <w:t>evitar daños irreparables a las personas</w:t>
      </w:r>
      <w:r w:rsidRPr="0059457E">
        <w:rPr>
          <w:sz w:val="20"/>
          <w:szCs w:val="20"/>
        </w:rPr>
        <w:t>”</w:t>
      </w:r>
      <w:r w:rsidRPr="0059457E">
        <w:rPr>
          <w:rStyle w:val="Refdenotaalpie"/>
          <w:sz w:val="20"/>
          <w:szCs w:val="20"/>
        </w:rPr>
        <w:footnoteReference w:id="25"/>
      </w:r>
      <w:r w:rsidRPr="0059457E">
        <w:rPr>
          <w:sz w:val="20"/>
          <w:szCs w:val="20"/>
        </w:rPr>
        <w:t xml:space="preserve"> a que el mismo se refiere. De otra manera, el fallo en cuestión no sería definitivo ni resolvería el caso. Por lo tanto, el cumplimiento de esas medidas se debe supervisar como “</w:t>
      </w:r>
      <w:r w:rsidRPr="0059457E">
        <w:rPr>
          <w:i/>
          <w:sz w:val="20"/>
          <w:szCs w:val="20"/>
        </w:rPr>
        <w:t>parte</w:t>
      </w:r>
      <w:r w:rsidRPr="0059457E">
        <w:rPr>
          <w:sz w:val="20"/>
          <w:szCs w:val="20"/>
        </w:rPr>
        <w:t>” de la sentencia en comento y no como si se tratare de un proceso diferente y aún autónomo en el que, además, se podrían disponer de nuevas medidas provisionales, prologando así, en la práctica, el proceso.</w:t>
      </w:r>
    </w:p>
    <w:p w:rsidR="00F0427B" w:rsidRPr="0059457E" w:rsidRDefault="00F0427B" w:rsidP="00F0427B">
      <w:pPr>
        <w:pStyle w:val="Default"/>
        <w:jc w:val="both"/>
        <w:rPr>
          <w:sz w:val="20"/>
          <w:szCs w:val="20"/>
        </w:rPr>
      </w:pPr>
    </w:p>
    <w:p w:rsidR="00F0427B" w:rsidRPr="0059457E" w:rsidRDefault="00F0427B" w:rsidP="00F0427B">
      <w:pPr>
        <w:pStyle w:val="Default"/>
        <w:jc w:val="both"/>
        <w:rPr>
          <w:sz w:val="20"/>
          <w:szCs w:val="20"/>
        </w:rPr>
      </w:pPr>
      <w:r w:rsidRPr="007926DC">
        <w:rPr>
          <w:sz w:val="20"/>
          <w:szCs w:val="20"/>
        </w:rPr>
        <w:lastRenderedPageBreak/>
        <w:t>En definitiva, el suscrito es del parecer que la Resolución a la que concurre con el presente voto, debería entenderse como parte de la supervisión del cumplimiento de la antes indicada Sentencia, la que, a su turno, debería haber incluido expresamente la obligación del Estado de cumplir las medidas provisionales decretadas en autos, las que se entenderían levantadas y, por tanto, ejecutado, en ese aspecto, el fallo, una vez que hayan desaparecido la “extrema gravedad y urgencia” y el riesgo de “daños irreparables a las personas” que justificaron, en su momento, su adopción. De esa forma, no habría quedado margen alguno a la duda o incertidumbre al respecto. Por cierto, en caso de no cumplir dichas medidas, la Corte podría informar a la Asamblea General de la OEA del incumplimiento del fallo</w:t>
      </w:r>
      <w:r>
        <w:rPr>
          <w:rStyle w:val="Refdenotaalpie"/>
          <w:sz w:val="20"/>
          <w:szCs w:val="20"/>
        </w:rPr>
        <w:footnoteReference w:id="26"/>
      </w:r>
      <w:r w:rsidRPr="007926DC">
        <w:rPr>
          <w:sz w:val="20"/>
          <w:szCs w:val="20"/>
        </w:rPr>
        <w:t>.</w:t>
      </w:r>
    </w:p>
    <w:p w:rsidR="00F0427B" w:rsidRPr="007926DC" w:rsidRDefault="00F0427B" w:rsidP="00F0427B">
      <w:pPr>
        <w:pStyle w:val="Default"/>
        <w:jc w:val="both"/>
        <w:rPr>
          <w:sz w:val="20"/>
          <w:szCs w:val="20"/>
        </w:rPr>
      </w:pPr>
    </w:p>
    <w:p w:rsidR="00F0427B" w:rsidRDefault="00F0427B" w:rsidP="00F0427B">
      <w:pPr>
        <w:pStyle w:val="Default"/>
        <w:jc w:val="both"/>
        <w:rPr>
          <w:sz w:val="20"/>
          <w:szCs w:val="20"/>
        </w:rPr>
      </w:pPr>
      <w:r w:rsidRPr="007926DC">
        <w:rPr>
          <w:sz w:val="20"/>
          <w:szCs w:val="20"/>
        </w:rPr>
        <w:t>El fundamento más detallado de esta posición, que considera, tal como lo ha indicado en otra ocasión</w:t>
      </w:r>
      <w:r w:rsidRPr="00282B79">
        <w:rPr>
          <w:rStyle w:val="Refdenotaalpie"/>
          <w:sz w:val="20"/>
          <w:szCs w:val="20"/>
        </w:rPr>
        <w:footnoteReference w:id="27"/>
      </w:r>
      <w:r w:rsidRPr="007926DC">
        <w:rPr>
          <w:sz w:val="20"/>
          <w:szCs w:val="20"/>
        </w:rPr>
        <w:t xml:space="preserve">, por una parte, que el estricto respeto por parte de la Corte de las normas que le rigen es requisito </w:t>
      </w:r>
      <w:r w:rsidRPr="009F2D3C">
        <w:rPr>
          <w:i/>
          <w:sz w:val="20"/>
          <w:szCs w:val="20"/>
        </w:rPr>
        <w:t>sine qua non</w:t>
      </w:r>
      <w:r w:rsidRPr="007926DC">
        <w:rPr>
          <w:sz w:val="20"/>
          <w:szCs w:val="20"/>
        </w:rPr>
        <w:t xml:space="preserve"> para el debido resguardo de los derechos humanos y por la otra, a la jurisprudencia como medio auxiliar para la determinación de las reglas de derecho</w:t>
      </w:r>
      <w:r w:rsidRPr="00282B79">
        <w:rPr>
          <w:rStyle w:val="Refdenotaalpie"/>
          <w:sz w:val="20"/>
          <w:szCs w:val="20"/>
        </w:rPr>
        <w:footnoteReference w:id="28"/>
      </w:r>
      <w:r w:rsidRPr="007926DC">
        <w:rPr>
          <w:sz w:val="12"/>
          <w:szCs w:val="12"/>
        </w:rPr>
        <w:t xml:space="preserve"> </w:t>
      </w:r>
      <w:r w:rsidRPr="007926DC">
        <w:rPr>
          <w:sz w:val="20"/>
          <w:szCs w:val="20"/>
        </w:rPr>
        <w:t>y su obligatoriedad solo para las partes en litigio y respecto del caso que ha sido decidido</w:t>
      </w:r>
      <w:r w:rsidRPr="00282B79">
        <w:rPr>
          <w:rStyle w:val="Refdenotaalpie"/>
          <w:sz w:val="20"/>
          <w:szCs w:val="20"/>
        </w:rPr>
        <w:footnoteReference w:id="29"/>
      </w:r>
      <w:r w:rsidRPr="007926DC">
        <w:rPr>
          <w:sz w:val="12"/>
          <w:szCs w:val="12"/>
        </w:rPr>
        <w:t>,</w:t>
      </w:r>
      <w:r w:rsidRPr="007926DC">
        <w:rPr>
          <w:sz w:val="20"/>
          <w:szCs w:val="20"/>
        </w:rPr>
        <w:t xml:space="preserve">  por lo que, por ende, puede ser modificada en otros casos, se encuentra tanto en los Votos Disidentes, del mismo tenor, que el infrascrito emitió, el 15 de julio de 2011, respecto de la Resoluciones de la Corte relativas a las </w:t>
      </w:r>
      <w:r w:rsidRPr="009F2D3C">
        <w:rPr>
          <w:i/>
          <w:sz w:val="20"/>
          <w:szCs w:val="20"/>
        </w:rPr>
        <w:t>“Medidas Provisionales respecto de la República de Colombia, Caso Gutiérrez Soler Vs. Colombia”</w:t>
      </w:r>
      <w:r w:rsidRPr="007926DC">
        <w:rPr>
          <w:sz w:val="20"/>
          <w:szCs w:val="20"/>
        </w:rPr>
        <w:t xml:space="preserve">, de 30 de junio de 2011, a las </w:t>
      </w:r>
      <w:r w:rsidRPr="009F2D3C">
        <w:rPr>
          <w:i/>
          <w:sz w:val="20"/>
          <w:szCs w:val="20"/>
        </w:rPr>
        <w:t>“Medidas Provisionales respecto de los Estados Unidos Mexicanos, Caso Rosendo Cantú y Otra Vs. México”</w:t>
      </w:r>
      <w:r w:rsidRPr="007926DC">
        <w:rPr>
          <w:sz w:val="20"/>
          <w:szCs w:val="20"/>
        </w:rPr>
        <w:t xml:space="preserve">, de 1 de julio de 2011 y a las </w:t>
      </w:r>
      <w:r w:rsidRPr="009F2D3C">
        <w:rPr>
          <w:i/>
          <w:sz w:val="20"/>
          <w:szCs w:val="20"/>
        </w:rPr>
        <w:t xml:space="preserve">“Medidas Provisionales respecto de la República de Honduras, Caso </w:t>
      </w:r>
      <w:proofErr w:type="spellStart"/>
      <w:r w:rsidRPr="009F2D3C">
        <w:rPr>
          <w:i/>
          <w:sz w:val="20"/>
          <w:szCs w:val="20"/>
        </w:rPr>
        <w:t>Kawas</w:t>
      </w:r>
      <w:proofErr w:type="spellEnd"/>
      <w:r w:rsidRPr="009F2D3C">
        <w:rPr>
          <w:i/>
          <w:sz w:val="20"/>
          <w:szCs w:val="20"/>
        </w:rPr>
        <w:t xml:space="preserve"> Fernández Vs. Honduras”</w:t>
      </w:r>
      <w:r w:rsidRPr="007926DC">
        <w:rPr>
          <w:sz w:val="20"/>
          <w:szCs w:val="20"/>
        </w:rPr>
        <w:t xml:space="preserve">, de 5 de julio de 2011, como en el escrito que, relacionado con las </w:t>
      </w:r>
      <w:r w:rsidRPr="0059457E">
        <w:rPr>
          <w:sz w:val="20"/>
          <w:szCs w:val="20"/>
        </w:rPr>
        <w:t>mismas Resoluciones, presentó ante la Corte el 17 de agosto de 2011, posición que ha reiterado en otros casos</w:t>
      </w:r>
      <w:r w:rsidRPr="00282B79">
        <w:rPr>
          <w:rStyle w:val="Refdenotaalpie"/>
          <w:sz w:val="20"/>
          <w:szCs w:val="20"/>
        </w:rPr>
        <w:footnoteReference w:id="30"/>
      </w:r>
      <w:r w:rsidRPr="007926DC">
        <w:rPr>
          <w:sz w:val="12"/>
          <w:szCs w:val="12"/>
        </w:rPr>
        <w:t xml:space="preserve"> </w:t>
      </w:r>
      <w:r w:rsidRPr="0059457E">
        <w:rPr>
          <w:sz w:val="20"/>
          <w:szCs w:val="20"/>
        </w:rPr>
        <w:t>y asuntos</w:t>
      </w:r>
      <w:r w:rsidRPr="00282B79">
        <w:rPr>
          <w:rStyle w:val="Refdenotaalpie"/>
          <w:sz w:val="20"/>
          <w:szCs w:val="20"/>
        </w:rPr>
        <w:footnoteReference w:id="31"/>
      </w:r>
      <w:r w:rsidRPr="0059457E">
        <w:rPr>
          <w:sz w:val="20"/>
          <w:szCs w:val="20"/>
        </w:rPr>
        <w:t>.</w:t>
      </w:r>
    </w:p>
    <w:p w:rsidR="00F0427B" w:rsidRDefault="00F0427B" w:rsidP="00F0427B">
      <w:pPr>
        <w:jc w:val="center"/>
        <w:rPr>
          <w:sz w:val="20"/>
          <w:lang w:val="es-ES"/>
        </w:rPr>
      </w:pPr>
    </w:p>
    <w:p w:rsidR="00F0427B" w:rsidRDefault="00F0427B" w:rsidP="00F0427B">
      <w:pPr>
        <w:ind w:left="4956"/>
        <w:jc w:val="center"/>
        <w:rPr>
          <w:sz w:val="20"/>
          <w:lang w:val="es-ES"/>
        </w:rPr>
      </w:pPr>
    </w:p>
    <w:p w:rsidR="00F0427B" w:rsidRDefault="00F0427B" w:rsidP="00F0427B">
      <w:pPr>
        <w:ind w:left="4956"/>
        <w:jc w:val="center"/>
        <w:rPr>
          <w:sz w:val="20"/>
          <w:lang w:val="es-ES"/>
        </w:rPr>
      </w:pPr>
    </w:p>
    <w:p w:rsidR="00F0427B" w:rsidRDefault="00F0427B" w:rsidP="00F0427B">
      <w:pPr>
        <w:ind w:left="4956"/>
        <w:jc w:val="center"/>
        <w:rPr>
          <w:sz w:val="20"/>
          <w:lang w:val="es-ES"/>
        </w:rPr>
      </w:pPr>
    </w:p>
    <w:p w:rsidR="00F0427B" w:rsidRDefault="00F0427B" w:rsidP="00F0427B">
      <w:pPr>
        <w:ind w:left="4956"/>
        <w:jc w:val="center"/>
        <w:rPr>
          <w:sz w:val="20"/>
          <w:lang w:val="es-ES"/>
        </w:rPr>
      </w:pPr>
    </w:p>
    <w:p w:rsidR="00F0427B" w:rsidRDefault="00F0427B" w:rsidP="00F0427B">
      <w:pPr>
        <w:ind w:left="4956"/>
        <w:jc w:val="center"/>
        <w:rPr>
          <w:sz w:val="20"/>
        </w:rPr>
      </w:pPr>
    </w:p>
    <w:p w:rsidR="00F0427B" w:rsidRPr="00F0427B" w:rsidRDefault="00F0427B" w:rsidP="00F0427B">
      <w:pPr>
        <w:ind w:left="4956"/>
        <w:jc w:val="center"/>
        <w:rPr>
          <w:rFonts w:ascii="Verdana" w:eastAsia="Times New Roman" w:hAnsi="Verdana" w:cs="Verdana"/>
          <w:color w:val="000000"/>
          <w:sz w:val="20"/>
          <w:lang w:val="es-ES"/>
        </w:rPr>
      </w:pPr>
      <w:r w:rsidRPr="00F0427B">
        <w:rPr>
          <w:rFonts w:ascii="Verdana" w:eastAsia="Times New Roman" w:hAnsi="Verdana" w:cs="Verdana"/>
          <w:color w:val="000000"/>
          <w:sz w:val="20"/>
          <w:lang w:val="es-ES"/>
        </w:rPr>
        <w:t>Eduardo Vio Grossi</w:t>
      </w:r>
    </w:p>
    <w:p w:rsidR="00F0427B" w:rsidRPr="00F0427B" w:rsidRDefault="00F0427B" w:rsidP="00F0427B">
      <w:pPr>
        <w:ind w:left="4956"/>
        <w:jc w:val="center"/>
        <w:rPr>
          <w:rFonts w:ascii="Verdana" w:eastAsia="Times New Roman" w:hAnsi="Verdana" w:cs="Verdana"/>
          <w:color w:val="000000"/>
          <w:sz w:val="20"/>
          <w:lang w:val="es-ES"/>
        </w:rPr>
      </w:pPr>
      <w:r w:rsidRPr="00F0427B">
        <w:rPr>
          <w:rFonts w:ascii="Verdana" w:eastAsia="Times New Roman" w:hAnsi="Verdana" w:cs="Verdana"/>
          <w:color w:val="000000"/>
          <w:sz w:val="20"/>
          <w:lang w:val="es-ES"/>
        </w:rPr>
        <w:t>Juez</w:t>
      </w:r>
    </w:p>
    <w:p w:rsidR="00F0427B" w:rsidRPr="00F0427B" w:rsidRDefault="00F0427B" w:rsidP="00F0427B">
      <w:pPr>
        <w:jc w:val="both"/>
        <w:rPr>
          <w:rFonts w:ascii="Verdana" w:eastAsia="Times New Roman" w:hAnsi="Verdana" w:cs="Verdana"/>
          <w:color w:val="000000"/>
          <w:sz w:val="20"/>
          <w:lang w:val="es-ES"/>
        </w:rPr>
      </w:pPr>
      <w:r w:rsidRPr="00F0427B">
        <w:rPr>
          <w:rFonts w:ascii="Verdana" w:eastAsia="Times New Roman" w:hAnsi="Verdana" w:cs="Verdana"/>
          <w:color w:val="000000"/>
          <w:sz w:val="20"/>
          <w:lang w:val="es-ES"/>
        </w:rPr>
        <w:tab/>
      </w:r>
    </w:p>
    <w:p w:rsidR="00F0427B" w:rsidRPr="00F0427B" w:rsidRDefault="00F0427B" w:rsidP="00F0427B">
      <w:pPr>
        <w:jc w:val="both"/>
        <w:rPr>
          <w:rFonts w:ascii="Verdana" w:eastAsia="Times New Roman" w:hAnsi="Verdana" w:cs="Verdana"/>
          <w:color w:val="000000"/>
          <w:sz w:val="20"/>
          <w:lang w:val="es-ES"/>
        </w:rPr>
      </w:pPr>
      <w:r w:rsidRPr="00F0427B">
        <w:rPr>
          <w:rFonts w:ascii="Verdana" w:eastAsia="Times New Roman" w:hAnsi="Verdana" w:cs="Verdana"/>
          <w:color w:val="000000"/>
          <w:sz w:val="20"/>
          <w:lang w:val="es-ES"/>
        </w:rPr>
        <w:t>Pablo Saavedra Alessandri</w:t>
      </w:r>
    </w:p>
    <w:p w:rsidR="00F0427B" w:rsidRPr="00F0427B" w:rsidRDefault="00F0427B" w:rsidP="00F0427B">
      <w:pPr>
        <w:jc w:val="both"/>
        <w:rPr>
          <w:rFonts w:ascii="Verdana" w:eastAsia="Times New Roman" w:hAnsi="Verdana" w:cs="Verdana"/>
          <w:color w:val="000000"/>
          <w:sz w:val="20"/>
          <w:lang w:val="es-ES"/>
        </w:rPr>
      </w:pPr>
      <w:r w:rsidRPr="00F0427B">
        <w:rPr>
          <w:rFonts w:ascii="Verdana" w:eastAsia="Times New Roman" w:hAnsi="Verdana" w:cs="Verdana"/>
          <w:color w:val="000000"/>
          <w:sz w:val="20"/>
          <w:lang w:val="es-ES"/>
        </w:rPr>
        <w:t xml:space="preserve">           Secretario</w:t>
      </w:r>
    </w:p>
    <w:p w:rsidR="00F0427B" w:rsidRDefault="00F0427B" w:rsidP="00006044">
      <w:pPr>
        <w:ind w:right="-6"/>
        <w:jc w:val="both"/>
        <w:rPr>
          <w:rFonts w:ascii="Verdana" w:hAnsi="Verdana"/>
          <w:sz w:val="20"/>
          <w:lang w:val="es-MX"/>
        </w:rPr>
      </w:pPr>
    </w:p>
    <w:sectPr w:rsidR="00F0427B" w:rsidSect="00F0427B">
      <w:headerReference w:type="default" r:id="rId10"/>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F4E" w:rsidRDefault="00731F4E">
      <w:r>
        <w:separator/>
      </w:r>
    </w:p>
  </w:endnote>
  <w:endnote w:type="continuationSeparator" w:id="0">
    <w:p w:rsidR="00731F4E" w:rsidRDefault="00731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ReferenceSansSerif">
    <w:panose1 w:val="00000000000000000000"/>
    <w:charset w:val="00"/>
    <w:family w:val="swiss"/>
    <w:notTrueType/>
    <w:pitch w:val="default"/>
    <w:sig w:usb0="00000003" w:usb1="00000000" w:usb2="00000000" w:usb3="00000000" w:csb0="00000001" w:csb1="00000000"/>
  </w:font>
  <w:font w:name="HelveticaNeue-Blac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F4E" w:rsidRDefault="00731F4E">
      <w:r>
        <w:separator/>
      </w:r>
    </w:p>
  </w:footnote>
  <w:footnote w:type="continuationSeparator" w:id="0">
    <w:p w:rsidR="00731F4E" w:rsidRDefault="00731F4E">
      <w:r>
        <w:continuationSeparator/>
      </w:r>
    </w:p>
  </w:footnote>
  <w:footnote w:id="1">
    <w:p w:rsidR="00B6160D" w:rsidRPr="003D5B7C" w:rsidRDefault="00B6160D" w:rsidP="00006044">
      <w:pPr>
        <w:pStyle w:val="Textonotapie"/>
        <w:jc w:val="both"/>
        <w:rPr>
          <w:rFonts w:ascii="Verdana" w:hAnsi="Verdana"/>
          <w:sz w:val="16"/>
          <w:szCs w:val="16"/>
          <w:lang w:val="es-ES"/>
        </w:rPr>
      </w:pPr>
      <w:r w:rsidRPr="003D5B7C">
        <w:rPr>
          <w:rStyle w:val="Refdenotaalpie"/>
          <w:rFonts w:ascii="Verdana" w:eastAsia="Times"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t>Reglamento aprobado por la Corte en su LXXXV Período Ordinario de Sesiones celebrado del 16 al 28 de noviembre de 2009.</w:t>
      </w:r>
    </w:p>
    <w:p w:rsidR="00B6160D" w:rsidRPr="003D5B7C" w:rsidRDefault="00B6160D" w:rsidP="00006044">
      <w:pPr>
        <w:pStyle w:val="Textonotapie"/>
        <w:jc w:val="both"/>
        <w:rPr>
          <w:rFonts w:ascii="Verdana" w:hAnsi="Verdana"/>
          <w:sz w:val="16"/>
          <w:szCs w:val="16"/>
          <w:lang w:val="es-ES"/>
        </w:rPr>
      </w:pPr>
    </w:p>
  </w:footnote>
  <w:footnote w:id="2">
    <w:p w:rsidR="00B6160D" w:rsidRDefault="00B6160D" w:rsidP="00CF3DC4">
      <w:pPr>
        <w:pStyle w:val="Textonotapie"/>
        <w:jc w:val="both"/>
        <w:rPr>
          <w:rFonts w:ascii="Verdana" w:hAnsi="Verdana"/>
          <w:b/>
          <w:sz w:val="16"/>
          <w:szCs w:val="16"/>
          <w:lang w:val="es-ES"/>
        </w:rPr>
      </w:pPr>
      <w:r w:rsidRPr="000364C7">
        <w:rPr>
          <w:rStyle w:val="Refdenotaalpie"/>
          <w:rFonts w:ascii="Verdana" w:hAnsi="Verdana"/>
          <w:sz w:val="16"/>
          <w:szCs w:val="16"/>
        </w:rPr>
        <w:footnoteRef/>
      </w:r>
      <w:r w:rsidRPr="00D96A8A">
        <w:rPr>
          <w:rFonts w:ascii="Verdana" w:hAnsi="Verdana"/>
          <w:sz w:val="16"/>
          <w:szCs w:val="16"/>
          <w:lang w:val="es-ES"/>
        </w:rPr>
        <w:t xml:space="preserve"> </w:t>
      </w:r>
      <w:r w:rsidRPr="00D96A8A">
        <w:rPr>
          <w:rFonts w:ascii="Verdana" w:hAnsi="Verdana"/>
          <w:sz w:val="16"/>
          <w:szCs w:val="16"/>
          <w:lang w:val="es-ES"/>
        </w:rPr>
        <w:tab/>
      </w:r>
      <w:r w:rsidRPr="000364C7">
        <w:rPr>
          <w:rFonts w:ascii="Verdana" w:hAnsi="Verdana" w:cs="Verdana"/>
          <w:sz w:val="16"/>
          <w:szCs w:val="16"/>
          <w:lang w:val="es-MX"/>
        </w:rPr>
        <w:t xml:space="preserve"> </w:t>
      </w:r>
      <w:r>
        <w:rPr>
          <w:rFonts w:ascii="Verdana" w:hAnsi="Verdana" w:cs="Verdana"/>
          <w:i/>
          <w:sz w:val="16"/>
          <w:szCs w:val="16"/>
          <w:lang w:val="es-MX"/>
        </w:rPr>
        <w:t xml:space="preserve">Cfr. </w:t>
      </w:r>
      <w:r w:rsidRPr="00AA6E3C">
        <w:rPr>
          <w:rFonts w:ascii="Verdana" w:hAnsi="Verdana"/>
          <w:i/>
          <w:sz w:val="16"/>
          <w:szCs w:val="16"/>
          <w:lang w:val="es-ES"/>
        </w:rPr>
        <w:t xml:space="preserve">Asunto </w:t>
      </w:r>
      <w:proofErr w:type="spellStart"/>
      <w:r w:rsidRPr="00AA6E3C">
        <w:rPr>
          <w:rFonts w:ascii="Verdana" w:hAnsi="Verdana"/>
          <w:i/>
          <w:sz w:val="16"/>
          <w:szCs w:val="16"/>
          <w:lang w:val="es-ES"/>
        </w:rPr>
        <w:t>Millacura</w:t>
      </w:r>
      <w:proofErr w:type="spellEnd"/>
      <w:r w:rsidRPr="00AA6E3C">
        <w:rPr>
          <w:rFonts w:ascii="Verdana" w:hAnsi="Verdana"/>
          <w:i/>
          <w:sz w:val="16"/>
          <w:szCs w:val="16"/>
          <w:lang w:val="es-ES"/>
        </w:rPr>
        <w:t xml:space="preserve"> </w:t>
      </w:r>
      <w:proofErr w:type="spellStart"/>
      <w:r w:rsidRPr="00AA6E3C">
        <w:rPr>
          <w:rFonts w:ascii="Verdana" w:hAnsi="Verdana"/>
          <w:i/>
          <w:sz w:val="16"/>
          <w:szCs w:val="16"/>
          <w:lang w:val="es-ES"/>
        </w:rPr>
        <w:t>Llaipén</w:t>
      </w:r>
      <w:proofErr w:type="spellEnd"/>
      <w:r w:rsidRPr="00AA6E3C">
        <w:rPr>
          <w:rFonts w:ascii="Verdana" w:hAnsi="Verdana"/>
          <w:i/>
          <w:sz w:val="16"/>
          <w:szCs w:val="16"/>
          <w:lang w:val="es-ES"/>
        </w:rPr>
        <w:t xml:space="preserve"> y otros</w:t>
      </w:r>
      <w:r w:rsidRPr="00AA6E3C">
        <w:rPr>
          <w:rFonts w:ascii="Verdana" w:hAnsi="Verdana"/>
          <w:sz w:val="16"/>
          <w:szCs w:val="16"/>
          <w:lang w:val="es-ES"/>
        </w:rPr>
        <w:t xml:space="preserve">. Medidas Provisionales respecto de Argentina. </w:t>
      </w:r>
      <w:r w:rsidRPr="00AA6E3C">
        <w:rPr>
          <w:rFonts w:ascii="Verdana" w:hAnsi="Verdana"/>
          <w:bCs/>
          <w:color w:val="000000"/>
          <w:sz w:val="16"/>
          <w:szCs w:val="16"/>
          <w:lang w:val="es-ES"/>
        </w:rPr>
        <w:t>Resolución de la Corte Interamericana de Derechos Humanos</w:t>
      </w:r>
      <w:r w:rsidRPr="00AA6E3C">
        <w:rPr>
          <w:rFonts w:ascii="Verdana" w:hAnsi="Verdana"/>
          <w:sz w:val="16"/>
          <w:szCs w:val="16"/>
          <w:lang w:val="es-ES"/>
        </w:rPr>
        <w:t xml:space="preserve"> de 25 de noviembre de 2010, Considerando tercero.</w:t>
      </w:r>
    </w:p>
    <w:p w:rsidR="00B6160D" w:rsidRPr="00D96A8A" w:rsidRDefault="00B6160D" w:rsidP="00CF3DC4">
      <w:pPr>
        <w:pStyle w:val="Textonotapie"/>
        <w:jc w:val="both"/>
        <w:rPr>
          <w:rFonts w:ascii="Verdana" w:hAnsi="Verdana"/>
          <w:b/>
          <w:sz w:val="16"/>
          <w:szCs w:val="16"/>
          <w:lang w:val="es-ES"/>
        </w:rPr>
      </w:pPr>
    </w:p>
  </w:footnote>
  <w:footnote w:id="3">
    <w:p w:rsidR="00B6160D" w:rsidRPr="003D5B7C" w:rsidRDefault="00B6160D" w:rsidP="00CF3DC4">
      <w:pPr>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rPr>
        <w:tab/>
      </w:r>
      <w:r w:rsidRPr="003D5B7C">
        <w:rPr>
          <w:rFonts w:ascii="Verdana" w:hAnsi="Verdana"/>
          <w:i/>
          <w:iCs/>
          <w:sz w:val="16"/>
          <w:szCs w:val="16"/>
          <w:lang w:val="es-ES"/>
        </w:rPr>
        <w:t xml:space="preserve">Cfr. Asunto James y otros. </w:t>
      </w:r>
      <w:r w:rsidRPr="003D5B7C">
        <w:rPr>
          <w:rFonts w:ascii="Verdana" w:hAnsi="Verdana"/>
          <w:sz w:val="16"/>
          <w:szCs w:val="16"/>
          <w:lang w:val="es-ES"/>
        </w:rPr>
        <w:t xml:space="preserve">Medidas Provisionales respecto de Trinidad y Tobago. </w:t>
      </w:r>
      <w:r w:rsidRPr="003D5B7C">
        <w:rPr>
          <w:rFonts w:ascii="Verdana" w:hAnsi="Verdana"/>
          <w:bCs/>
          <w:color w:val="000000"/>
          <w:sz w:val="16"/>
          <w:szCs w:val="16"/>
        </w:rPr>
        <w:t>Resolución de la Corte Interamericana de Derechos Humanos</w:t>
      </w:r>
      <w:r w:rsidRPr="003D5B7C">
        <w:rPr>
          <w:rFonts w:ascii="Verdana" w:hAnsi="Verdana"/>
          <w:sz w:val="16"/>
          <w:szCs w:val="16"/>
          <w:lang w:val="es-ES"/>
        </w:rPr>
        <w:t xml:space="preserve"> de 14 de junio de 1998, Considerando sexto</w:t>
      </w:r>
      <w:r>
        <w:rPr>
          <w:rFonts w:ascii="Verdana" w:hAnsi="Verdana"/>
          <w:sz w:val="16"/>
          <w:szCs w:val="16"/>
          <w:lang w:val="es-ES"/>
        </w:rPr>
        <w:t xml:space="preserve">, y </w:t>
      </w:r>
      <w:r w:rsidRPr="00AA6E3C">
        <w:rPr>
          <w:rFonts w:ascii="Verdana" w:hAnsi="Verdana"/>
          <w:i/>
          <w:sz w:val="16"/>
          <w:szCs w:val="16"/>
          <w:lang w:val="es-ES"/>
        </w:rPr>
        <w:t>Asunto</w:t>
      </w:r>
      <w:r>
        <w:rPr>
          <w:rFonts w:ascii="Verdana" w:hAnsi="Verdana"/>
          <w:i/>
          <w:sz w:val="16"/>
          <w:szCs w:val="16"/>
          <w:lang w:val="es-ES"/>
        </w:rPr>
        <w:t xml:space="preserve"> Haitianos y Dominicanos de Origen Haitiano en la República Dominicana</w:t>
      </w:r>
      <w:r>
        <w:rPr>
          <w:rFonts w:ascii="Verdana" w:hAnsi="Verdana"/>
          <w:sz w:val="16"/>
          <w:szCs w:val="16"/>
          <w:lang w:val="es-ES"/>
        </w:rPr>
        <w:t xml:space="preserve">. </w:t>
      </w:r>
      <w:r w:rsidRPr="003D5B7C">
        <w:rPr>
          <w:rFonts w:ascii="Verdana" w:hAnsi="Verdana"/>
          <w:bCs/>
          <w:color w:val="000000"/>
          <w:sz w:val="16"/>
          <w:szCs w:val="16"/>
        </w:rPr>
        <w:t xml:space="preserve">Medidas Provisionales respecto de </w:t>
      </w:r>
      <w:r>
        <w:rPr>
          <w:rFonts w:ascii="Verdana" w:hAnsi="Verdana"/>
          <w:bCs/>
          <w:color w:val="000000"/>
          <w:sz w:val="16"/>
          <w:szCs w:val="16"/>
        </w:rPr>
        <w:t>República Dominicana</w:t>
      </w:r>
      <w:r w:rsidRPr="003D5B7C">
        <w:rPr>
          <w:rFonts w:ascii="Verdana" w:hAnsi="Verdana"/>
          <w:bCs/>
          <w:color w:val="000000"/>
          <w:sz w:val="16"/>
          <w:szCs w:val="16"/>
        </w:rPr>
        <w:t>. Resolución de la Corte Interamericana de Derechos Humanos</w:t>
      </w:r>
      <w:r w:rsidRPr="003D5B7C">
        <w:rPr>
          <w:rFonts w:ascii="Verdana" w:hAnsi="Verdana"/>
          <w:sz w:val="16"/>
          <w:szCs w:val="16"/>
          <w:lang w:val="es-ES"/>
        </w:rPr>
        <w:t xml:space="preserve"> de </w:t>
      </w:r>
      <w:r>
        <w:rPr>
          <w:rFonts w:ascii="Verdana" w:hAnsi="Verdana"/>
          <w:sz w:val="16"/>
          <w:szCs w:val="16"/>
          <w:lang w:val="es-ES"/>
        </w:rPr>
        <w:t>1</w:t>
      </w:r>
      <w:r w:rsidRPr="003D5B7C">
        <w:rPr>
          <w:rFonts w:ascii="Verdana" w:hAnsi="Verdana"/>
          <w:sz w:val="16"/>
          <w:szCs w:val="16"/>
          <w:lang w:val="es-ES"/>
        </w:rPr>
        <w:t xml:space="preserve"> de </w:t>
      </w:r>
      <w:r>
        <w:rPr>
          <w:rFonts w:ascii="Verdana" w:hAnsi="Verdana"/>
          <w:sz w:val="16"/>
          <w:szCs w:val="16"/>
          <w:lang w:val="es-ES"/>
        </w:rPr>
        <w:t>diciembre de 2011</w:t>
      </w:r>
      <w:r w:rsidRPr="003D5B7C">
        <w:rPr>
          <w:rFonts w:ascii="Verdana" w:hAnsi="Verdana"/>
          <w:sz w:val="16"/>
          <w:szCs w:val="16"/>
          <w:lang w:val="es-ES"/>
        </w:rPr>
        <w:t>, Considerando tercero.</w:t>
      </w:r>
    </w:p>
    <w:p w:rsidR="00B6160D" w:rsidRPr="003D5B7C" w:rsidRDefault="00B6160D" w:rsidP="00006044">
      <w:pPr>
        <w:jc w:val="both"/>
        <w:rPr>
          <w:rFonts w:ascii="Verdana" w:hAnsi="Verdana" w:cs="Verdana"/>
          <w:sz w:val="16"/>
          <w:szCs w:val="16"/>
          <w:lang w:val="es-ES"/>
        </w:rPr>
      </w:pPr>
    </w:p>
  </w:footnote>
  <w:footnote w:id="4">
    <w:p w:rsidR="00B6160D" w:rsidRPr="003D5B7C" w:rsidRDefault="00B6160D" w:rsidP="00006044">
      <w:pPr>
        <w:pStyle w:val="Textonotapie"/>
        <w:jc w:val="both"/>
        <w:rPr>
          <w:rFonts w:ascii="Verdana" w:hAnsi="Verdana"/>
          <w:sz w:val="16"/>
          <w:szCs w:val="16"/>
          <w:lang w:val="es-CR"/>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r>
      <w:r w:rsidRPr="003D5B7C">
        <w:rPr>
          <w:rFonts w:ascii="Verdana" w:hAnsi="Verdana"/>
          <w:i/>
          <w:sz w:val="16"/>
          <w:szCs w:val="16"/>
          <w:lang w:val="es-ES"/>
        </w:rPr>
        <w:t>Cfr.</w:t>
      </w:r>
      <w:r w:rsidRPr="003D5B7C">
        <w:rPr>
          <w:rFonts w:ascii="Verdana" w:hAnsi="Verdana"/>
          <w:sz w:val="16"/>
          <w:szCs w:val="16"/>
          <w:lang w:val="es-ES"/>
        </w:rPr>
        <w:t xml:space="preserve"> </w:t>
      </w:r>
      <w:r w:rsidRPr="003D5B7C">
        <w:rPr>
          <w:rFonts w:ascii="Verdana" w:hAnsi="Verdana"/>
          <w:i/>
          <w:sz w:val="16"/>
          <w:szCs w:val="16"/>
          <w:lang w:val="es-ES"/>
        </w:rPr>
        <w:t>Caso del Periódico “La Nación”.</w:t>
      </w:r>
      <w:r w:rsidRPr="003D5B7C">
        <w:rPr>
          <w:rFonts w:ascii="Verdana" w:hAnsi="Verdana"/>
          <w:sz w:val="16"/>
          <w:szCs w:val="16"/>
          <w:lang w:val="es-ES"/>
        </w:rPr>
        <w:t xml:space="preserve"> Medidas Provisionales respecto de Costa Rica. </w:t>
      </w:r>
      <w:r w:rsidRPr="003D5B7C">
        <w:rPr>
          <w:rFonts w:ascii="Verdana" w:hAnsi="Verdana"/>
          <w:bCs/>
          <w:color w:val="000000"/>
          <w:sz w:val="16"/>
          <w:szCs w:val="16"/>
          <w:lang w:val="es-ES"/>
        </w:rPr>
        <w:t xml:space="preserve">Resolución de la Corte Interamericana de Derechos Humanos </w:t>
      </w:r>
      <w:r w:rsidRPr="003D5B7C">
        <w:rPr>
          <w:rFonts w:ascii="Verdana" w:hAnsi="Verdana"/>
          <w:sz w:val="16"/>
          <w:szCs w:val="16"/>
          <w:lang w:val="es-ES"/>
        </w:rPr>
        <w:t xml:space="preserve">de 7 de septiembre de 2001, Considerando </w:t>
      </w:r>
      <w:r w:rsidRPr="003D5B7C">
        <w:rPr>
          <w:rFonts w:ascii="Verdana" w:hAnsi="Verdana"/>
          <w:bCs/>
          <w:color w:val="000000"/>
          <w:sz w:val="16"/>
          <w:szCs w:val="16"/>
          <w:lang w:val="es-ES"/>
        </w:rPr>
        <w:t>cuarto</w:t>
      </w:r>
      <w:r>
        <w:rPr>
          <w:rFonts w:ascii="Verdana" w:hAnsi="Verdana"/>
          <w:bCs/>
          <w:color w:val="000000"/>
          <w:sz w:val="16"/>
          <w:szCs w:val="16"/>
          <w:lang w:val="es-ES"/>
        </w:rPr>
        <w:t xml:space="preserve">, y </w:t>
      </w:r>
      <w:r w:rsidRPr="00AA6E3C">
        <w:rPr>
          <w:rFonts w:ascii="Verdana" w:hAnsi="Verdana"/>
          <w:i/>
          <w:sz w:val="16"/>
          <w:szCs w:val="16"/>
          <w:lang w:val="es-ES"/>
        </w:rPr>
        <w:t>Asunto</w:t>
      </w:r>
      <w:r>
        <w:rPr>
          <w:rFonts w:ascii="Verdana" w:hAnsi="Verdana"/>
          <w:i/>
          <w:sz w:val="16"/>
          <w:szCs w:val="16"/>
          <w:lang w:val="es-ES"/>
        </w:rPr>
        <w:t xml:space="preserve"> Haitianos y </w:t>
      </w:r>
      <w:proofErr w:type="gramStart"/>
      <w:r>
        <w:rPr>
          <w:rFonts w:ascii="Verdana" w:hAnsi="Verdana"/>
          <w:i/>
          <w:sz w:val="16"/>
          <w:szCs w:val="16"/>
          <w:lang w:val="es-ES"/>
        </w:rPr>
        <w:t>Dominicanos</w:t>
      </w:r>
      <w:proofErr w:type="gramEnd"/>
      <w:r>
        <w:rPr>
          <w:rFonts w:ascii="Verdana" w:hAnsi="Verdana"/>
          <w:i/>
          <w:sz w:val="16"/>
          <w:szCs w:val="16"/>
          <w:lang w:val="es-ES"/>
        </w:rPr>
        <w:t xml:space="preserve"> de Origen Haitiano en la República Dominicana</w:t>
      </w:r>
      <w:r>
        <w:rPr>
          <w:rFonts w:ascii="Verdana" w:hAnsi="Verdana"/>
          <w:sz w:val="16"/>
          <w:szCs w:val="16"/>
          <w:lang w:val="es-ES"/>
        </w:rPr>
        <w:t xml:space="preserve">, </w:t>
      </w:r>
      <w:r w:rsidRPr="000C39CE">
        <w:rPr>
          <w:rFonts w:ascii="Verdana" w:hAnsi="Verdana"/>
          <w:i/>
          <w:sz w:val="16"/>
          <w:szCs w:val="16"/>
          <w:lang w:val="es-ES"/>
        </w:rPr>
        <w:t>supra</w:t>
      </w:r>
      <w:r>
        <w:rPr>
          <w:rFonts w:ascii="Verdana" w:hAnsi="Verdana"/>
          <w:sz w:val="16"/>
          <w:szCs w:val="16"/>
          <w:lang w:val="es-ES"/>
        </w:rPr>
        <w:t xml:space="preserve"> nota 3, </w:t>
      </w:r>
      <w:r>
        <w:rPr>
          <w:rFonts w:ascii="Verdana" w:hAnsi="Verdana"/>
          <w:sz w:val="16"/>
          <w:szCs w:val="16"/>
          <w:lang w:val="es-CR"/>
        </w:rPr>
        <w:t>Considerando cuar</w:t>
      </w:r>
      <w:r w:rsidRPr="003D5B7C">
        <w:rPr>
          <w:rFonts w:ascii="Verdana" w:hAnsi="Verdana"/>
          <w:sz w:val="16"/>
          <w:szCs w:val="16"/>
          <w:lang w:val="es-CR"/>
        </w:rPr>
        <w:t>to.</w:t>
      </w:r>
    </w:p>
    <w:p w:rsidR="00B6160D" w:rsidRPr="000C39CE" w:rsidRDefault="00B6160D" w:rsidP="00006044">
      <w:pPr>
        <w:pStyle w:val="Textonotapie"/>
        <w:jc w:val="both"/>
        <w:rPr>
          <w:rFonts w:ascii="Verdana" w:hAnsi="Verdana"/>
          <w:sz w:val="16"/>
          <w:szCs w:val="16"/>
          <w:lang w:val="es-CR"/>
        </w:rPr>
      </w:pPr>
    </w:p>
  </w:footnote>
  <w:footnote w:id="5">
    <w:p w:rsidR="00B6160D" w:rsidRPr="003D5B7C" w:rsidRDefault="00B6160D" w:rsidP="00006044">
      <w:pPr>
        <w:pStyle w:val="Textonotapie"/>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003B1477">
        <w:rPr>
          <w:rFonts w:ascii="Verdana" w:hAnsi="Verdana"/>
          <w:sz w:val="16"/>
          <w:szCs w:val="16"/>
          <w:lang w:val="es-ES"/>
        </w:rPr>
        <w:tab/>
      </w:r>
      <w:r w:rsidRPr="003D5B7C">
        <w:rPr>
          <w:rFonts w:ascii="Verdana" w:hAnsi="Verdana"/>
          <w:sz w:val="16"/>
          <w:szCs w:val="16"/>
          <w:lang w:val="es-ES_tradnl"/>
        </w:rPr>
        <w:t>Los representantes de los beneficiarios solicitaron medidas de seguridad consistentes</w:t>
      </w:r>
      <w:r>
        <w:rPr>
          <w:rFonts w:ascii="Verdana" w:hAnsi="Verdana"/>
          <w:sz w:val="16"/>
          <w:szCs w:val="16"/>
          <w:lang w:val="es-ES_tradnl"/>
        </w:rPr>
        <w:t>,</w:t>
      </w:r>
      <w:r w:rsidRPr="003D5B7C">
        <w:rPr>
          <w:rFonts w:ascii="Verdana" w:hAnsi="Verdana"/>
          <w:sz w:val="16"/>
          <w:szCs w:val="16"/>
          <w:lang w:val="es-ES_tradnl"/>
        </w:rPr>
        <w:t xml:space="preserve"> </w:t>
      </w:r>
      <w:r>
        <w:rPr>
          <w:rFonts w:ascii="Verdana" w:hAnsi="Verdana"/>
          <w:sz w:val="16"/>
          <w:szCs w:val="16"/>
          <w:lang w:val="es-ES_tradnl"/>
        </w:rPr>
        <w:t xml:space="preserve">en general, </w:t>
      </w:r>
      <w:r w:rsidRPr="003D5B7C">
        <w:rPr>
          <w:rFonts w:ascii="Verdana" w:hAnsi="Verdana"/>
          <w:sz w:val="16"/>
          <w:szCs w:val="16"/>
          <w:lang w:val="es-ES_tradnl"/>
        </w:rPr>
        <w:t xml:space="preserve">en: a) infraestructura de seguridad, b) equipos de comunicación para emergencias, y c) acompañamiento y rondines policíacos. </w:t>
      </w:r>
    </w:p>
  </w:footnote>
  <w:footnote w:id="6">
    <w:p w:rsidR="00B6160D" w:rsidRDefault="00B6160D" w:rsidP="00585F61">
      <w:pPr>
        <w:pStyle w:val="Textonotapie"/>
        <w:jc w:val="both"/>
        <w:rPr>
          <w:rFonts w:ascii="Verdana" w:hAnsi="Verdana"/>
          <w:sz w:val="16"/>
          <w:szCs w:val="16"/>
          <w:lang w:val="es-ES"/>
        </w:rPr>
      </w:pPr>
      <w:r w:rsidRPr="003D5B7C">
        <w:rPr>
          <w:rStyle w:val="Refdenotaalpie"/>
          <w:rFonts w:ascii="Verdana" w:hAnsi="Verdana"/>
          <w:sz w:val="16"/>
          <w:szCs w:val="16"/>
        </w:rPr>
        <w:footnoteRef/>
      </w:r>
      <w:r w:rsidRPr="00C40666">
        <w:rPr>
          <w:rFonts w:ascii="Verdana" w:hAnsi="Verdana"/>
          <w:sz w:val="16"/>
          <w:szCs w:val="16"/>
          <w:lang w:val="es-ES"/>
        </w:rPr>
        <w:t xml:space="preserve"> </w:t>
      </w:r>
      <w:r w:rsidRPr="00C40666">
        <w:rPr>
          <w:rFonts w:ascii="Verdana" w:hAnsi="Verdana"/>
          <w:sz w:val="16"/>
          <w:szCs w:val="16"/>
          <w:lang w:val="es-ES"/>
        </w:rPr>
        <w:tab/>
      </w:r>
      <w:r w:rsidRPr="00C40666">
        <w:rPr>
          <w:rFonts w:ascii="Verdana" w:hAnsi="Verdana"/>
          <w:i/>
          <w:sz w:val="16"/>
          <w:szCs w:val="16"/>
          <w:lang w:val="es-ES"/>
        </w:rPr>
        <w:t xml:space="preserve">Cfr. Asunto </w:t>
      </w:r>
      <w:r>
        <w:rPr>
          <w:rFonts w:ascii="Verdana" w:hAnsi="Verdana"/>
          <w:i/>
          <w:sz w:val="16"/>
          <w:szCs w:val="16"/>
          <w:lang w:val="es-ES"/>
        </w:rPr>
        <w:t xml:space="preserve">de los niños y adolescentes privados de libertad en el “Complexo do </w:t>
      </w:r>
      <w:proofErr w:type="spellStart"/>
      <w:r>
        <w:rPr>
          <w:rFonts w:ascii="Verdana" w:hAnsi="Verdana"/>
          <w:i/>
          <w:sz w:val="16"/>
          <w:szCs w:val="16"/>
          <w:lang w:val="es-ES"/>
        </w:rPr>
        <w:t>Tatuapé</w:t>
      </w:r>
      <w:proofErr w:type="spellEnd"/>
      <w:r>
        <w:rPr>
          <w:rFonts w:ascii="Verdana" w:hAnsi="Verdana"/>
          <w:i/>
          <w:sz w:val="16"/>
          <w:szCs w:val="16"/>
          <w:lang w:val="es-ES"/>
        </w:rPr>
        <w:t xml:space="preserve">” de la </w:t>
      </w:r>
      <w:proofErr w:type="spellStart"/>
      <w:r>
        <w:rPr>
          <w:rFonts w:ascii="Verdana" w:hAnsi="Verdana"/>
          <w:i/>
          <w:sz w:val="16"/>
          <w:szCs w:val="16"/>
          <w:lang w:val="es-ES"/>
        </w:rPr>
        <w:t>Fundação</w:t>
      </w:r>
      <w:proofErr w:type="spellEnd"/>
      <w:r>
        <w:rPr>
          <w:rFonts w:ascii="Verdana" w:hAnsi="Verdana"/>
          <w:i/>
          <w:sz w:val="16"/>
          <w:szCs w:val="16"/>
          <w:lang w:val="es-ES"/>
        </w:rPr>
        <w:t xml:space="preserve"> Casa. </w:t>
      </w:r>
      <w:r>
        <w:rPr>
          <w:rFonts w:ascii="Verdana" w:hAnsi="Verdana"/>
          <w:sz w:val="16"/>
          <w:szCs w:val="16"/>
          <w:lang w:val="es-ES"/>
        </w:rPr>
        <w:t xml:space="preserve">Medidas Provisionales respecto de Brasil. Resolución de la Corte Interamericana de Derechos Humanos de 3 de julio de 2007, Considerando décimo séptimo, y </w:t>
      </w:r>
      <w:r w:rsidRPr="00AA6E3C">
        <w:rPr>
          <w:rFonts w:ascii="Verdana" w:hAnsi="Verdana"/>
          <w:i/>
          <w:sz w:val="16"/>
          <w:szCs w:val="16"/>
          <w:lang w:val="es-ES"/>
        </w:rPr>
        <w:t xml:space="preserve">Asunto </w:t>
      </w:r>
      <w:proofErr w:type="spellStart"/>
      <w:r w:rsidRPr="00AA6E3C">
        <w:rPr>
          <w:rFonts w:ascii="Verdana" w:hAnsi="Verdana"/>
          <w:i/>
          <w:sz w:val="16"/>
          <w:szCs w:val="16"/>
          <w:lang w:val="es-ES"/>
        </w:rPr>
        <w:t>Millacura</w:t>
      </w:r>
      <w:proofErr w:type="spellEnd"/>
      <w:r w:rsidRPr="00AA6E3C">
        <w:rPr>
          <w:rFonts w:ascii="Verdana" w:hAnsi="Verdana"/>
          <w:i/>
          <w:sz w:val="16"/>
          <w:szCs w:val="16"/>
          <w:lang w:val="es-ES"/>
        </w:rPr>
        <w:t xml:space="preserve"> </w:t>
      </w:r>
      <w:proofErr w:type="spellStart"/>
      <w:r w:rsidRPr="00AA6E3C">
        <w:rPr>
          <w:rFonts w:ascii="Verdana" w:hAnsi="Verdana"/>
          <w:i/>
          <w:sz w:val="16"/>
          <w:szCs w:val="16"/>
          <w:lang w:val="es-ES"/>
        </w:rPr>
        <w:t>Llaipén</w:t>
      </w:r>
      <w:proofErr w:type="spellEnd"/>
      <w:r w:rsidRPr="00AA6E3C">
        <w:rPr>
          <w:rFonts w:ascii="Verdana" w:hAnsi="Verdana"/>
          <w:i/>
          <w:sz w:val="16"/>
          <w:szCs w:val="16"/>
          <w:lang w:val="es-ES"/>
        </w:rPr>
        <w:t xml:space="preserve"> y otros</w:t>
      </w:r>
      <w:r>
        <w:rPr>
          <w:rFonts w:ascii="Verdana" w:hAnsi="Verdana"/>
          <w:i/>
          <w:sz w:val="16"/>
          <w:szCs w:val="16"/>
          <w:lang w:val="es-ES"/>
        </w:rPr>
        <w:t xml:space="preserve">, supra </w:t>
      </w:r>
      <w:r>
        <w:rPr>
          <w:rFonts w:ascii="Verdana" w:hAnsi="Verdana"/>
          <w:sz w:val="16"/>
          <w:szCs w:val="16"/>
          <w:lang w:val="es-ES"/>
        </w:rPr>
        <w:t>nota 2, Considerando quinto.</w:t>
      </w:r>
    </w:p>
    <w:p w:rsidR="00B6160D" w:rsidRPr="00C40666" w:rsidRDefault="00B6160D" w:rsidP="00585F61">
      <w:pPr>
        <w:pStyle w:val="Textonotapie"/>
        <w:jc w:val="both"/>
        <w:rPr>
          <w:rFonts w:ascii="Verdana" w:hAnsi="Verdana"/>
          <w:sz w:val="16"/>
          <w:szCs w:val="16"/>
          <w:lang w:val="es-ES"/>
        </w:rPr>
      </w:pPr>
    </w:p>
    <w:p w:rsidR="00B6160D" w:rsidRPr="00C40666" w:rsidRDefault="00B6160D" w:rsidP="00C40666">
      <w:pPr>
        <w:pStyle w:val="Textonotapie"/>
        <w:jc w:val="both"/>
        <w:rPr>
          <w:rFonts w:ascii="Verdana" w:hAnsi="Verdana"/>
          <w:i/>
          <w:sz w:val="16"/>
          <w:szCs w:val="16"/>
          <w:lang w:val="es-ES"/>
        </w:rPr>
      </w:pPr>
    </w:p>
    <w:p w:rsidR="00B6160D" w:rsidRPr="00585F61" w:rsidRDefault="00B6160D" w:rsidP="00585F61">
      <w:pPr>
        <w:pStyle w:val="Textonotapie"/>
        <w:jc w:val="both"/>
        <w:rPr>
          <w:rFonts w:ascii="Verdana" w:hAnsi="Verdana"/>
          <w:sz w:val="16"/>
          <w:szCs w:val="16"/>
          <w:lang w:val="es-ES"/>
        </w:rPr>
      </w:pPr>
      <w:r w:rsidRPr="00585F61">
        <w:rPr>
          <w:rFonts w:ascii="Verdana" w:hAnsi="Verdana"/>
          <w:sz w:val="16"/>
          <w:szCs w:val="16"/>
          <w:lang w:val="es-ES"/>
        </w:rPr>
        <w:t xml:space="preserve"> </w:t>
      </w:r>
    </w:p>
  </w:footnote>
  <w:footnote w:id="7">
    <w:p w:rsidR="00B6160D" w:rsidRPr="003D5B7C" w:rsidRDefault="00B6160D" w:rsidP="00006044">
      <w:pPr>
        <w:spacing w:before="120" w:after="120"/>
        <w:jc w:val="both"/>
        <w:rPr>
          <w:rFonts w:ascii="Verdana" w:hAnsi="Verdana"/>
          <w:caps/>
          <w:sz w:val="16"/>
          <w:szCs w:val="16"/>
        </w:rPr>
      </w:pPr>
      <w:r w:rsidRPr="003D5B7C">
        <w:rPr>
          <w:rStyle w:val="Refdenotaalpie"/>
          <w:rFonts w:ascii="Verdana" w:hAnsi="Verdana"/>
          <w:sz w:val="16"/>
          <w:szCs w:val="16"/>
        </w:rPr>
        <w:footnoteRef/>
      </w:r>
      <w:r w:rsidRPr="003D5B7C">
        <w:rPr>
          <w:rFonts w:ascii="Verdana" w:hAnsi="Verdana"/>
          <w:sz w:val="16"/>
          <w:szCs w:val="16"/>
        </w:rPr>
        <w:t xml:space="preserve"> </w:t>
      </w:r>
      <w:r w:rsidRPr="003D5B7C">
        <w:rPr>
          <w:rFonts w:ascii="Verdana" w:hAnsi="Verdana"/>
          <w:sz w:val="16"/>
          <w:szCs w:val="16"/>
        </w:rPr>
        <w:tab/>
      </w:r>
      <w:r w:rsidRPr="003D5B7C">
        <w:rPr>
          <w:rFonts w:ascii="Verdana" w:hAnsi="Verdana"/>
          <w:i/>
          <w:sz w:val="16"/>
          <w:szCs w:val="16"/>
        </w:rPr>
        <w:t xml:space="preserve">Cfr. Caso </w:t>
      </w:r>
      <w:proofErr w:type="spellStart"/>
      <w:r w:rsidRPr="003D5B7C">
        <w:rPr>
          <w:rFonts w:ascii="Verdana" w:hAnsi="Verdana"/>
          <w:i/>
          <w:sz w:val="16"/>
          <w:szCs w:val="16"/>
        </w:rPr>
        <w:t>Raxcacó</w:t>
      </w:r>
      <w:proofErr w:type="spellEnd"/>
      <w:r w:rsidRPr="003D5B7C">
        <w:rPr>
          <w:rFonts w:ascii="Verdana" w:hAnsi="Verdana"/>
          <w:i/>
          <w:sz w:val="16"/>
          <w:szCs w:val="16"/>
        </w:rPr>
        <w:t xml:space="preserve"> Reyes y otros. </w:t>
      </w:r>
      <w:r w:rsidRPr="003D5B7C">
        <w:rPr>
          <w:rFonts w:ascii="Verdana" w:hAnsi="Verdana"/>
          <w:sz w:val="16"/>
          <w:szCs w:val="16"/>
        </w:rPr>
        <w:t>Medidas Provisionales respecto de Guatemala. Resolución de la Corte</w:t>
      </w:r>
      <w:r w:rsidRPr="003D5B7C">
        <w:rPr>
          <w:rFonts w:ascii="Verdana" w:hAnsi="Verdana"/>
          <w:bCs/>
          <w:color w:val="000000"/>
          <w:sz w:val="16"/>
          <w:szCs w:val="16"/>
          <w:lang w:val="es-CR"/>
        </w:rPr>
        <w:t xml:space="preserve"> Interamericana de Derechos Humanos</w:t>
      </w:r>
      <w:r w:rsidRPr="003D5B7C">
        <w:rPr>
          <w:rFonts w:ascii="Verdana" w:hAnsi="Verdana"/>
          <w:sz w:val="16"/>
          <w:szCs w:val="16"/>
        </w:rPr>
        <w:t xml:space="preserve"> de 30 de agosto de 2004, Considerando décimo, y </w:t>
      </w:r>
      <w:r w:rsidRPr="00FB4588">
        <w:rPr>
          <w:rFonts w:ascii="Verdana" w:hAnsi="Verdana"/>
          <w:i/>
          <w:sz w:val="16"/>
          <w:szCs w:val="16"/>
        </w:rPr>
        <w:t>Asunto</w:t>
      </w:r>
      <w:r>
        <w:rPr>
          <w:rFonts w:ascii="Verdana" w:hAnsi="Verdana"/>
          <w:i/>
          <w:sz w:val="16"/>
          <w:szCs w:val="16"/>
        </w:rPr>
        <w:t xml:space="preserve"> Ramírez </w:t>
      </w:r>
      <w:proofErr w:type="spellStart"/>
      <w:r>
        <w:rPr>
          <w:rFonts w:ascii="Verdana" w:hAnsi="Verdana"/>
          <w:i/>
          <w:sz w:val="16"/>
          <w:szCs w:val="16"/>
        </w:rPr>
        <w:t>Hinostroza</w:t>
      </w:r>
      <w:proofErr w:type="spellEnd"/>
      <w:r>
        <w:rPr>
          <w:rFonts w:ascii="Verdana" w:hAnsi="Verdana"/>
          <w:i/>
          <w:sz w:val="16"/>
          <w:szCs w:val="16"/>
        </w:rPr>
        <w:t xml:space="preserve"> y otros</w:t>
      </w:r>
      <w:r w:rsidRPr="003D5B7C">
        <w:rPr>
          <w:rFonts w:ascii="Verdana" w:hAnsi="Verdana"/>
          <w:i/>
          <w:sz w:val="16"/>
          <w:szCs w:val="16"/>
        </w:rPr>
        <w:t>.</w:t>
      </w:r>
      <w:r w:rsidRPr="003D5B7C">
        <w:rPr>
          <w:rFonts w:ascii="Verdana" w:hAnsi="Verdana"/>
          <w:sz w:val="16"/>
          <w:szCs w:val="16"/>
        </w:rPr>
        <w:t xml:space="preserve"> M</w:t>
      </w:r>
      <w:r>
        <w:rPr>
          <w:rFonts w:ascii="Verdana" w:hAnsi="Verdana"/>
          <w:sz w:val="16"/>
          <w:szCs w:val="16"/>
        </w:rPr>
        <w:t>edidas Provisionales respecto del Perú</w:t>
      </w:r>
      <w:r w:rsidRPr="003D5B7C">
        <w:rPr>
          <w:rFonts w:ascii="Verdana" w:hAnsi="Verdana"/>
          <w:sz w:val="16"/>
          <w:szCs w:val="16"/>
        </w:rPr>
        <w:t>. Resolución de la Corte</w:t>
      </w:r>
      <w:r w:rsidRPr="003D5B7C">
        <w:rPr>
          <w:rFonts w:ascii="Verdana" w:hAnsi="Verdana"/>
          <w:bCs/>
          <w:color w:val="000000"/>
          <w:sz w:val="16"/>
          <w:szCs w:val="16"/>
          <w:lang w:val="es-CR"/>
        </w:rPr>
        <w:t xml:space="preserve"> Interamericana de Derechos Humanos</w:t>
      </w:r>
      <w:r w:rsidRPr="003D5B7C">
        <w:rPr>
          <w:rFonts w:ascii="Verdana" w:hAnsi="Verdana"/>
          <w:sz w:val="16"/>
          <w:szCs w:val="16"/>
        </w:rPr>
        <w:t xml:space="preserve"> de </w:t>
      </w:r>
      <w:r>
        <w:rPr>
          <w:rFonts w:ascii="Verdana" w:hAnsi="Verdana"/>
          <w:sz w:val="16"/>
          <w:szCs w:val="16"/>
        </w:rPr>
        <w:t>22</w:t>
      </w:r>
      <w:r w:rsidRPr="003D5B7C">
        <w:rPr>
          <w:rFonts w:ascii="Verdana" w:hAnsi="Verdana"/>
          <w:sz w:val="16"/>
          <w:szCs w:val="16"/>
        </w:rPr>
        <w:t xml:space="preserve"> de </w:t>
      </w:r>
      <w:r>
        <w:rPr>
          <w:rFonts w:ascii="Verdana" w:hAnsi="Verdana"/>
          <w:sz w:val="16"/>
          <w:szCs w:val="16"/>
        </w:rPr>
        <w:t>noviembre</w:t>
      </w:r>
      <w:r w:rsidRPr="003D5B7C">
        <w:rPr>
          <w:rFonts w:ascii="Verdana" w:hAnsi="Verdana"/>
          <w:sz w:val="16"/>
          <w:szCs w:val="16"/>
        </w:rPr>
        <w:t xml:space="preserve"> de 2011.</w:t>
      </w:r>
      <w:r w:rsidRPr="003D5B7C">
        <w:rPr>
          <w:rFonts w:ascii="Verdana" w:hAnsi="Verdana"/>
          <w:sz w:val="16"/>
          <w:szCs w:val="16"/>
          <w:lang w:val="es-CR"/>
        </w:rPr>
        <w:t xml:space="preserve"> Considerando </w:t>
      </w:r>
      <w:r>
        <w:rPr>
          <w:rFonts w:ascii="Verdana" w:hAnsi="Verdana"/>
          <w:sz w:val="16"/>
          <w:szCs w:val="16"/>
          <w:lang w:val="es-CR"/>
        </w:rPr>
        <w:t>vigésimo</w:t>
      </w:r>
      <w:r w:rsidRPr="003D5B7C">
        <w:rPr>
          <w:rFonts w:ascii="Verdana" w:hAnsi="Verdana"/>
          <w:sz w:val="16"/>
          <w:szCs w:val="16"/>
          <w:lang w:val="es-CR"/>
        </w:rPr>
        <w:t xml:space="preserve">. </w:t>
      </w:r>
    </w:p>
  </w:footnote>
  <w:footnote w:id="8">
    <w:p w:rsidR="00B6160D" w:rsidRPr="003D5B7C" w:rsidRDefault="00B6160D" w:rsidP="00006044">
      <w:pPr>
        <w:pStyle w:val="Textonotapie"/>
        <w:spacing w:before="120" w:after="120"/>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r>
      <w:r w:rsidRPr="003D5B7C">
        <w:rPr>
          <w:rFonts w:ascii="Verdana" w:hAnsi="Verdana"/>
          <w:i/>
          <w:sz w:val="16"/>
          <w:szCs w:val="16"/>
          <w:lang w:val="es-ES"/>
        </w:rPr>
        <w:t xml:space="preserve">Cfr. Asunto del Pueblo Indígena </w:t>
      </w:r>
      <w:proofErr w:type="spellStart"/>
      <w:r w:rsidRPr="003D5B7C">
        <w:rPr>
          <w:rFonts w:ascii="Verdana" w:hAnsi="Verdana"/>
          <w:i/>
          <w:sz w:val="16"/>
          <w:szCs w:val="16"/>
          <w:lang w:val="es-ES"/>
        </w:rPr>
        <w:t>Kankuamo</w:t>
      </w:r>
      <w:proofErr w:type="spellEnd"/>
      <w:r w:rsidRPr="003D5B7C">
        <w:rPr>
          <w:rFonts w:ascii="Verdana" w:hAnsi="Verdana"/>
          <w:i/>
          <w:sz w:val="16"/>
          <w:szCs w:val="16"/>
          <w:lang w:val="es-ES"/>
        </w:rPr>
        <w:t xml:space="preserve">. </w:t>
      </w:r>
      <w:r w:rsidRPr="003D5B7C">
        <w:rPr>
          <w:rFonts w:ascii="Verdana" w:hAnsi="Verdana"/>
          <w:sz w:val="16"/>
          <w:szCs w:val="16"/>
          <w:lang w:val="es-ES"/>
        </w:rPr>
        <w:t>Medidas Provisionales respecto de Colombia. Resolución de la Corte</w:t>
      </w:r>
      <w:r w:rsidRPr="003D5B7C">
        <w:rPr>
          <w:rFonts w:ascii="Verdana" w:hAnsi="Verdana"/>
          <w:bCs/>
          <w:color w:val="000000"/>
          <w:sz w:val="16"/>
          <w:szCs w:val="16"/>
          <w:lang w:val="es-CR"/>
        </w:rPr>
        <w:t xml:space="preserve"> Interamericana de Derechos Humanos</w:t>
      </w:r>
      <w:r w:rsidRPr="003D5B7C">
        <w:rPr>
          <w:rFonts w:ascii="Verdana" w:hAnsi="Verdana"/>
          <w:sz w:val="16"/>
          <w:szCs w:val="16"/>
          <w:lang w:val="es-ES"/>
        </w:rPr>
        <w:t xml:space="preserve"> de 3 de abril de 2009, Considerando séptimo, </w:t>
      </w:r>
      <w:r>
        <w:rPr>
          <w:rFonts w:ascii="Verdana" w:hAnsi="Verdana"/>
          <w:sz w:val="16"/>
          <w:szCs w:val="16"/>
          <w:lang w:val="es-ES"/>
        </w:rPr>
        <w:t xml:space="preserve">y </w:t>
      </w:r>
      <w:r w:rsidRPr="00915A4A">
        <w:rPr>
          <w:rFonts w:ascii="Verdana" w:hAnsi="Verdana"/>
          <w:i/>
          <w:sz w:val="16"/>
          <w:szCs w:val="16"/>
          <w:lang w:val="es-ES"/>
        </w:rPr>
        <w:t xml:space="preserve">Asunto Ramírez </w:t>
      </w:r>
      <w:proofErr w:type="spellStart"/>
      <w:r w:rsidRPr="00915A4A">
        <w:rPr>
          <w:rFonts w:ascii="Verdana" w:hAnsi="Verdana"/>
          <w:i/>
          <w:sz w:val="16"/>
          <w:szCs w:val="16"/>
          <w:lang w:val="es-ES"/>
        </w:rPr>
        <w:t>Hinostroza</w:t>
      </w:r>
      <w:proofErr w:type="spellEnd"/>
      <w:r w:rsidRPr="00915A4A">
        <w:rPr>
          <w:rFonts w:ascii="Verdana" w:hAnsi="Verdana"/>
          <w:i/>
          <w:sz w:val="16"/>
          <w:szCs w:val="16"/>
          <w:lang w:val="es-ES"/>
        </w:rPr>
        <w:t xml:space="preserve"> y otros, supra </w:t>
      </w:r>
      <w:r>
        <w:rPr>
          <w:rFonts w:ascii="Verdana" w:hAnsi="Verdana"/>
          <w:sz w:val="16"/>
          <w:szCs w:val="16"/>
          <w:lang w:val="es-ES"/>
        </w:rPr>
        <w:t xml:space="preserve">nota 7, </w:t>
      </w:r>
      <w:r w:rsidRPr="003D5B7C">
        <w:rPr>
          <w:rFonts w:ascii="Verdana" w:hAnsi="Verdana"/>
          <w:sz w:val="16"/>
          <w:szCs w:val="16"/>
          <w:lang w:val="es-CR"/>
        </w:rPr>
        <w:t>Considerando</w:t>
      </w:r>
      <w:r w:rsidRPr="003D5B7C">
        <w:rPr>
          <w:rFonts w:ascii="Verdana" w:hAnsi="Verdana"/>
          <w:i/>
          <w:sz w:val="16"/>
          <w:szCs w:val="16"/>
          <w:lang w:val="es-ES"/>
        </w:rPr>
        <w:t xml:space="preserve"> </w:t>
      </w:r>
      <w:r>
        <w:rPr>
          <w:rFonts w:ascii="Verdana" w:hAnsi="Verdana"/>
          <w:sz w:val="16"/>
          <w:szCs w:val="16"/>
          <w:lang w:val="es-ES"/>
        </w:rPr>
        <w:t>vigésimo</w:t>
      </w:r>
      <w:r w:rsidRPr="003D5B7C">
        <w:rPr>
          <w:rFonts w:ascii="Verdana" w:hAnsi="Verdana"/>
          <w:sz w:val="16"/>
          <w:szCs w:val="16"/>
          <w:lang w:val="es-ES"/>
        </w:rPr>
        <w:t xml:space="preserve">. </w:t>
      </w:r>
    </w:p>
  </w:footnote>
  <w:footnote w:id="9">
    <w:p w:rsidR="00B6160D" w:rsidRPr="003D5B7C" w:rsidRDefault="00B6160D" w:rsidP="00006044">
      <w:pPr>
        <w:pStyle w:val="Textonotapie"/>
        <w:spacing w:before="120" w:after="120"/>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r>
      <w:r w:rsidRPr="003D5B7C">
        <w:rPr>
          <w:rFonts w:ascii="Verdana" w:hAnsi="Verdana"/>
          <w:i/>
          <w:sz w:val="16"/>
          <w:szCs w:val="16"/>
          <w:lang w:val="es-ES"/>
        </w:rPr>
        <w:t xml:space="preserve">Cfr. Asunto Gallardo Rodríguez. </w:t>
      </w:r>
      <w:r w:rsidRPr="003D5B7C">
        <w:rPr>
          <w:rFonts w:ascii="Verdana" w:hAnsi="Verdana"/>
          <w:sz w:val="16"/>
          <w:szCs w:val="16"/>
          <w:lang w:val="es-ES"/>
        </w:rPr>
        <w:t>Medidas Provisionales respecto de México. Resolución de la Corte</w:t>
      </w:r>
      <w:r w:rsidRPr="003D5B7C">
        <w:rPr>
          <w:rFonts w:ascii="Verdana" w:hAnsi="Verdana"/>
          <w:bCs/>
          <w:color w:val="000000"/>
          <w:sz w:val="16"/>
          <w:szCs w:val="16"/>
          <w:lang w:val="es-CR"/>
        </w:rPr>
        <w:t xml:space="preserve"> Interamericana de Derechos Humanos</w:t>
      </w:r>
      <w:r w:rsidRPr="003D5B7C">
        <w:rPr>
          <w:rFonts w:ascii="Verdana" w:hAnsi="Verdana"/>
          <w:sz w:val="16"/>
          <w:szCs w:val="16"/>
          <w:lang w:val="es-ES"/>
        </w:rPr>
        <w:t xml:space="preserve"> de 11 de julio de 2007, Considerando undécimo,</w:t>
      </w:r>
      <w:r w:rsidRPr="003D5B7C">
        <w:rPr>
          <w:rFonts w:ascii="Verdana" w:hAnsi="Verdana"/>
          <w:i/>
          <w:sz w:val="16"/>
          <w:szCs w:val="16"/>
          <w:lang w:val="es-ES"/>
        </w:rPr>
        <w:t xml:space="preserve"> </w:t>
      </w:r>
      <w:r w:rsidRPr="00915A4A">
        <w:rPr>
          <w:rFonts w:ascii="Verdana" w:hAnsi="Verdana"/>
          <w:sz w:val="16"/>
          <w:szCs w:val="16"/>
          <w:lang w:val="es-ES"/>
        </w:rPr>
        <w:t xml:space="preserve">y </w:t>
      </w:r>
      <w:r w:rsidRPr="00915A4A">
        <w:rPr>
          <w:rFonts w:ascii="Verdana" w:hAnsi="Verdana"/>
          <w:i/>
          <w:sz w:val="16"/>
          <w:szCs w:val="16"/>
          <w:lang w:val="es-ES"/>
        </w:rPr>
        <w:t xml:space="preserve">Asunto Ramírez </w:t>
      </w:r>
      <w:proofErr w:type="spellStart"/>
      <w:r w:rsidRPr="00915A4A">
        <w:rPr>
          <w:rFonts w:ascii="Verdana" w:hAnsi="Verdana"/>
          <w:i/>
          <w:sz w:val="16"/>
          <w:szCs w:val="16"/>
          <w:lang w:val="es-ES"/>
        </w:rPr>
        <w:t>Hinostroza</w:t>
      </w:r>
      <w:proofErr w:type="spellEnd"/>
      <w:r w:rsidRPr="00915A4A">
        <w:rPr>
          <w:rFonts w:ascii="Verdana" w:hAnsi="Verdana"/>
          <w:i/>
          <w:sz w:val="16"/>
          <w:szCs w:val="16"/>
          <w:lang w:val="es-ES"/>
        </w:rPr>
        <w:t xml:space="preserve"> y otros, supra </w:t>
      </w:r>
      <w:r>
        <w:rPr>
          <w:rFonts w:ascii="Verdana" w:hAnsi="Verdana"/>
          <w:sz w:val="16"/>
          <w:szCs w:val="16"/>
          <w:lang w:val="es-ES"/>
        </w:rPr>
        <w:t xml:space="preserve">nota 7, </w:t>
      </w:r>
      <w:r w:rsidRPr="003D5B7C">
        <w:rPr>
          <w:rFonts w:ascii="Verdana" w:hAnsi="Verdana"/>
          <w:sz w:val="16"/>
          <w:szCs w:val="16"/>
          <w:lang w:val="es-CR"/>
        </w:rPr>
        <w:t>Considerando</w:t>
      </w:r>
      <w:r w:rsidRPr="003D5B7C">
        <w:rPr>
          <w:rFonts w:ascii="Verdana" w:hAnsi="Verdana"/>
          <w:i/>
          <w:sz w:val="16"/>
          <w:szCs w:val="16"/>
          <w:lang w:val="es-ES"/>
        </w:rPr>
        <w:t xml:space="preserve"> </w:t>
      </w:r>
      <w:r>
        <w:rPr>
          <w:rFonts w:ascii="Verdana" w:hAnsi="Verdana"/>
          <w:sz w:val="16"/>
          <w:szCs w:val="16"/>
          <w:lang w:val="es-ES"/>
        </w:rPr>
        <w:t>vigésimo</w:t>
      </w:r>
      <w:r w:rsidRPr="003D5B7C">
        <w:rPr>
          <w:rFonts w:ascii="Verdana" w:hAnsi="Verdana"/>
          <w:sz w:val="16"/>
          <w:szCs w:val="16"/>
          <w:lang w:val="es-ES"/>
        </w:rPr>
        <w:t xml:space="preserve">. </w:t>
      </w:r>
    </w:p>
  </w:footnote>
  <w:footnote w:id="10">
    <w:p w:rsidR="00B6160D" w:rsidRPr="003D5B7C" w:rsidRDefault="00B6160D" w:rsidP="00006044">
      <w:pPr>
        <w:pStyle w:val="Textonotapie"/>
        <w:spacing w:before="120" w:after="120"/>
        <w:ind w:right="23"/>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r>
      <w:r w:rsidRPr="003D5B7C">
        <w:rPr>
          <w:rFonts w:ascii="Verdana" w:hAnsi="Verdana"/>
          <w:i/>
          <w:iCs/>
          <w:sz w:val="16"/>
          <w:szCs w:val="16"/>
          <w:lang w:val="es-ES"/>
        </w:rPr>
        <w:t>Cfr</w:t>
      </w:r>
      <w:r w:rsidRPr="003D5B7C">
        <w:rPr>
          <w:rFonts w:ascii="Verdana" w:hAnsi="Verdana"/>
          <w:i/>
          <w:sz w:val="16"/>
          <w:szCs w:val="16"/>
          <w:lang w:val="es-ES"/>
        </w:rPr>
        <w:t xml:space="preserve">. Asunto Luis </w:t>
      </w:r>
      <w:proofErr w:type="spellStart"/>
      <w:r w:rsidRPr="003D5B7C">
        <w:rPr>
          <w:rFonts w:ascii="Verdana" w:hAnsi="Verdana"/>
          <w:i/>
          <w:sz w:val="16"/>
          <w:szCs w:val="16"/>
          <w:lang w:val="es-ES"/>
        </w:rPr>
        <w:t>Uzcátegui</w:t>
      </w:r>
      <w:proofErr w:type="spellEnd"/>
      <w:r w:rsidRPr="003D5B7C">
        <w:rPr>
          <w:rFonts w:ascii="Verdana" w:hAnsi="Verdana"/>
          <w:i/>
          <w:sz w:val="16"/>
          <w:szCs w:val="16"/>
          <w:lang w:val="es-ES"/>
        </w:rPr>
        <w:t xml:space="preserve">. </w:t>
      </w:r>
      <w:r w:rsidRPr="003D5B7C">
        <w:rPr>
          <w:rFonts w:ascii="Verdana" w:hAnsi="Verdana"/>
          <w:sz w:val="16"/>
          <w:szCs w:val="16"/>
          <w:lang w:val="es-ES"/>
        </w:rPr>
        <w:t>Medidas Provisionales respecto de Venezuela</w:t>
      </w:r>
      <w:r w:rsidRPr="003D5B7C">
        <w:rPr>
          <w:rFonts w:ascii="Verdana" w:hAnsi="Verdana"/>
          <w:i/>
          <w:sz w:val="16"/>
          <w:szCs w:val="16"/>
          <w:lang w:val="es-ES"/>
        </w:rPr>
        <w:t>.</w:t>
      </w:r>
      <w:r w:rsidRPr="003D5B7C">
        <w:rPr>
          <w:rFonts w:ascii="Verdana" w:hAnsi="Verdana"/>
          <w:sz w:val="16"/>
          <w:szCs w:val="16"/>
          <w:lang w:val="es-ES"/>
        </w:rPr>
        <w:t xml:space="preserve"> Resolución de la Corte</w:t>
      </w:r>
      <w:r w:rsidRPr="003D5B7C">
        <w:rPr>
          <w:rFonts w:ascii="Verdana" w:hAnsi="Verdana"/>
          <w:bCs/>
          <w:color w:val="000000"/>
          <w:sz w:val="16"/>
          <w:szCs w:val="16"/>
          <w:lang w:val="es-CR"/>
        </w:rPr>
        <w:t xml:space="preserve"> Interamericana de Derechos Humanos</w:t>
      </w:r>
      <w:r w:rsidRPr="003D5B7C">
        <w:rPr>
          <w:rFonts w:ascii="Verdana" w:hAnsi="Verdana"/>
          <w:sz w:val="16"/>
          <w:szCs w:val="16"/>
          <w:lang w:val="es-ES"/>
        </w:rPr>
        <w:t xml:space="preserve"> de 20 de febrero de 2003, Considerando décimo tercero</w:t>
      </w:r>
      <w:r w:rsidRPr="003D5B7C">
        <w:rPr>
          <w:rFonts w:ascii="Verdana" w:hAnsi="Verdana"/>
          <w:bCs/>
          <w:color w:val="000000"/>
          <w:sz w:val="16"/>
          <w:szCs w:val="16"/>
          <w:lang w:val="es-ES"/>
        </w:rPr>
        <w:t xml:space="preserve">, y </w:t>
      </w:r>
      <w:r w:rsidRPr="00915A4A">
        <w:rPr>
          <w:rFonts w:ascii="Verdana" w:hAnsi="Verdana"/>
          <w:i/>
          <w:sz w:val="16"/>
          <w:szCs w:val="16"/>
          <w:lang w:val="es-ES"/>
        </w:rPr>
        <w:t xml:space="preserve">Asunto Ramírez </w:t>
      </w:r>
      <w:proofErr w:type="spellStart"/>
      <w:r w:rsidRPr="00915A4A">
        <w:rPr>
          <w:rFonts w:ascii="Verdana" w:hAnsi="Verdana"/>
          <w:i/>
          <w:sz w:val="16"/>
          <w:szCs w:val="16"/>
          <w:lang w:val="es-ES"/>
        </w:rPr>
        <w:t>Hinostroza</w:t>
      </w:r>
      <w:proofErr w:type="spellEnd"/>
      <w:r w:rsidRPr="00915A4A">
        <w:rPr>
          <w:rFonts w:ascii="Verdana" w:hAnsi="Verdana"/>
          <w:i/>
          <w:sz w:val="16"/>
          <w:szCs w:val="16"/>
          <w:lang w:val="es-ES"/>
        </w:rPr>
        <w:t xml:space="preserve"> y otros, supra </w:t>
      </w:r>
      <w:r>
        <w:rPr>
          <w:rFonts w:ascii="Verdana" w:hAnsi="Verdana"/>
          <w:sz w:val="16"/>
          <w:szCs w:val="16"/>
          <w:lang w:val="es-ES"/>
        </w:rPr>
        <w:t xml:space="preserve">nota 7, </w:t>
      </w:r>
      <w:r w:rsidRPr="003D5B7C">
        <w:rPr>
          <w:rFonts w:ascii="Verdana" w:hAnsi="Verdana"/>
          <w:sz w:val="16"/>
          <w:szCs w:val="16"/>
          <w:lang w:val="es-CR"/>
        </w:rPr>
        <w:t>Considerando</w:t>
      </w:r>
      <w:r w:rsidRPr="003D5B7C">
        <w:rPr>
          <w:rFonts w:ascii="Verdana" w:hAnsi="Verdana"/>
          <w:i/>
          <w:sz w:val="16"/>
          <w:szCs w:val="16"/>
          <w:lang w:val="es-ES"/>
        </w:rPr>
        <w:t xml:space="preserve"> </w:t>
      </w:r>
      <w:r>
        <w:rPr>
          <w:rFonts w:ascii="Verdana" w:hAnsi="Verdana"/>
          <w:sz w:val="16"/>
          <w:szCs w:val="16"/>
          <w:lang w:val="es-ES"/>
        </w:rPr>
        <w:t>vigésimo primero</w:t>
      </w:r>
      <w:r w:rsidRPr="003D5B7C">
        <w:rPr>
          <w:rFonts w:ascii="Verdana" w:hAnsi="Verdana"/>
          <w:sz w:val="16"/>
          <w:szCs w:val="16"/>
          <w:lang w:val="es-ES"/>
        </w:rPr>
        <w:t>.</w:t>
      </w:r>
    </w:p>
  </w:footnote>
  <w:footnote w:id="11">
    <w:p w:rsidR="00B6160D" w:rsidRPr="003D5B7C" w:rsidRDefault="00B6160D" w:rsidP="00C210CF">
      <w:pPr>
        <w:pStyle w:val="Textonotapie"/>
        <w:jc w:val="both"/>
        <w:rPr>
          <w:rFonts w:ascii="Verdana" w:hAnsi="Verdana"/>
          <w:sz w:val="16"/>
          <w:szCs w:val="16"/>
          <w:lang w:val="es-ES"/>
        </w:rPr>
      </w:pPr>
      <w:r w:rsidRPr="003D5B7C">
        <w:rPr>
          <w:rStyle w:val="Refdenotaalpie"/>
          <w:rFonts w:ascii="Verdana" w:hAnsi="Verdana"/>
          <w:sz w:val="16"/>
          <w:szCs w:val="16"/>
        </w:rPr>
        <w:footnoteRef/>
      </w:r>
      <w:r w:rsidRPr="003D5B7C">
        <w:rPr>
          <w:rFonts w:ascii="Verdana" w:hAnsi="Verdana"/>
          <w:sz w:val="16"/>
          <w:szCs w:val="16"/>
          <w:lang w:val="es-ES"/>
        </w:rPr>
        <w:t xml:space="preserve"> </w:t>
      </w:r>
      <w:r w:rsidRPr="003D5B7C">
        <w:rPr>
          <w:rFonts w:ascii="Verdana" w:hAnsi="Verdana"/>
          <w:sz w:val="16"/>
          <w:szCs w:val="16"/>
          <w:lang w:val="es-ES"/>
        </w:rPr>
        <w:tab/>
      </w:r>
      <w:r w:rsidRPr="003D5B7C">
        <w:rPr>
          <w:rFonts w:ascii="Verdana" w:hAnsi="Verdana"/>
          <w:i/>
          <w:sz w:val="16"/>
          <w:szCs w:val="16"/>
          <w:lang w:val="es-CR"/>
        </w:rPr>
        <w:t>Cfr. Caso Velásquez Rodríguez.</w:t>
      </w:r>
      <w:r w:rsidRPr="003D5B7C">
        <w:rPr>
          <w:rFonts w:ascii="Verdana" w:hAnsi="Verdana"/>
          <w:sz w:val="16"/>
          <w:szCs w:val="16"/>
          <w:lang w:val="es-CR"/>
        </w:rPr>
        <w:t xml:space="preserve"> Medidas Provisionales respecto de Honduras. </w:t>
      </w:r>
      <w:r w:rsidRPr="003D5B7C">
        <w:rPr>
          <w:rFonts w:ascii="Verdana" w:hAnsi="Verdana"/>
          <w:bCs/>
          <w:color w:val="000000"/>
          <w:sz w:val="16"/>
          <w:szCs w:val="16"/>
          <w:lang w:val="es-CR"/>
        </w:rPr>
        <w:t>Resolución de la Corte</w:t>
      </w:r>
      <w:r w:rsidRPr="003D5B7C">
        <w:rPr>
          <w:rFonts w:ascii="Verdana" w:hAnsi="Verdana"/>
          <w:sz w:val="16"/>
          <w:szCs w:val="16"/>
          <w:lang w:val="es-CR"/>
        </w:rPr>
        <w:t xml:space="preserve"> de 15 de enero de 1988, Considerando tercero</w:t>
      </w:r>
      <w:r>
        <w:rPr>
          <w:rFonts w:ascii="Verdana" w:hAnsi="Verdana"/>
          <w:sz w:val="16"/>
          <w:szCs w:val="16"/>
          <w:lang w:val="es-CR"/>
        </w:rPr>
        <w:t xml:space="preserve">, y </w:t>
      </w:r>
      <w:r w:rsidRPr="003D5B7C">
        <w:rPr>
          <w:rFonts w:ascii="Verdana" w:hAnsi="Verdana"/>
          <w:i/>
          <w:sz w:val="16"/>
          <w:szCs w:val="16"/>
          <w:lang w:val="es-ES"/>
        </w:rPr>
        <w:t xml:space="preserve">Asunto </w:t>
      </w:r>
      <w:r>
        <w:rPr>
          <w:rFonts w:ascii="Verdana" w:hAnsi="Verdana"/>
          <w:i/>
          <w:sz w:val="16"/>
          <w:szCs w:val="16"/>
          <w:lang w:val="es-ES"/>
        </w:rPr>
        <w:t xml:space="preserve">de la Fundación de Antropología Forense de Guatemala. </w:t>
      </w:r>
      <w:r w:rsidRPr="003D5B7C">
        <w:rPr>
          <w:rFonts w:ascii="Verdana" w:hAnsi="Verdana"/>
          <w:sz w:val="16"/>
          <w:szCs w:val="16"/>
          <w:lang w:val="es-ES"/>
        </w:rPr>
        <w:t xml:space="preserve">Medidas Provisionales respecto de </w:t>
      </w:r>
      <w:r>
        <w:rPr>
          <w:rFonts w:ascii="Verdana" w:hAnsi="Verdana"/>
          <w:sz w:val="16"/>
          <w:szCs w:val="16"/>
          <w:lang w:val="es-ES"/>
        </w:rPr>
        <w:t>Guatemala</w:t>
      </w:r>
      <w:r w:rsidRPr="003D5B7C">
        <w:rPr>
          <w:rFonts w:ascii="Verdana" w:hAnsi="Verdana"/>
          <w:sz w:val="16"/>
          <w:szCs w:val="16"/>
          <w:lang w:val="es-ES"/>
        </w:rPr>
        <w:t>. Resolución de la Corte Interamericana de Derechos Humanos de 2</w:t>
      </w:r>
      <w:r>
        <w:rPr>
          <w:rFonts w:ascii="Verdana" w:hAnsi="Verdana"/>
          <w:sz w:val="16"/>
          <w:szCs w:val="16"/>
          <w:lang w:val="es-ES"/>
        </w:rPr>
        <w:t>2</w:t>
      </w:r>
      <w:r w:rsidRPr="003D5B7C">
        <w:rPr>
          <w:rFonts w:ascii="Verdana" w:hAnsi="Verdana"/>
          <w:sz w:val="16"/>
          <w:szCs w:val="16"/>
          <w:lang w:val="es-ES"/>
        </w:rPr>
        <w:t xml:space="preserve"> de febrero de 201</w:t>
      </w:r>
      <w:r>
        <w:rPr>
          <w:rFonts w:ascii="Verdana" w:hAnsi="Verdana"/>
          <w:sz w:val="16"/>
          <w:szCs w:val="16"/>
          <w:lang w:val="es-ES"/>
        </w:rPr>
        <w:t>1</w:t>
      </w:r>
      <w:r w:rsidRPr="003D5B7C">
        <w:rPr>
          <w:rFonts w:ascii="Verdana" w:hAnsi="Verdana"/>
          <w:sz w:val="16"/>
          <w:szCs w:val="16"/>
          <w:lang w:val="es-CR"/>
        </w:rPr>
        <w:t xml:space="preserve">, Considerando </w:t>
      </w:r>
      <w:r>
        <w:rPr>
          <w:rFonts w:ascii="Verdana" w:hAnsi="Verdana"/>
          <w:sz w:val="16"/>
          <w:szCs w:val="16"/>
          <w:lang w:val="es-CR"/>
        </w:rPr>
        <w:t>cuadragésimo primero</w:t>
      </w:r>
      <w:r w:rsidRPr="003D5B7C">
        <w:rPr>
          <w:rFonts w:ascii="Verdana" w:hAnsi="Verdana"/>
          <w:sz w:val="16"/>
          <w:szCs w:val="16"/>
          <w:lang w:val="es-CR"/>
        </w:rPr>
        <w:t>.</w:t>
      </w:r>
    </w:p>
    <w:p w:rsidR="00B6160D" w:rsidRPr="003D5B7C" w:rsidRDefault="00B6160D" w:rsidP="00C210CF">
      <w:pPr>
        <w:pStyle w:val="Textonotapie"/>
        <w:jc w:val="both"/>
        <w:rPr>
          <w:rFonts w:ascii="Verdana" w:hAnsi="Verdana"/>
          <w:sz w:val="16"/>
          <w:szCs w:val="16"/>
          <w:lang w:val="es-ES"/>
        </w:rPr>
      </w:pPr>
    </w:p>
  </w:footnote>
  <w:footnote w:id="12">
    <w:p w:rsidR="00B6160D" w:rsidRDefault="00B6160D" w:rsidP="00C210CF">
      <w:pPr>
        <w:pStyle w:val="Textoindependiente"/>
        <w:ind w:right="-70"/>
        <w:rPr>
          <w:rFonts w:ascii="Verdana" w:hAnsi="Verdana"/>
          <w:sz w:val="16"/>
          <w:szCs w:val="16"/>
        </w:rPr>
      </w:pPr>
      <w:r w:rsidRPr="003D5B7C">
        <w:rPr>
          <w:rStyle w:val="Refdenotaalpie"/>
          <w:rFonts w:ascii="Verdana" w:hAnsi="Verdana"/>
          <w:sz w:val="16"/>
          <w:szCs w:val="16"/>
        </w:rPr>
        <w:footnoteRef/>
      </w:r>
      <w:r w:rsidRPr="003D5B7C">
        <w:rPr>
          <w:rFonts w:ascii="Verdana" w:hAnsi="Verdana"/>
          <w:sz w:val="16"/>
          <w:szCs w:val="16"/>
        </w:rPr>
        <w:t xml:space="preserve"> </w:t>
      </w:r>
      <w:r w:rsidRPr="003D5B7C">
        <w:rPr>
          <w:rFonts w:ascii="Verdana" w:hAnsi="Verdana"/>
          <w:sz w:val="16"/>
          <w:szCs w:val="16"/>
        </w:rPr>
        <w:tab/>
      </w:r>
      <w:r w:rsidRPr="003D5B7C">
        <w:rPr>
          <w:rFonts w:ascii="Verdana" w:hAnsi="Verdana"/>
          <w:i/>
          <w:sz w:val="16"/>
          <w:szCs w:val="16"/>
        </w:rPr>
        <w:t xml:space="preserve">Cfr. Caso Del Internado Judicial De Monagas (“La Pica”). </w:t>
      </w:r>
      <w:r w:rsidRPr="003D5B7C">
        <w:rPr>
          <w:rFonts w:ascii="Verdana" w:hAnsi="Verdana"/>
          <w:sz w:val="16"/>
          <w:szCs w:val="16"/>
        </w:rPr>
        <w:t>Medidas Provisionales respecto de Venezuela. Resolución de la Corte Interamericana de Derechos Humanos de 9 de febrero de 2006, Conside</w:t>
      </w:r>
      <w:r>
        <w:rPr>
          <w:rFonts w:ascii="Verdana" w:hAnsi="Verdana"/>
          <w:sz w:val="16"/>
          <w:szCs w:val="16"/>
        </w:rPr>
        <w:t>rando dé</w:t>
      </w:r>
      <w:r w:rsidRPr="003D5B7C">
        <w:rPr>
          <w:rFonts w:ascii="Verdana" w:hAnsi="Verdana"/>
          <w:sz w:val="16"/>
          <w:szCs w:val="16"/>
        </w:rPr>
        <w:t>cimo cuarto</w:t>
      </w:r>
      <w:r>
        <w:rPr>
          <w:rFonts w:ascii="Verdana" w:hAnsi="Verdana"/>
          <w:sz w:val="16"/>
          <w:szCs w:val="16"/>
        </w:rPr>
        <w:t xml:space="preserve">, y </w:t>
      </w:r>
      <w:r>
        <w:rPr>
          <w:rFonts w:ascii="Verdana" w:hAnsi="Verdana"/>
          <w:i/>
          <w:sz w:val="16"/>
          <w:szCs w:val="16"/>
        </w:rPr>
        <w:t xml:space="preserve">Caso Fernández Ortega y otros. </w:t>
      </w:r>
      <w:r>
        <w:rPr>
          <w:rFonts w:ascii="Verdana" w:hAnsi="Verdana"/>
          <w:sz w:val="16"/>
          <w:szCs w:val="16"/>
        </w:rPr>
        <w:t xml:space="preserve">Medidas Provisionales respecto de México. </w:t>
      </w:r>
      <w:r w:rsidRPr="003D5B7C">
        <w:rPr>
          <w:rFonts w:ascii="Verdana" w:hAnsi="Verdana"/>
          <w:sz w:val="16"/>
          <w:szCs w:val="16"/>
        </w:rPr>
        <w:t>Resolución de la Corte Interamericana de Derechos Humanos de</w:t>
      </w:r>
      <w:r>
        <w:rPr>
          <w:rFonts w:ascii="Verdana" w:hAnsi="Verdana"/>
          <w:sz w:val="16"/>
          <w:szCs w:val="16"/>
        </w:rPr>
        <w:t xml:space="preserve"> 23 de noviembre de 2010, Considerando décimo</w:t>
      </w:r>
      <w:r w:rsidRPr="003D5B7C">
        <w:rPr>
          <w:rFonts w:ascii="Verdana" w:hAnsi="Verdana"/>
          <w:sz w:val="16"/>
          <w:szCs w:val="16"/>
        </w:rPr>
        <w:t>.</w:t>
      </w:r>
    </w:p>
    <w:p w:rsidR="00B6160D" w:rsidRPr="003D5B7C" w:rsidRDefault="00B6160D" w:rsidP="00C210CF">
      <w:pPr>
        <w:pStyle w:val="Textoindependiente"/>
        <w:ind w:right="-70"/>
        <w:rPr>
          <w:rFonts w:ascii="Verdana" w:hAnsi="Verdana"/>
          <w:sz w:val="16"/>
          <w:szCs w:val="16"/>
        </w:rPr>
      </w:pPr>
    </w:p>
  </w:footnote>
  <w:footnote w:id="13">
    <w:p w:rsidR="00B6160D" w:rsidRPr="00585F61" w:rsidRDefault="00B6160D" w:rsidP="00006044">
      <w:pPr>
        <w:pStyle w:val="Textonotapie"/>
        <w:jc w:val="both"/>
        <w:rPr>
          <w:rFonts w:ascii="Verdana" w:hAnsi="Verdana"/>
          <w:sz w:val="16"/>
          <w:szCs w:val="16"/>
          <w:lang w:val="es-PY" w:bidi="en-US"/>
        </w:rPr>
      </w:pPr>
      <w:r w:rsidRPr="003D5B7C">
        <w:rPr>
          <w:rStyle w:val="Refdenotaalpie"/>
          <w:rFonts w:ascii="Verdana" w:hAnsi="Verdana"/>
          <w:sz w:val="16"/>
          <w:szCs w:val="16"/>
        </w:rPr>
        <w:footnoteRef/>
      </w:r>
      <w:r w:rsidRPr="00585F61">
        <w:rPr>
          <w:rFonts w:ascii="Verdana" w:hAnsi="Verdana"/>
          <w:sz w:val="16"/>
          <w:szCs w:val="16"/>
          <w:lang w:val="es-PY"/>
        </w:rPr>
        <w:t xml:space="preserve">  </w:t>
      </w:r>
      <w:r w:rsidRPr="00585F61">
        <w:rPr>
          <w:rFonts w:ascii="Verdana" w:hAnsi="Verdana"/>
          <w:sz w:val="16"/>
          <w:szCs w:val="16"/>
          <w:lang w:val="es-PY"/>
        </w:rPr>
        <w:tab/>
        <w:t>L</w:t>
      </w:r>
      <w:r w:rsidRPr="00585F61">
        <w:rPr>
          <w:rFonts w:ascii="Verdana" w:hAnsi="Verdana" w:cs="Verdana"/>
          <w:sz w:val="16"/>
          <w:szCs w:val="16"/>
          <w:lang w:val="es-PY" w:bidi="en-US"/>
        </w:rPr>
        <w:t xml:space="preserve">os 41 integrantes de la Organización del Pueblo Indígena </w:t>
      </w:r>
      <w:proofErr w:type="spellStart"/>
      <w:r w:rsidRPr="00585F61">
        <w:rPr>
          <w:rFonts w:ascii="Verdana" w:hAnsi="Verdana" w:cs="Verdana"/>
          <w:sz w:val="16"/>
          <w:szCs w:val="16"/>
          <w:lang w:val="es-PY" w:bidi="en-US"/>
        </w:rPr>
        <w:t>Tlapaneco</w:t>
      </w:r>
      <w:proofErr w:type="spellEnd"/>
      <w:r w:rsidRPr="00585F61">
        <w:rPr>
          <w:rFonts w:ascii="Verdana" w:hAnsi="Verdana" w:cs="Verdana"/>
          <w:sz w:val="16"/>
          <w:szCs w:val="16"/>
          <w:lang w:val="es-PY" w:bidi="en-US"/>
        </w:rPr>
        <w:t xml:space="preserve"> beneficiarios de las presentes medidas provisionales son:</w:t>
      </w:r>
      <w:r w:rsidRPr="00585F61">
        <w:rPr>
          <w:rFonts w:ascii="Verdana" w:hAnsi="Verdana"/>
          <w:sz w:val="16"/>
          <w:szCs w:val="16"/>
          <w:lang w:val="es-PY" w:bidi="en-US"/>
        </w:rPr>
        <w:t xml:space="preserve"> Victoriano Eugenio  Manuel, Gabino Eugenio Manuel, Juan Remigio Guzmán, Raúl Hernández Abundio, Rafael Rodríguez </w:t>
      </w:r>
      <w:proofErr w:type="spellStart"/>
      <w:r w:rsidRPr="00585F61">
        <w:rPr>
          <w:rFonts w:ascii="Verdana" w:hAnsi="Verdana"/>
          <w:sz w:val="16"/>
          <w:szCs w:val="16"/>
          <w:lang w:val="es-PY" w:bidi="en-US"/>
        </w:rPr>
        <w:t>Dircio</w:t>
      </w:r>
      <w:proofErr w:type="spellEnd"/>
      <w:r w:rsidRPr="00585F61">
        <w:rPr>
          <w:rFonts w:ascii="Verdana" w:hAnsi="Verdana"/>
          <w:sz w:val="16"/>
          <w:szCs w:val="16"/>
          <w:lang w:val="es-PY" w:bidi="en-US"/>
        </w:rPr>
        <w:t xml:space="preserve">, Severo Eugenio Remigio, Manuel Cruz Victoriano, Orlando Manzanares Lorenzo, Natalio Ortega Cruz, Romualdo Santiago Enedina, Braulio Manzanares Lorenzo, José Eugenio Cruz, Félix Ortega Dolores, Merced Santiago Lorenzo, Arturo Cruz Ortega, Leopoldo Eugenio Manuel, Ubaldo Santiago Eugenio, Arnulfo Cruz Concepción, Silverio Remigio Guzmán, Crisóforo Manzanares Lorenzo, Taurino Fernández Santiago, Ocotlán Fernández Ortega, Mauricio Cruz Morales, Viviano García Santiago, Julio Bolanos Santiago, José Espinoza Eugenio, Ramón Ortega Cruz, Virgilio Cruz Ortega, Victoriano Ortega Cruz, Marcelino Santiago Flores, Justino García Santiago, Crispín Santiago González, Natalio Eugenio Catarino, Fausto Santiago González, Leopoldo Eugenio Rufina, Vicente Díaz Luciano, </w:t>
      </w:r>
      <w:proofErr w:type="spellStart"/>
      <w:r w:rsidRPr="00585F61">
        <w:rPr>
          <w:rFonts w:ascii="Verdana" w:hAnsi="Verdana"/>
          <w:sz w:val="16"/>
          <w:szCs w:val="16"/>
          <w:lang w:val="es-PY" w:bidi="en-US"/>
        </w:rPr>
        <w:t>Socimo</w:t>
      </w:r>
      <w:proofErr w:type="spellEnd"/>
      <w:r w:rsidRPr="00585F61">
        <w:rPr>
          <w:rFonts w:ascii="Verdana" w:hAnsi="Verdana"/>
          <w:sz w:val="16"/>
          <w:szCs w:val="16"/>
          <w:lang w:val="es-PY" w:bidi="en-US"/>
        </w:rPr>
        <w:t xml:space="preserve"> Manuel Sierra, Santiago Manuel Sierra, Ramiro Flor </w:t>
      </w:r>
      <w:proofErr w:type="spellStart"/>
      <w:r w:rsidRPr="00585F61">
        <w:rPr>
          <w:rFonts w:ascii="Verdana" w:hAnsi="Verdana"/>
          <w:sz w:val="16"/>
          <w:szCs w:val="16"/>
          <w:lang w:val="es-PY" w:bidi="en-US"/>
        </w:rPr>
        <w:t>Cresencio</w:t>
      </w:r>
      <w:proofErr w:type="spellEnd"/>
      <w:r w:rsidRPr="00585F61">
        <w:rPr>
          <w:rFonts w:ascii="Verdana" w:hAnsi="Verdana"/>
          <w:sz w:val="16"/>
          <w:szCs w:val="16"/>
          <w:lang w:val="es-PY" w:bidi="en-US"/>
        </w:rPr>
        <w:t>, Milenio Flores de Jesús y Romualdo Eugenio Estrada.</w:t>
      </w:r>
    </w:p>
    <w:p w:rsidR="00B6160D" w:rsidRPr="00585F61" w:rsidRDefault="00B6160D" w:rsidP="00006044">
      <w:pPr>
        <w:pStyle w:val="Textonotapie"/>
        <w:jc w:val="both"/>
        <w:rPr>
          <w:rFonts w:ascii="Verdana" w:hAnsi="Verdana"/>
          <w:sz w:val="16"/>
          <w:szCs w:val="16"/>
          <w:lang w:val="es-PY"/>
        </w:rPr>
      </w:pPr>
    </w:p>
  </w:footnote>
  <w:footnote w:id="14">
    <w:p w:rsidR="00B6160D" w:rsidRPr="003D5B7C" w:rsidRDefault="00B6160D" w:rsidP="00006044">
      <w:pPr>
        <w:pStyle w:val="Textonotapie"/>
        <w:jc w:val="both"/>
        <w:rPr>
          <w:rFonts w:ascii="Verdana" w:hAnsi="Verdana"/>
          <w:sz w:val="16"/>
          <w:szCs w:val="16"/>
          <w:lang w:bidi="en-US"/>
        </w:rPr>
      </w:pPr>
      <w:r w:rsidRPr="003D5B7C">
        <w:rPr>
          <w:rStyle w:val="Refdenotaalpie"/>
          <w:rFonts w:ascii="Verdana" w:hAnsi="Verdana"/>
          <w:sz w:val="16"/>
          <w:szCs w:val="16"/>
        </w:rPr>
        <w:footnoteRef/>
      </w:r>
      <w:r w:rsidRPr="003D5B7C">
        <w:rPr>
          <w:rFonts w:ascii="Verdana" w:hAnsi="Verdana"/>
          <w:sz w:val="16"/>
          <w:szCs w:val="16"/>
        </w:rPr>
        <w:t xml:space="preserve"> </w:t>
      </w:r>
      <w:r w:rsidRPr="003D5B7C">
        <w:rPr>
          <w:rFonts w:ascii="Verdana" w:hAnsi="Verdana"/>
          <w:sz w:val="16"/>
          <w:szCs w:val="16"/>
        </w:rPr>
        <w:tab/>
      </w:r>
      <w:r w:rsidRPr="003D5B7C">
        <w:rPr>
          <w:rFonts w:ascii="Verdana" w:hAnsi="Verdana"/>
          <w:sz w:val="16"/>
          <w:szCs w:val="16"/>
        </w:rPr>
        <w:t>L</w:t>
      </w:r>
      <w:r w:rsidRPr="003D5B7C">
        <w:rPr>
          <w:rFonts w:ascii="Verdana" w:hAnsi="Verdana" w:cs="Verdana"/>
          <w:sz w:val="16"/>
          <w:szCs w:val="16"/>
          <w:lang w:bidi="en-US"/>
        </w:rPr>
        <w:t xml:space="preserve">os 18 integrantes de </w:t>
      </w:r>
      <w:proofErr w:type="gramStart"/>
      <w:r w:rsidRPr="003D5B7C">
        <w:rPr>
          <w:rFonts w:ascii="Verdana" w:hAnsi="Verdana" w:cs="Verdana"/>
          <w:sz w:val="16"/>
          <w:szCs w:val="16"/>
          <w:lang w:bidi="en-US"/>
        </w:rPr>
        <w:t>la</w:t>
      </w:r>
      <w:proofErr w:type="gramEnd"/>
      <w:r w:rsidRPr="003D5B7C">
        <w:rPr>
          <w:rFonts w:ascii="Verdana" w:hAnsi="Verdana" w:cs="Verdana"/>
          <w:sz w:val="16"/>
          <w:szCs w:val="16"/>
          <w:lang w:bidi="en-US"/>
        </w:rPr>
        <w:t xml:space="preserve"> organización Tlachinollan beneficiarios de las presentes medidas provisionales son: </w:t>
      </w:r>
      <w:r w:rsidRPr="003D5B7C">
        <w:rPr>
          <w:rFonts w:ascii="Verdana" w:hAnsi="Verdana"/>
          <w:sz w:val="16"/>
          <w:szCs w:val="16"/>
          <w:lang w:bidi="en-US"/>
        </w:rPr>
        <w:t>Abel Barrera Hernández, Alejandro Ramos Gallegos, Armando Campos Ochoa, Epifania Ramírez Arias, Eulogia Flores Vázquez, Gabino Santiago Jiménez, Isidoro Vicario Aguilar, Margarita Nemecio Nemesio, Matilde Pérez Romero, Neil Arias Vitinio, Odilia Alatorre Villavicencio, Olivia Arce Bautista, Paulino Rodríguez Reyes, Roberto Gamboa Vázquez, Vidulfo Rosales Sierra, Fidela Hernández Vargas, Juan Castro Castro y Rogelio Téliz García.</w:t>
      </w:r>
    </w:p>
    <w:p w:rsidR="00B6160D" w:rsidRPr="003D5B7C" w:rsidRDefault="00B6160D" w:rsidP="00006044">
      <w:pPr>
        <w:pStyle w:val="Textonotapie"/>
        <w:jc w:val="both"/>
        <w:rPr>
          <w:rFonts w:ascii="Verdana" w:hAnsi="Verdana"/>
          <w:sz w:val="16"/>
          <w:szCs w:val="16"/>
        </w:rPr>
      </w:pPr>
    </w:p>
  </w:footnote>
  <w:footnote w:id="15">
    <w:p w:rsidR="00F0427B" w:rsidRPr="00032DC6" w:rsidRDefault="00F0427B" w:rsidP="00F0427B">
      <w:pPr>
        <w:pStyle w:val="Default"/>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Art. 67 de la Convención Americana sobre Derechos Humanos.</w:t>
      </w:r>
    </w:p>
  </w:footnote>
  <w:footnote w:id="16">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 xml:space="preserve">Art. 63.2, </w:t>
      </w:r>
      <w:r w:rsidRPr="00032DC6">
        <w:rPr>
          <w:rFonts w:cs="Calibri"/>
          <w:iCs/>
          <w:sz w:val="16"/>
          <w:szCs w:val="16"/>
        </w:rPr>
        <w:t>idem</w:t>
      </w:r>
      <w:r w:rsidRPr="00032DC6">
        <w:rPr>
          <w:rFonts w:cs="Calibri"/>
          <w:sz w:val="16"/>
          <w:szCs w:val="16"/>
        </w:rPr>
        <w:t>.</w:t>
      </w:r>
    </w:p>
  </w:footnote>
  <w:footnote w:id="17">
    <w:p w:rsidR="00F0427B" w:rsidRPr="00032DC6" w:rsidRDefault="00F0427B" w:rsidP="00F0427B">
      <w:pPr>
        <w:pStyle w:val="Default"/>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 xml:space="preserve">Art. 69 del Reglamento de la Corte. Ver Votos Concurrentes del suscrito a Resoluciones sobre Cumplimiento de Sentencias en </w:t>
      </w:r>
      <w:r>
        <w:rPr>
          <w:rFonts w:cs="Calibri"/>
          <w:sz w:val="16"/>
          <w:szCs w:val="16"/>
        </w:rPr>
        <w:t>los c</w:t>
      </w:r>
      <w:r w:rsidRPr="00032DC6">
        <w:rPr>
          <w:rFonts w:cs="Calibri"/>
          <w:iCs/>
          <w:sz w:val="16"/>
          <w:szCs w:val="16"/>
        </w:rPr>
        <w:t xml:space="preserve">asos </w:t>
      </w:r>
      <w:r w:rsidRPr="00A44233">
        <w:rPr>
          <w:rFonts w:cs="Calibri"/>
          <w:i/>
          <w:iCs/>
          <w:sz w:val="16"/>
          <w:szCs w:val="16"/>
        </w:rPr>
        <w:t xml:space="preserve">Blanco Romero y Otros Vs. Venezuela, </w:t>
      </w:r>
      <w:proofErr w:type="spellStart"/>
      <w:r w:rsidRPr="00A44233">
        <w:rPr>
          <w:rFonts w:cs="Calibri"/>
          <w:i/>
          <w:iCs/>
          <w:sz w:val="16"/>
          <w:szCs w:val="16"/>
        </w:rPr>
        <w:t>Servellón</w:t>
      </w:r>
      <w:proofErr w:type="spellEnd"/>
      <w:r w:rsidRPr="00A44233">
        <w:rPr>
          <w:rFonts w:cs="Calibri"/>
          <w:i/>
          <w:iCs/>
          <w:sz w:val="16"/>
          <w:szCs w:val="16"/>
        </w:rPr>
        <w:t xml:space="preserve"> </w:t>
      </w:r>
      <w:proofErr w:type="spellStart"/>
      <w:r w:rsidRPr="00A44233">
        <w:rPr>
          <w:rFonts w:cs="Calibri"/>
          <w:i/>
          <w:iCs/>
          <w:sz w:val="16"/>
          <w:szCs w:val="16"/>
        </w:rPr>
        <w:t>Garcìa</w:t>
      </w:r>
      <w:proofErr w:type="spellEnd"/>
      <w:r w:rsidRPr="00A44233">
        <w:rPr>
          <w:rFonts w:cs="Calibri"/>
          <w:i/>
          <w:iCs/>
          <w:sz w:val="16"/>
          <w:szCs w:val="16"/>
        </w:rPr>
        <w:t xml:space="preserve"> y Otros Vs. Honduras y </w:t>
      </w:r>
      <w:proofErr w:type="spellStart"/>
      <w:r w:rsidRPr="00A44233">
        <w:rPr>
          <w:rFonts w:cs="Calibri"/>
          <w:i/>
          <w:iCs/>
          <w:sz w:val="16"/>
          <w:szCs w:val="16"/>
        </w:rPr>
        <w:t>Saramaka</w:t>
      </w:r>
      <w:proofErr w:type="spellEnd"/>
      <w:r w:rsidRPr="00A44233">
        <w:rPr>
          <w:rFonts w:cs="Calibri"/>
          <w:i/>
          <w:iCs/>
          <w:sz w:val="16"/>
          <w:szCs w:val="16"/>
        </w:rPr>
        <w:t xml:space="preserve"> Vs. Surinam</w:t>
      </w:r>
      <w:r w:rsidRPr="00032DC6">
        <w:rPr>
          <w:rFonts w:cs="Calibri"/>
          <w:iCs/>
          <w:sz w:val="16"/>
          <w:szCs w:val="16"/>
        </w:rPr>
        <w:t xml:space="preserve">, </w:t>
      </w:r>
      <w:r w:rsidRPr="00032DC6">
        <w:rPr>
          <w:rFonts w:cs="Calibri"/>
          <w:sz w:val="16"/>
          <w:szCs w:val="16"/>
        </w:rPr>
        <w:t xml:space="preserve">de noviembre de 2011. </w:t>
      </w:r>
    </w:p>
  </w:footnote>
  <w:footnote w:id="18">
    <w:p w:rsidR="00F0427B" w:rsidRPr="00032DC6" w:rsidRDefault="00F0427B" w:rsidP="00F0427B">
      <w:pPr>
        <w:pStyle w:val="Textonotapie"/>
        <w:jc w:val="both"/>
        <w:rPr>
          <w:rFonts w:cs="Calibri"/>
          <w:sz w:val="16"/>
          <w:szCs w:val="16"/>
          <w:lang w:val="es-ES"/>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CR"/>
        </w:rPr>
        <w:t>Art. 66 del Reglamento de la Corte.</w:t>
      </w:r>
    </w:p>
  </w:footnote>
  <w:footnote w:id="19">
    <w:p w:rsidR="00F0427B" w:rsidRPr="00032DC6" w:rsidRDefault="00F0427B" w:rsidP="00F0427B">
      <w:pPr>
        <w:pStyle w:val="Textonotapie"/>
        <w:jc w:val="both"/>
        <w:rPr>
          <w:rFonts w:cs="Calibri"/>
          <w:sz w:val="16"/>
          <w:szCs w:val="16"/>
          <w:lang w:val="es-CR"/>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CR"/>
        </w:rPr>
        <w:t>Art. 67</w:t>
      </w:r>
      <w:r w:rsidRPr="00032DC6">
        <w:rPr>
          <w:rFonts w:cs="Calibri"/>
          <w:sz w:val="16"/>
          <w:szCs w:val="16"/>
        </w:rPr>
        <w:t xml:space="preserve"> de </w:t>
      </w:r>
      <w:proofErr w:type="spellStart"/>
      <w:r w:rsidRPr="00032DC6">
        <w:rPr>
          <w:rFonts w:cs="Calibri"/>
          <w:sz w:val="16"/>
          <w:szCs w:val="16"/>
        </w:rPr>
        <w:t>la</w:t>
      </w:r>
      <w:proofErr w:type="spellEnd"/>
      <w:r w:rsidRPr="00032DC6">
        <w:rPr>
          <w:rFonts w:cs="Calibri"/>
          <w:sz w:val="16"/>
          <w:szCs w:val="16"/>
        </w:rPr>
        <w:t xml:space="preserve"> </w:t>
      </w:r>
      <w:proofErr w:type="spellStart"/>
      <w:r w:rsidRPr="00032DC6">
        <w:rPr>
          <w:rFonts w:cs="Calibri"/>
          <w:sz w:val="16"/>
          <w:szCs w:val="16"/>
        </w:rPr>
        <w:t>Convención</w:t>
      </w:r>
      <w:proofErr w:type="spellEnd"/>
      <w:r w:rsidRPr="00032DC6">
        <w:rPr>
          <w:rFonts w:cs="Calibri"/>
          <w:sz w:val="16"/>
          <w:szCs w:val="16"/>
          <w:lang w:val="es-CR"/>
        </w:rPr>
        <w:t xml:space="preserve">. Art.68 del Reglamento de la Corte.  </w:t>
      </w:r>
    </w:p>
  </w:footnote>
  <w:footnote w:id="20">
    <w:p w:rsidR="00F0427B" w:rsidRPr="00032DC6" w:rsidRDefault="00F0427B" w:rsidP="00F0427B">
      <w:pPr>
        <w:pStyle w:val="Textonotapie"/>
        <w:jc w:val="both"/>
        <w:rPr>
          <w:rFonts w:cs="Calibri"/>
          <w:sz w:val="16"/>
          <w:szCs w:val="16"/>
          <w:lang w:val="es-CR"/>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CR"/>
        </w:rPr>
        <w:t>Art.76 del Reglamento de la Corte.</w:t>
      </w:r>
    </w:p>
  </w:footnote>
  <w:footnote w:id="21">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CR"/>
        </w:rPr>
        <w:t>Art. 69 del Reglamento de la Corte.</w:t>
      </w:r>
    </w:p>
  </w:footnote>
  <w:footnote w:id="22">
    <w:p w:rsidR="00F0427B" w:rsidRPr="00032DC6" w:rsidRDefault="00F0427B" w:rsidP="00F0427B">
      <w:pPr>
        <w:pStyle w:val="Textonotapie"/>
        <w:jc w:val="both"/>
        <w:rPr>
          <w:rFonts w:cs="Calibri"/>
          <w:sz w:val="16"/>
          <w:szCs w:val="16"/>
          <w:lang w:val="es-CR"/>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CR"/>
        </w:rPr>
        <w:t>Art.65</w:t>
      </w:r>
      <w:r w:rsidRPr="00032DC6">
        <w:rPr>
          <w:rFonts w:cs="Calibri"/>
          <w:sz w:val="16"/>
          <w:szCs w:val="16"/>
        </w:rPr>
        <w:t xml:space="preserve"> de </w:t>
      </w:r>
      <w:proofErr w:type="spellStart"/>
      <w:r w:rsidRPr="00032DC6">
        <w:rPr>
          <w:rFonts w:cs="Calibri"/>
          <w:sz w:val="16"/>
          <w:szCs w:val="16"/>
        </w:rPr>
        <w:t>la</w:t>
      </w:r>
      <w:proofErr w:type="spellEnd"/>
      <w:r w:rsidRPr="00032DC6">
        <w:rPr>
          <w:rFonts w:cs="Calibri"/>
          <w:sz w:val="16"/>
          <w:szCs w:val="16"/>
        </w:rPr>
        <w:t xml:space="preserve"> </w:t>
      </w:r>
      <w:proofErr w:type="spellStart"/>
      <w:r w:rsidRPr="00032DC6">
        <w:rPr>
          <w:rFonts w:cs="Calibri"/>
          <w:sz w:val="16"/>
          <w:szCs w:val="16"/>
        </w:rPr>
        <w:t>Convención</w:t>
      </w:r>
      <w:proofErr w:type="spellEnd"/>
      <w:r w:rsidRPr="00032DC6">
        <w:rPr>
          <w:rFonts w:cs="Calibri"/>
          <w:sz w:val="16"/>
          <w:szCs w:val="16"/>
        </w:rPr>
        <w:t>.</w:t>
      </w:r>
      <w:r w:rsidRPr="00032DC6">
        <w:rPr>
          <w:rFonts w:cs="Calibri"/>
          <w:sz w:val="16"/>
          <w:szCs w:val="16"/>
          <w:lang w:val="es-CR"/>
        </w:rPr>
        <w:t xml:space="preserve"> Art.30 del Estatuto de la Corte.</w:t>
      </w:r>
    </w:p>
  </w:footnote>
  <w:footnote w:id="23">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 xml:space="preserve">Art. 69 </w:t>
      </w:r>
      <w:proofErr w:type="spellStart"/>
      <w:proofErr w:type="gramStart"/>
      <w:r w:rsidRPr="00032DC6">
        <w:rPr>
          <w:rFonts w:cs="Calibri"/>
          <w:sz w:val="16"/>
          <w:szCs w:val="16"/>
        </w:rPr>
        <w:t>del</w:t>
      </w:r>
      <w:proofErr w:type="spellEnd"/>
      <w:proofErr w:type="gramEnd"/>
      <w:r w:rsidRPr="00032DC6">
        <w:rPr>
          <w:rFonts w:cs="Calibri"/>
          <w:sz w:val="16"/>
          <w:szCs w:val="16"/>
        </w:rPr>
        <w:t xml:space="preserve"> </w:t>
      </w:r>
      <w:proofErr w:type="spellStart"/>
      <w:r w:rsidRPr="00032DC6">
        <w:rPr>
          <w:rFonts w:cs="Calibri"/>
          <w:sz w:val="16"/>
          <w:szCs w:val="16"/>
        </w:rPr>
        <w:t>Reglamento</w:t>
      </w:r>
      <w:proofErr w:type="spellEnd"/>
      <w:r w:rsidRPr="00032DC6">
        <w:rPr>
          <w:rFonts w:cs="Calibri"/>
          <w:sz w:val="16"/>
          <w:szCs w:val="16"/>
        </w:rPr>
        <w:t>.</w:t>
      </w:r>
    </w:p>
  </w:footnote>
  <w:footnote w:id="24">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 xml:space="preserve">Art. 63.1 de </w:t>
      </w:r>
      <w:proofErr w:type="spellStart"/>
      <w:proofErr w:type="gramStart"/>
      <w:r w:rsidRPr="00032DC6">
        <w:rPr>
          <w:rFonts w:cs="Calibri"/>
          <w:sz w:val="16"/>
          <w:szCs w:val="16"/>
        </w:rPr>
        <w:t>la</w:t>
      </w:r>
      <w:proofErr w:type="spellEnd"/>
      <w:proofErr w:type="gramEnd"/>
      <w:r w:rsidRPr="00032DC6">
        <w:rPr>
          <w:rFonts w:cs="Calibri"/>
          <w:sz w:val="16"/>
          <w:szCs w:val="16"/>
        </w:rPr>
        <w:t xml:space="preserve"> </w:t>
      </w:r>
      <w:proofErr w:type="spellStart"/>
      <w:r w:rsidRPr="00032DC6">
        <w:rPr>
          <w:rFonts w:cs="Calibri"/>
          <w:sz w:val="16"/>
          <w:szCs w:val="16"/>
        </w:rPr>
        <w:t>Convención</w:t>
      </w:r>
      <w:proofErr w:type="spellEnd"/>
      <w:r w:rsidRPr="00032DC6">
        <w:rPr>
          <w:rFonts w:cs="Calibri"/>
          <w:sz w:val="16"/>
          <w:szCs w:val="16"/>
        </w:rPr>
        <w:t>.</w:t>
      </w:r>
    </w:p>
  </w:footnote>
  <w:footnote w:id="25">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Art.</w:t>
      </w:r>
      <w:proofErr w:type="gramStart"/>
      <w:r w:rsidRPr="00032DC6">
        <w:rPr>
          <w:rFonts w:cs="Calibri"/>
          <w:sz w:val="16"/>
          <w:szCs w:val="16"/>
        </w:rPr>
        <w:t xml:space="preserve">  </w:t>
      </w:r>
      <w:proofErr w:type="gramEnd"/>
      <w:r w:rsidRPr="00032DC6">
        <w:rPr>
          <w:rFonts w:cs="Calibri"/>
          <w:sz w:val="16"/>
          <w:szCs w:val="16"/>
        </w:rPr>
        <w:t xml:space="preserve">63.2, </w:t>
      </w:r>
      <w:r w:rsidRPr="00032DC6">
        <w:rPr>
          <w:rFonts w:cs="Calibri"/>
          <w:iCs/>
          <w:sz w:val="16"/>
          <w:szCs w:val="16"/>
        </w:rPr>
        <w:t>idem</w:t>
      </w:r>
      <w:r w:rsidRPr="00032DC6">
        <w:rPr>
          <w:rFonts w:cs="Calibri"/>
          <w:sz w:val="16"/>
          <w:szCs w:val="16"/>
        </w:rPr>
        <w:t>.</w:t>
      </w:r>
    </w:p>
  </w:footnote>
  <w:footnote w:id="26">
    <w:p w:rsidR="00F0427B" w:rsidRPr="00282B79" w:rsidRDefault="00F0427B" w:rsidP="00F0427B">
      <w:pPr>
        <w:pStyle w:val="Textonotapie"/>
      </w:pPr>
      <w:r w:rsidRPr="00282B79">
        <w:rPr>
          <w:rStyle w:val="Refdenotaalpie"/>
          <w:rFonts w:cs="Calibri"/>
          <w:sz w:val="16"/>
          <w:szCs w:val="16"/>
        </w:rPr>
        <w:footnoteRef/>
      </w:r>
      <w:r w:rsidRPr="00282B79">
        <w:rPr>
          <w:rStyle w:val="Refdenotaalpie"/>
          <w:rFonts w:cs="Calibri"/>
          <w:sz w:val="16"/>
          <w:szCs w:val="16"/>
        </w:rPr>
        <w:t xml:space="preserve"> </w:t>
      </w:r>
      <w:r>
        <w:tab/>
      </w:r>
      <w:r w:rsidRPr="00032DC6">
        <w:rPr>
          <w:rFonts w:cs="Calibri"/>
          <w:sz w:val="16"/>
          <w:szCs w:val="16"/>
          <w:lang w:val="es-MX"/>
        </w:rPr>
        <w:t>Art. 65 de la Convención.</w:t>
      </w:r>
    </w:p>
  </w:footnote>
  <w:footnote w:id="27">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t xml:space="preserve">Voto </w:t>
      </w:r>
      <w:proofErr w:type="spellStart"/>
      <w:r w:rsidRPr="00032DC6">
        <w:rPr>
          <w:rFonts w:cs="Calibri"/>
          <w:sz w:val="16"/>
          <w:szCs w:val="16"/>
        </w:rPr>
        <w:t>Disidente</w:t>
      </w:r>
      <w:proofErr w:type="spellEnd"/>
      <w:r w:rsidRPr="00032DC6">
        <w:rPr>
          <w:rFonts w:cs="Calibri"/>
          <w:sz w:val="16"/>
          <w:szCs w:val="16"/>
        </w:rPr>
        <w:t xml:space="preserve"> </w:t>
      </w:r>
      <w:proofErr w:type="spellStart"/>
      <w:r w:rsidRPr="00032DC6">
        <w:rPr>
          <w:rFonts w:cs="Calibri"/>
          <w:sz w:val="16"/>
          <w:szCs w:val="16"/>
        </w:rPr>
        <w:t>respecto</w:t>
      </w:r>
      <w:proofErr w:type="spellEnd"/>
      <w:r w:rsidRPr="00032DC6">
        <w:rPr>
          <w:rFonts w:cs="Calibri"/>
          <w:sz w:val="16"/>
          <w:szCs w:val="16"/>
        </w:rPr>
        <w:t xml:space="preserve"> de </w:t>
      </w:r>
      <w:proofErr w:type="spellStart"/>
      <w:proofErr w:type="gramStart"/>
      <w:r w:rsidRPr="00032DC6">
        <w:rPr>
          <w:rFonts w:cs="Calibri"/>
          <w:sz w:val="16"/>
          <w:szCs w:val="16"/>
        </w:rPr>
        <w:t>la</w:t>
      </w:r>
      <w:proofErr w:type="spellEnd"/>
      <w:proofErr w:type="gramEnd"/>
      <w:r w:rsidRPr="00032DC6">
        <w:rPr>
          <w:rFonts w:cs="Calibri"/>
          <w:sz w:val="16"/>
          <w:szCs w:val="16"/>
        </w:rPr>
        <w:t xml:space="preserve"> Sentencia de </w:t>
      </w:r>
      <w:proofErr w:type="spellStart"/>
      <w:r w:rsidRPr="00032DC6">
        <w:rPr>
          <w:rFonts w:cs="Calibri"/>
          <w:sz w:val="16"/>
          <w:szCs w:val="16"/>
        </w:rPr>
        <w:t>la</w:t>
      </w:r>
      <w:proofErr w:type="spellEnd"/>
      <w:r w:rsidRPr="00032DC6">
        <w:rPr>
          <w:rFonts w:cs="Calibri"/>
          <w:sz w:val="16"/>
          <w:szCs w:val="16"/>
        </w:rPr>
        <w:t xml:space="preserve"> Corte Interamericana de </w:t>
      </w:r>
      <w:proofErr w:type="spellStart"/>
      <w:r w:rsidRPr="00032DC6">
        <w:rPr>
          <w:rFonts w:cs="Calibri"/>
          <w:sz w:val="16"/>
          <w:szCs w:val="16"/>
        </w:rPr>
        <w:t>Derechos</w:t>
      </w:r>
      <w:proofErr w:type="spellEnd"/>
      <w:r w:rsidRPr="00032DC6">
        <w:rPr>
          <w:rFonts w:cs="Calibri"/>
          <w:sz w:val="16"/>
          <w:szCs w:val="16"/>
        </w:rPr>
        <w:t xml:space="preserve"> Humanos, </w:t>
      </w:r>
      <w:proofErr w:type="spellStart"/>
      <w:r w:rsidRPr="00A44233">
        <w:rPr>
          <w:rFonts w:cs="Calibri"/>
          <w:i/>
          <w:sz w:val="16"/>
          <w:szCs w:val="16"/>
        </w:rPr>
        <w:t>Fondo</w:t>
      </w:r>
      <w:proofErr w:type="spellEnd"/>
      <w:r w:rsidRPr="00A44233">
        <w:rPr>
          <w:rFonts w:cs="Calibri"/>
          <w:i/>
          <w:sz w:val="16"/>
          <w:szCs w:val="16"/>
        </w:rPr>
        <w:t xml:space="preserve">, </w:t>
      </w:r>
      <w:proofErr w:type="spellStart"/>
      <w:r w:rsidRPr="00A44233">
        <w:rPr>
          <w:rFonts w:cs="Calibri"/>
          <w:i/>
          <w:sz w:val="16"/>
          <w:szCs w:val="16"/>
        </w:rPr>
        <w:t>Reparaciones</w:t>
      </w:r>
      <w:proofErr w:type="spellEnd"/>
      <w:r w:rsidRPr="00A44233">
        <w:rPr>
          <w:rFonts w:cs="Calibri"/>
          <w:i/>
          <w:sz w:val="16"/>
          <w:szCs w:val="16"/>
        </w:rPr>
        <w:t xml:space="preserve"> y Costas</w:t>
      </w:r>
      <w:r>
        <w:rPr>
          <w:rFonts w:cs="Calibri"/>
          <w:sz w:val="16"/>
          <w:szCs w:val="16"/>
        </w:rPr>
        <w:t>,</w:t>
      </w:r>
      <w:r w:rsidRPr="00032DC6">
        <w:rPr>
          <w:rFonts w:cs="Calibri"/>
          <w:sz w:val="16"/>
          <w:szCs w:val="16"/>
        </w:rPr>
        <w:t xml:space="preserve"> </w:t>
      </w:r>
      <w:r w:rsidRPr="00A44233">
        <w:rPr>
          <w:rFonts w:cs="Calibri"/>
          <w:i/>
          <w:sz w:val="16"/>
          <w:szCs w:val="16"/>
        </w:rPr>
        <w:t xml:space="preserve">Caso </w:t>
      </w:r>
      <w:proofErr w:type="spellStart"/>
      <w:r w:rsidRPr="00A44233">
        <w:rPr>
          <w:rFonts w:cs="Calibri"/>
          <w:i/>
          <w:sz w:val="16"/>
          <w:szCs w:val="16"/>
        </w:rPr>
        <w:t>Barbani</w:t>
      </w:r>
      <w:proofErr w:type="spellEnd"/>
      <w:r w:rsidRPr="00A44233">
        <w:rPr>
          <w:rFonts w:cs="Calibri"/>
          <w:i/>
          <w:sz w:val="16"/>
          <w:szCs w:val="16"/>
        </w:rPr>
        <w:t xml:space="preserve"> y </w:t>
      </w:r>
      <w:proofErr w:type="spellStart"/>
      <w:r w:rsidRPr="00A44233">
        <w:rPr>
          <w:rFonts w:cs="Calibri"/>
          <w:i/>
          <w:sz w:val="16"/>
          <w:szCs w:val="16"/>
        </w:rPr>
        <w:t>Otros</w:t>
      </w:r>
      <w:proofErr w:type="spellEnd"/>
      <w:r w:rsidRPr="00A44233">
        <w:rPr>
          <w:rFonts w:cs="Calibri"/>
          <w:i/>
          <w:sz w:val="16"/>
          <w:szCs w:val="16"/>
        </w:rPr>
        <w:t xml:space="preserve"> VS. </w:t>
      </w:r>
      <w:proofErr w:type="spellStart"/>
      <w:r w:rsidRPr="00A44233">
        <w:rPr>
          <w:rFonts w:cs="Calibri"/>
          <w:i/>
          <w:sz w:val="16"/>
          <w:szCs w:val="16"/>
        </w:rPr>
        <w:t>Uruguay</w:t>
      </w:r>
      <w:proofErr w:type="spellEnd"/>
      <w:r w:rsidRPr="00A44233">
        <w:rPr>
          <w:rFonts w:cs="Calibri"/>
          <w:i/>
          <w:sz w:val="16"/>
          <w:szCs w:val="16"/>
        </w:rPr>
        <w:t>,</w:t>
      </w:r>
      <w:r w:rsidRPr="00032DC6">
        <w:rPr>
          <w:rFonts w:cs="Calibri"/>
          <w:sz w:val="16"/>
          <w:szCs w:val="16"/>
        </w:rPr>
        <w:t xml:space="preserve"> de 13 de </w:t>
      </w:r>
      <w:proofErr w:type="spellStart"/>
      <w:r w:rsidRPr="00032DC6">
        <w:rPr>
          <w:rFonts w:cs="Calibri"/>
          <w:sz w:val="16"/>
          <w:szCs w:val="16"/>
        </w:rPr>
        <w:t>octubre</w:t>
      </w:r>
      <w:proofErr w:type="spellEnd"/>
      <w:r w:rsidRPr="00032DC6">
        <w:rPr>
          <w:rFonts w:cs="Calibri"/>
          <w:sz w:val="16"/>
          <w:szCs w:val="16"/>
        </w:rPr>
        <w:t xml:space="preserve"> de 2011, III. </w:t>
      </w:r>
      <w:proofErr w:type="spellStart"/>
      <w:r w:rsidRPr="00032DC6">
        <w:rPr>
          <w:rFonts w:cs="Calibri"/>
          <w:sz w:val="16"/>
          <w:szCs w:val="16"/>
        </w:rPr>
        <w:t>Consideraciones</w:t>
      </w:r>
      <w:proofErr w:type="spellEnd"/>
      <w:r w:rsidRPr="00032DC6">
        <w:rPr>
          <w:rFonts w:cs="Calibri"/>
          <w:sz w:val="16"/>
          <w:szCs w:val="16"/>
        </w:rPr>
        <w:t xml:space="preserve"> </w:t>
      </w:r>
      <w:proofErr w:type="spellStart"/>
      <w:r w:rsidRPr="00032DC6">
        <w:rPr>
          <w:rFonts w:cs="Calibri"/>
          <w:sz w:val="16"/>
          <w:szCs w:val="16"/>
        </w:rPr>
        <w:t>Generales</w:t>
      </w:r>
      <w:proofErr w:type="spellEnd"/>
      <w:r w:rsidRPr="00032DC6">
        <w:rPr>
          <w:rFonts w:cs="Calibri"/>
          <w:sz w:val="16"/>
          <w:szCs w:val="16"/>
        </w:rPr>
        <w:t>.</w:t>
      </w:r>
    </w:p>
  </w:footnote>
  <w:footnote w:id="28">
    <w:p w:rsidR="00F0427B" w:rsidRPr="00032DC6" w:rsidRDefault="00F0427B" w:rsidP="00F0427B">
      <w:pPr>
        <w:pStyle w:val="Textonotapie"/>
        <w:jc w:val="both"/>
        <w:rPr>
          <w:rFonts w:cs="Calibri"/>
          <w:sz w:val="16"/>
          <w:szCs w:val="16"/>
          <w:lang w:val="es-ES"/>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r w:rsidRPr="00032DC6">
        <w:rPr>
          <w:rFonts w:cs="Calibri"/>
          <w:sz w:val="16"/>
          <w:szCs w:val="16"/>
          <w:lang w:val="es-ES"/>
        </w:rPr>
        <w:t>Arts. 62.1y 3 de la Convención y 38.1.del Estatuto de la Corte Internacional de Justicia.</w:t>
      </w:r>
    </w:p>
  </w:footnote>
  <w:footnote w:id="29">
    <w:p w:rsidR="00F0427B" w:rsidRPr="00032DC6" w:rsidRDefault="00F0427B" w:rsidP="00F0427B">
      <w:pPr>
        <w:pStyle w:val="Textonotapie"/>
        <w:jc w:val="both"/>
        <w:rPr>
          <w:rFonts w:cs="Calibri"/>
          <w:sz w:val="16"/>
          <w:szCs w:val="16"/>
        </w:rPr>
      </w:pPr>
      <w:r w:rsidRPr="00032DC6">
        <w:rPr>
          <w:rStyle w:val="Refdenotaalpie"/>
          <w:rFonts w:cs="Calibri"/>
          <w:sz w:val="16"/>
          <w:szCs w:val="16"/>
        </w:rPr>
        <w:footnoteRef/>
      </w:r>
      <w:r w:rsidRPr="00032DC6">
        <w:rPr>
          <w:rFonts w:cs="Calibri"/>
          <w:sz w:val="16"/>
          <w:szCs w:val="16"/>
        </w:rPr>
        <w:t xml:space="preserve"> </w:t>
      </w:r>
      <w:r w:rsidRPr="00032DC6">
        <w:rPr>
          <w:rFonts w:cs="Calibri"/>
          <w:sz w:val="16"/>
          <w:szCs w:val="16"/>
        </w:rPr>
        <w:tab/>
      </w:r>
      <w:proofErr w:type="spellStart"/>
      <w:r w:rsidRPr="00032DC6">
        <w:rPr>
          <w:rFonts w:cs="Calibri"/>
          <w:sz w:val="16"/>
          <w:szCs w:val="16"/>
        </w:rPr>
        <w:t>Arts</w:t>
      </w:r>
      <w:proofErr w:type="spellEnd"/>
      <w:r w:rsidRPr="00032DC6">
        <w:rPr>
          <w:rFonts w:cs="Calibri"/>
          <w:sz w:val="16"/>
          <w:szCs w:val="16"/>
        </w:rPr>
        <w:t xml:space="preserve">. 63.1 de </w:t>
      </w:r>
      <w:proofErr w:type="spellStart"/>
      <w:proofErr w:type="gramStart"/>
      <w:r w:rsidRPr="00032DC6">
        <w:rPr>
          <w:rFonts w:cs="Calibri"/>
          <w:sz w:val="16"/>
          <w:szCs w:val="16"/>
        </w:rPr>
        <w:t>la</w:t>
      </w:r>
      <w:proofErr w:type="spellEnd"/>
      <w:proofErr w:type="gramEnd"/>
      <w:r w:rsidRPr="00032DC6">
        <w:rPr>
          <w:rFonts w:cs="Calibri"/>
          <w:sz w:val="16"/>
          <w:szCs w:val="16"/>
        </w:rPr>
        <w:t xml:space="preserve"> </w:t>
      </w:r>
      <w:proofErr w:type="spellStart"/>
      <w:r w:rsidRPr="00032DC6">
        <w:rPr>
          <w:rFonts w:cs="Calibri"/>
          <w:sz w:val="16"/>
          <w:szCs w:val="16"/>
        </w:rPr>
        <w:t>Convención</w:t>
      </w:r>
      <w:proofErr w:type="spellEnd"/>
      <w:r w:rsidRPr="00032DC6">
        <w:rPr>
          <w:rFonts w:cs="Calibri"/>
          <w:sz w:val="16"/>
          <w:szCs w:val="16"/>
        </w:rPr>
        <w:t xml:space="preserve"> y 59 </w:t>
      </w:r>
      <w:proofErr w:type="spellStart"/>
      <w:r w:rsidRPr="00032DC6">
        <w:rPr>
          <w:rFonts w:cs="Calibri"/>
          <w:sz w:val="16"/>
          <w:szCs w:val="16"/>
        </w:rPr>
        <w:t>del</w:t>
      </w:r>
      <w:proofErr w:type="spellEnd"/>
      <w:r w:rsidRPr="00032DC6">
        <w:rPr>
          <w:rFonts w:cs="Calibri"/>
          <w:sz w:val="16"/>
          <w:szCs w:val="16"/>
        </w:rPr>
        <w:t xml:space="preserve"> Estatuto de </w:t>
      </w:r>
      <w:proofErr w:type="spellStart"/>
      <w:r w:rsidRPr="00032DC6">
        <w:rPr>
          <w:rFonts w:cs="Calibri"/>
          <w:sz w:val="16"/>
          <w:szCs w:val="16"/>
        </w:rPr>
        <w:t>la</w:t>
      </w:r>
      <w:proofErr w:type="spellEnd"/>
      <w:r w:rsidRPr="00032DC6">
        <w:rPr>
          <w:rFonts w:cs="Calibri"/>
          <w:sz w:val="16"/>
          <w:szCs w:val="16"/>
        </w:rPr>
        <w:t xml:space="preserve"> Corte Internacional de </w:t>
      </w:r>
      <w:proofErr w:type="spellStart"/>
      <w:r w:rsidRPr="00032DC6">
        <w:rPr>
          <w:rFonts w:cs="Calibri"/>
          <w:sz w:val="16"/>
          <w:szCs w:val="16"/>
        </w:rPr>
        <w:t>Justicia</w:t>
      </w:r>
      <w:proofErr w:type="spellEnd"/>
      <w:r w:rsidRPr="00032DC6">
        <w:rPr>
          <w:rFonts w:cs="Calibri"/>
          <w:sz w:val="16"/>
          <w:szCs w:val="16"/>
        </w:rPr>
        <w:t>.</w:t>
      </w:r>
    </w:p>
  </w:footnote>
  <w:footnote w:id="30">
    <w:p w:rsidR="00F0427B" w:rsidRPr="007926DC" w:rsidRDefault="00F0427B" w:rsidP="00F0427B">
      <w:pPr>
        <w:jc w:val="both"/>
        <w:rPr>
          <w:rFonts w:cs="Calibri"/>
          <w:szCs w:val="16"/>
        </w:rPr>
      </w:pPr>
      <w:r w:rsidRPr="00032DC6">
        <w:rPr>
          <w:rStyle w:val="Refdenotaalpie"/>
          <w:rFonts w:cs="Calibri"/>
          <w:szCs w:val="16"/>
        </w:rPr>
        <w:footnoteRef/>
      </w:r>
      <w:r w:rsidRPr="00032DC6">
        <w:rPr>
          <w:rFonts w:cs="Calibri"/>
          <w:szCs w:val="16"/>
        </w:rPr>
        <w:t xml:space="preserve"> </w:t>
      </w:r>
      <w:r w:rsidRPr="00032DC6">
        <w:rPr>
          <w:rFonts w:cs="Calibri"/>
          <w:szCs w:val="16"/>
        </w:rPr>
        <w:tab/>
      </w:r>
      <w:r w:rsidRPr="00032DC6">
        <w:rPr>
          <w:rFonts w:cs="Calibri"/>
          <w:szCs w:val="16"/>
          <w:lang w:val="es-MX"/>
        </w:rPr>
        <w:t xml:space="preserve">Voto Concurrente, </w:t>
      </w:r>
      <w:r w:rsidRPr="00A44233">
        <w:rPr>
          <w:rFonts w:cs="Calibri"/>
          <w:i/>
          <w:szCs w:val="16"/>
          <w:lang w:val="es-MX"/>
        </w:rPr>
        <w:t xml:space="preserve">Caso Torres </w:t>
      </w:r>
      <w:proofErr w:type="spellStart"/>
      <w:r w:rsidRPr="00A44233">
        <w:rPr>
          <w:rFonts w:cs="Calibri"/>
          <w:i/>
          <w:szCs w:val="16"/>
          <w:lang w:val="es-MX"/>
        </w:rPr>
        <w:t>Millacura</w:t>
      </w:r>
      <w:proofErr w:type="spellEnd"/>
      <w:r w:rsidRPr="00A44233">
        <w:rPr>
          <w:rFonts w:cs="Calibri"/>
          <w:i/>
          <w:szCs w:val="16"/>
          <w:lang w:val="es-MX"/>
        </w:rPr>
        <w:t xml:space="preserve"> y Otros Vs. Argentina</w:t>
      </w:r>
      <w:r w:rsidRPr="00032DC6">
        <w:rPr>
          <w:rFonts w:cs="Calibri"/>
          <w:szCs w:val="16"/>
          <w:lang w:val="es-MX"/>
        </w:rPr>
        <w:t xml:space="preserve">, Sentencia de 26 de agosto de 2011, </w:t>
      </w:r>
      <w:r w:rsidRPr="00A44233">
        <w:rPr>
          <w:rFonts w:cs="Calibri"/>
          <w:i/>
          <w:szCs w:val="16"/>
          <w:lang w:val="es-MX"/>
        </w:rPr>
        <w:t>Fondo, Reparaciones y Costas,</w:t>
      </w:r>
      <w:r w:rsidRPr="00032DC6">
        <w:rPr>
          <w:rFonts w:cs="Calibri"/>
          <w:szCs w:val="16"/>
          <w:lang w:val="es-MX"/>
        </w:rPr>
        <w:t xml:space="preserve"> y Voto Concurrente </w:t>
      </w:r>
      <w:r w:rsidRPr="00A44233">
        <w:rPr>
          <w:rFonts w:cs="Calibri"/>
          <w:i/>
          <w:szCs w:val="16"/>
          <w:lang w:val="es-MX"/>
        </w:rPr>
        <w:t>Caso Familia Barrios Vs. Venezuela,</w:t>
      </w:r>
      <w:r w:rsidRPr="00032DC6">
        <w:rPr>
          <w:rFonts w:cs="Calibri"/>
          <w:szCs w:val="16"/>
          <w:lang w:val="es-MX"/>
        </w:rPr>
        <w:t xml:space="preserve"> Sentenc</w:t>
      </w:r>
      <w:r>
        <w:rPr>
          <w:rFonts w:cs="Calibri"/>
          <w:szCs w:val="16"/>
          <w:lang w:val="es-MX"/>
        </w:rPr>
        <w:t xml:space="preserve">ia de 24 de </w:t>
      </w:r>
      <w:r w:rsidRPr="007926DC">
        <w:rPr>
          <w:rFonts w:cs="Calibri"/>
          <w:szCs w:val="16"/>
          <w:lang w:val="es-MX"/>
        </w:rPr>
        <w:t xml:space="preserve">noviembre de 2011, </w:t>
      </w:r>
      <w:r w:rsidRPr="007926DC">
        <w:rPr>
          <w:rFonts w:cs="Calibri"/>
          <w:bCs/>
          <w:i/>
          <w:iCs/>
          <w:szCs w:val="16"/>
        </w:rPr>
        <w:t>Fondo, Reparaciones y Costas</w:t>
      </w:r>
      <w:r w:rsidRPr="007926DC">
        <w:rPr>
          <w:rFonts w:cs="Calibri"/>
          <w:bCs/>
          <w:iCs/>
          <w:szCs w:val="16"/>
        </w:rPr>
        <w:t>.</w:t>
      </w:r>
    </w:p>
  </w:footnote>
  <w:footnote w:id="31">
    <w:p w:rsidR="00F0427B" w:rsidRPr="00032DC6" w:rsidRDefault="00F0427B" w:rsidP="00F0427B">
      <w:pPr>
        <w:pStyle w:val="Ttulo"/>
        <w:jc w:val="both"/>
        <w:rPr>
          <w:rFonts w:eastAsia="MS Mincho" w:cs="Calibri"/>
          <w:sz w:val="16"/>
          <w:szCs w:val="16"/>
        </w:rPr>
      </w:pPr>
      <w:r w:rsidRPr="007926DC">
        <w:rPr>
          <w:rStyle w:val="Refdenotaalpie"/>
          <w:rFonts w:cs="Calibri"/>
          <w:sz w:val="16"/>
          <w:szCs w:val="16"/>
        </w:rPr>
        <w:footnoteRef/>
      </w:r>
      <w:r w:rsidRPr="007926DC">
        <w:rPr>
          <w:rFonts w:cs="Calibri"/>
          <w:sz w:val="16"/>
          <w:szCs w:val="16"/>
        </w:rPr>
        <w:t xml:space="preserve"> </w:t>
      </w:r>
      <w:r w:rsidRPr="007926DC">
        <w:rPr>
          <w:rFonts w:cs="Calibri"/>
          <w:sz w:val="16"/>
          <w:szCs w:val="16"/>
        </w:rPr>
        <w:tab/>
        <w:t xml:space="preserve">Voto Disidente, Resolución sobre </w:t>
      </w:r>
      <w:r w:rsidRPr="007926DC">
        <w:rPr>
          <w:rFonts w:cs="Calibri"/>
          <w:i/>
          <w:sz w:val="16"/>
          <w:szCs w:val="16"/>
        </w:rPr>
        <w:t xml:space="preserve">Medidas Provisionales Asunto </w:t>
      </w:r>
      <w:proofErr w:type="spellStart"/>
      <w:r w:rsidRPr="007926DC">
        <w:rPr>
          <w:rFonts w:cs="Calibri"/>
          <w:i/>
          <w:sz w:val="16"/>
          <w:szCs w:val="16"/>
        </w:rPr>
        <w:t>Millacura</w:t>
      </w:r>
      <w:proofErr w:type="spellEnd"/>
      <w:r w:rsidRPr="007926DC">
        <w:rPr>
          <w:rFonts w:cs="Calibri"/>
          <w:i/>
          <w:sz w:val="16"/>
          <w:szCs w:val="16"/>
        </w:rPr>
        <w:t xml:space="preserve"> </w:t>
      </w:r>
      <w:proofErr w:type="spellStart"/>
      <w:r w:rsidRPr="007926DC">
        <w:rPr>
          <w:rFonts w:cs="Calibri"/>
          <w:i/>
          <w:sz w:val="16"/>
          <w:szCs w:val="16"/>
        </w:rPr>
        <w:t>Lllaipén</w:t>
      </w:r>
      <w:proofErr w:type="spellEnd"/>
      <w:r w:rsidRPr="007926DC">
        <w:rPr>
          <w:rFonts w:cs="Calibri"/>
          <w:i/>
          <w:sz w:val="16"/>
          <w:szCs w:val="16"/>
        </w:rPr>
        <w:t xml:space="preserve"> respecto de Argentina</w:t>
      </w:r>
      <w:r w:rsidRPr="007926DC">
        <w:rPr>
          <w:rFonts w:cs="Calibri"/>
          <w:sz w:val="16"/>
          <w:szCs w:val="16"/>
        </w:rPr>
        <w:t>, de 25 de noviembre de 2011.</w:t>
      </w:r>
      <w:r w:rsidRPr="00032DC6">
        <w:rPr>
          <w:rFonts w:eastAsia="MS Mincho" w:cs="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60D" w:rsidRDefault="00B6160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160D" w:rsidRDefault="00B6160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60D" w:rsidRPr="00F60F83" w:rsidRDefault="00B6160D">
    <w:pPr>
      <w:pStyle w:val="Encabezado"/>
      <w:framePr w:wrap="around" w:vAnchor="text" w:hAnchor="margin" w:xAlign="center" w:y="1"/>
      <w:rPr>
        <w:rStyle w:val="Nmerodepgina"/>
        <w:rFonts w:ascii="Verdana" w:hAnsi="Verdana"/>
        <w:sz w:val="20"/>
      </w:rPr>
    </w:pPr>
    <w:r w:rsidRPr="00F60F83">
      <w:rPr>
        <w:rStyle w:val="Nmerodepgina"/>
        <w:rFonts w:ascii="Verdana" w:hAnsi="Verdana"/>
        <w:sz w:val="20"/>
      </w:rPr>
      <w:fldChar w:fldCharType="begin"/>
    </w:r>
    <w:r w:rsidRPr="00F60F83">
      <w:rPr>
        <w:rStyle w:val="Nmerodepgina"/>
        <w:rFonts w:ascii="Verdana" w:hAnsi="Verdana"/>
        <w:sz w:val="20"/>
      </w:rPr>
      <w:instrText xml:space="preserve">PAGE  </w:instrText>
    </w:r>
    <w:r w:rsidRPr="00F60F83">
      <w:rPr>
        <w:rStyle w:val="Nmerodepgina"/>
        <w:rFonts w:ascii="Verdana" w:hAnsi="Verdana"/>
        <w:sz w:val="20"/>
      </w:rPr>
      <w:fldChar w:fldCharType="separate"/>
    </w:r>
    <w:r w:rsidR="00163FF0">
      <w:rPr>
        <w:rStyle w:val="Nmerodepgina"/>
        <w:rFonts w:ascii="Verdana" w:hAnsi="Verdana"/>
        <w:noProof/>
        <w:sz w:val="20"/>
      </w:rPr>
      <w:t>15</w:t>
    </w:r>
    <w:r w:rsidRPr="00F60F83">
      <w:rPr>
        <w:rStyle w:val="Nmerodepgina"/>
        <w:rFonts w:ascii="Verdana" w:hAnsi="Verdana"/>
        <w:sz w:val="20"/>
      </w:rPr>
      <w:fldChar w:fldCharType="end"/>
    </w:r>
  </w:p>
  <w:p w:rsidR="00B6160D" w:rsidRDefault="00B6160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92" w:rsidRDefault="00C23492">
    <w:pPr>
      <w:pStyle w:val="Encabezado"/>
      <w:jc w:val="center"/>
    </w:pPr>
    <w:r>
      <w:fldChar w:fldCharType="begin"/>
    </w:r>
    <w:r>
      <w:instrText xml:space="preserve"> PAGE   \* MERGEFORMAT </w:instrText>
    </w:r>
    <w:r>
      <w:fldChar w:fldCharType="separate"/>
    </w:r>
    <w:r w:rsidR="00163FF0">
      <w:rPr>
        <w:noProof/>
      </w:rPr>
      <w:t>2</w:t>
    </w:r>
    <w:r>
      <w:fldChar w:fldCharType="end"/>
    </w:r>
  </w:p>
  <w:p w:rsidR="00C23492" w:rsidRDefault="00C234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20B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403532"/>
    <w:multiLevelType w:val="hybridMultilevel"/>
    <w:tmpl w:val="F7E6BBE4"/>
    <w:name w:val="WW8Num23"/>
    <w:lvl w:ilvl="0" w:tplc="965A7ADE">
      <w:start w:val="1"/>
      <w:numFmt w:val="decimal"/>
      <w:lvlText w:val="%1."/>
      <w:lvlJc w:val="left"/>
      <w:pPr>
        <w:tabs>
          <w:tab w:val="num" w:pos="567"/>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35D4625"/>
    <w:multiLevelType w:val="hybridMultilevel"/>
    <w:tmpl w:val="708E8DAE"/>
    <w:lvl w:ilvl="0" w:tplc="D1388696">
      <w:start w:val="1"/>
      <w:numFmt w:val="lowerLetter"/>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B4480F"/>
    <w:multiLevelType w:val="hybridMultilevel"/>
    <w:tmpl w:val="95880FAE"/>
    <w:lvl w:ilvl="0" w:tplc="0A4E8E64">
      <w:start w:val="1"/>
      <w:numFmt w:val="lowerLetter"/>
      <w:lvlText w:val="%1)"/>
      <w:lvlJc w:val="left"/>
      <w:pPr>
        <w:tabs>
          <w:tab w:val="num" w:pos="1080"/>
        </w:tabs>
        <w:ind w:left="72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6B1109"/>
    <w:multiLevelType w:val="hybridMultilevel"/>
    <w:tmpl w:val="C19401A6"/>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CD16263"/>
    <w:multiLevelType w:val="hybridMultilevel"/>
    <w:tmpl w:val="6CA805CC"/>
    <w:lvl w:ilvl="0" w:tplc="A2845490">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072B43"/>
    <w:multiLevelType w:val="hybridMultilevel"/>
    <w:tmpl w:val="8C9249EC"/>
    <w:lvl w:ilvl="0" w:tplc="441872C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562ADC"/>
    <w:multiLevelType w:val="hybridMultilevel"/>
    <w:tmpl w:val="993058DC"/>
    <w:lvl w:ilvl="0" w:tplc="469C4B34">
      <w:start w:val="1"/>
      <w:numFmt w:val="decimal"/>
      <w:lvlText w:val="%1."/>
      <w:lvlJc w:val="left"/>
      <w:pPr>
        <w:tabs>
          <w:tab w:val="num" w:pos="720"/>
        </w:tabs>
        <w:ind w:left="720" w:hanging="720"/>
      </w:pPr>
      <w:rPr>
        <w:rFonts w:ascii="Verdana" w:hAnsi="Verdana" w:hint="default"/>
        <w:color w:val="auto"/>
        <w:sz w:val="20"/>
        <w:szCs w:val="2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nsid w:val="15B44E55"/>
    <w:multiLevelType w:val="hybridMultilevel"/>
    <w:tmpl w:val="90EC247A"/>
    <w:lvl w:ilvl="0" w:tplc="ED741E3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18CC1099"/>
    <w:multiLevelType w:val="hybridMultilevel"/>
    <w:tmpl w:val="EB42D83A"/>
    <w:lvl w:ilvl="0" w:tplc="D1388696">
      <w:start w:val="1"/>
      <w:numFmt w:val="lowerLetter"/>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291937"/>
    <w:multiLevelType w:val="multilevel"/>
    <w:tmpl w:val="0EF05D1C"/>
    <w:lvl w:ilvl="0">
      <w:start w:val="1"/>
      <w:numFmt w:val="decimal"/>
      <w:lvlText w:val="%1."/>
      <w:lvlJc w:val="left"/>
      <w:pPr>
        <w:tabs>
          <w:tab w:val="num" w:pos="720"/>
        </w:tabs>
        <w:ind w:left="720" w:hanging="720"/>
      </w:pPr>
    </w:lvl>
    <w:lvl w:ilvl="1">
      <w:start w:val="1"/>
      <w:numFmt w:val="lowerLetter"/>
      <w:lvlText w:val="%2)"/>
      <w:lvlJc w:val="left"/>
      <w:pPr>
        <w:tabs>
          <w:tab w:val="num" w:pos="1080"/>
        </w:tabs>
        <w:ind w:left="720" w:firstLine="0"/>
      </w:pPr>
      <w:rPr>
        <w:rFonts w:hint="default"/>
      </w:rPr>
    </w:lvl>
    <w:lvl w:ilvl="2">
      <w:start w:val="1"/>
      <w:numFmt w:val="lowerRoman"/>
      <w:lvlText w:val="%3."/>
      <w:lvlJc w:val="right"/>
      <w:pPr>
        <w:tabs>
          <w:tab w:val="num" w:pos="1980"/>
        </w:tabs>
        <w:ind w:left="1980" w:hanging="360"/>
      </w:pPr>
    </w:lvl>
    <w:lvl w:ilvl="3">
      <w:start w:val="1"/>
      <w:numFmt w:val="lowerLetter"/>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1C1333A3"/>
    <w:multiLevelType w:val="hybridMultilevel"/>
    <w:tmpl w:val="14F0B780"/>
    <w:lvl w:ilvl="0" w:tplc="A2845490">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EE16161"/>
    <w:multiLevelType w:val="hybridMultilevel"/>
    <w:tmpl w:val="643CA75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1F0966BF"/>
    <w:multiLevelType w:val="hybridMultilevel"/>
    <w:tmpl w:val="18F4992A"/>
    <w:lvl w:ilvl="0" w:tplc="FC5877B0">
      <w:start w:val="1"/>
      <w:numFmt w:val="decimal"/>
      <w:lvlText w:val="%1."/>
      <w:lvlJc w:val="left"/>
      <w:pPr>
        <w:tabs>
          <w:tab w:val="num" w:pos="360"/>
        </w:tabs>
        <w:ind w:left="360" w:hanging="360"/>
      </w:pPr>
      <w:rPr>
        <w:b w:val="0"/>
        <w:sz w:val="20"/>
        <w:szCs w:val="20"/>
      </w:rPr>
    </w:lvl>
    <w:lvl w:ilvl="1" w:tplc="000F0409">
      <w:start w:val="1"/>
      <w:numFmt w:val="decimal"/>
      <w:lvlText w:val="%2."/>
      <w:lvlJc w:val="left"/>
      <w:pPr>
        <w:tabs>
          <w:tab w:val="num" w:pos="1440"/>
        </w:tabs>
        <w:ind w:left="1440" w:hanging="360"/>
      </w:pPr>
      <w:rPr>
        <w:sz w:val="20"/>
        <w:szCs w:val="20"/>
      </w:rPr>
    </w:lvl>
    <w:lvl w:ilvl="2" w:tplc="703ABD20">
      <w:start w:val="3"/>
      <w:numFmt w:val="lowerLetter"/>
      <w:lvlText w:val="%3)"/>
      <w:lvlJc w:val="left"/>
      <w:pPr>
        <w:tabs>
          <w:tab w:val="num" w:pos="2700"/>
        </w:tabs>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248B1C0D"/>
    <w:multiLevelType w:val="multilevel"/>
    <w:tmpl w:val="5456FDC0"/>
    <w:lvl w:ilvl="0">
      <w:start w:val="1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B841508"/>
    <w:multiLevelType w:val="hybridMultilevel"/>
    <w:tmpl w:val="BBA2DEC4"/>
    <w:lvl w:ilvl="0" w:tplc="C47E9B06">
      <w:start w:val="7"/>
      <w:numFmt w:val="decimal"/>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0526E01"/>
    <w:multiLevelType w:val="hybridMultilevel"/>
    <w:tmpl w:val="91C815B8"/>
    <w:lvl w:ilvl="0" w:tplc="99EC6BE8">
      <w:start w:val="15"/>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24A7546"/>
    <w:multiLevelType w:val="hybridMultilevel"/>
    <w:tmpl w:val="BD086E92"/>
    <w:lvl w:ilvl="0" w:tplc="A284549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1233E8"/>
    <w:multiLevelType w:val="hybridMultilevel"/>
    <w:tmpl w:val="C5FE3CC6"/>
    <w:lvl w:ilvl="0" w:tplc="2FB6CC1E">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77C415E"/>
    <w:multiLevelType w:val="multilevel"/>
    <w:tmpl w:val="48600A48"/>
    <w:lvl w:ilvl="0">
      <w:start w:val="1"/>
      <w:numFmt w:val="lowerLetter"/>
      <w:lvlText w:val="%1)"/>
      <w:lvlJc w:val="left"/>
      <w:pPr>
        <w:tabs>
          <w:tab w:val="num" w:pos="108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1691100"/>
    <w:multiLevelType w:val="hybridMultilevel"/>
    <w:tmpl w:val="A7702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EA7F3A"/>
    <w:multiLevelType w:val="hybridMultilevel"/>
    <w:tmpl w:val="8A289182"/>
    <w:lvl w:ilvl="0" w:tplc="ECDC6754">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5FF0D41"/>
    <w:multiLevelType w:val="hybridMultilevel"/>
    <w:tmpl w:val="1688BDA0"/>
    <w:lvl w:ilvl="0" w:tplc="143CB53A">
      <w:start w:val="1"/>
      <w:numFmt w:val="decimal"/>
      <w:lvlText w:val="%1."/>
      <w:lvlJc w:val="left"/>
      <w:pPr>
        <w:tabs>
          <w:tab w:val="num" w:pos="680"/>
        </w:tabs>
        <w:ind w:left="0" w:firstLine="0"/>
      </w:pPr>
      <w:rPr>
        <w:rFonts w:hint="default"/>
        <w:b w:val="0"/>
        <w:i w:val="0"/>
        <w:strike w:val="0"/>
        <w:color w:val="auto"/>
        <w:sz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6AB4642"/>
    <w:multiLevelType w:val="multilevel"/>
    <w:tmpl w:val="48600A48"/>
    <w:lvl w:ilvl="0">
      <w:start w:val="1"/>
      <w:numFmt w:val="lowerLetter"/>
      <w:lvlText w:val="%1)"/>
      <w:lvlJc w:val="left"/>
      <w:pPr>
        <w:tabs>
          <w:tab w:val="num" w:pos="108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72170E2"/>
    <w:multiLevelType w:val="hybridMultilevel"/>
    <w:tmpl w:val="8F448A3A"/>
    <w:lvl w:ilvl="0" w:tplc="9F6AEB96">
      <w:numFmt w:val="bullet"/>
      <w:lvlText w:val="-"/>
      <w:lvlJc w:val="left"/>
      <w:pPr>
        <w:tabs>
          <w:tab w:val="num" w:pos="720"/>
        </w:tabs>
        <w:ind w:left="720" w:hanging="360"/>
      </w:pPr>
      <w:rPr>
        <w:rFonts w:ascii="Times New Roman" w:eastAsia="Times New Roman" w:hAnsi="Times New Roman" w:hint="default"/>
        <w:b/>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569312AD"/>
    <w:multiLevelType w:val="hybridMultilevel"/>
    <w:tmpl w:val="F132AE1A"/>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8D8206A"/>
    <w:multiLevelType w:val="hybridMultilevel"/>
    <w:tmpl w:val="B5BED01C"/>
    <w:lvl w:ilvl="0" w:tplc="2FB6CC1E">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5B936DAF"/>
    <w:multiLevelType w:val="hybridMultilevel"/>
    <w:tmpl w:val="FC3297E4"/>
    <w:lvl w:ilvl="0" w:tplc="9B1E4E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C0F62CF"/>
    <w:multiLevelType w:val="hybridMultilevel"/>
    <w:tmpl w:val="46C216B8"/>
    <w:lvl w:ilvl="0" w:tplc="A2845490">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A3C406B"/>
    <w:multiLevelType w:val="hybridMultilevel"/>
    <w:tmpl w:val="444EE8CA"/>
    <w:lvl w:ilvl="0" w:tplc="3D44DB66">
      <w:start w:val="1"/>
      <w:numFmt w:val="decimal"/>
      <w:lvlText w:val="%1."/>
      <w:lvlJc w:val="left"/>
      <w:pPr>
        <w:tabs>
          <w:tab w:val="num" w:pos="720"/>
        </w:tabs>
        <w:ind w:left="720" w:hanging="360"/>
      </w:pPr>
      <w:rPr>
        <w:rFonts w:ascii="Verdana" w:hAnsi="Verdana" w:hint="default"/>
        <w:b w:val="0"/>
        <w:strike w:val="0"/>
        <w:sz w:val="20"/>
        <w:szCs w:val="20"/>
      </w:rPr>
    </w:lvl>
    <w:lvl w:ilvl="1" w:tplc="0F64C892">
      <w:start w:val="7"/>
      <w:numFmt w:val="bullet"/>
      <w:lvlText w:val=""/>
      <w:lvlJc w:val="left"/>
      <w:pPr>
        <w:tabs>
          <w:tab w:val="num" w:pos="1785"/>
        </w:tabs>
        <w:ind w:left="1785" w:hanging="705"/>
      </w:pPr>
      <w:rPr>
        <w:rFonts w:ascii="Symbol" w:eastAsia="Times" w:hAnsi="Symbol" w:cs="Times New Roman"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744010E1"/>
    <w:multiLevelType w:val="hybridMultilevel"/>
    <w:tmpl w:val="EE6E9D4A"/>
    <w:lvl w:ilvl="0" w:tplc="94A4EC8E">
      <w:start w:val="2"/>
      <w:numFmt w:val="decimal"/>
      <w:lvlText w:val="%1."/>
      <w:lvlJc w:val="left"/>
      <w:pPr>
        <w:tabs>
          <w:tab w:val="num" w:pos="1080"/>
        </w:tabs>
        <w:ind w:left="1080" w:hanging="360"/>
      </w:pPr>
      <w:rPr>
        <w:rFonts w:hint="default"/>
        <w:b w:val="0"/>
      </w:rPr>
    </w:lvl>
    <w:lvl w:ilvl="1" w:tplc="0409000F">
      <w:start w:val="1"/>
      <w:numFmt w:val="decimal"/>
      <w:lvlText w:val="%2."/>
      <w:lvlJc w:val="left"/>
      <w:pPr>
        <w:tabs>
          <w:tab w:val="num" w:pos="2160"/>
        </w:tabs>
        <w:ind w:left="2160" w:hanging="360"/>
      </w:pPr>
      <w:rPr>
        <w:rFonts w:hint="default"/>
        <w:b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8"/>
  </w:num>
  <w:num w:numId="2">
    <w:abstractNumId w:val="7"/>
  </w:num>
  <w:num w:numId="3">
    <w:abstractNumId w:val="11"/>
  </w:num>
  <w:num w:numId="4">
    <w:abstractNumId w:val="3"/>
  </w:num>
  <w:num w:numId="5">
    <w:abstractNumId w:val="12"/>
  </w:num>
  <w:num w:numId="6">
    <w:abstractNumId w:val="5"/>
  </w:num>
  <w:num w:numId="7">
    <w:abstractNumId w:val="29"/>
  </w:num>
  <w:num w:numId="8">
    <w:abstractNumId w:val="24"/>
  </w:num>
  <w:num w:numId="9">
    <w:abstractNumId w:val="10"/>
  </w:num>
  <w:num w:numId="10">
    <w:abstractNumId w:val="20"/>
  </w:num>
  <w:num w:numId="11">
    <w:abstractNumId w:val="2"/>
  </w:num>
  <w:num w:numId="12">
    <w:abstractNumId w:val="8"/>
  </w:num>
  <w:num w:numId="13">
    <w:abstractNumId w:val="16"/>
  </w:num>
  <w:num w:numId="14">
    <w:abstractNumId w:val="27"/>
  </w:num>
  <w:num w:numId="15">
    <w:abstractNumId w:val="19"/>
  </w:num>
  <w:num w:numId="16">
    <w:abstractNumId w:val="21"/>
  </w:num>
  <w:num w:numId="17">
    <w:abstractNumId w:val="0"/>
  </w:num>
  <w:num w:numId="18">
    <w:abstractNumId w:val="26"/>
  </w:num>
  <w:num w:numId="19">
    <w:abstractNumId w:val="22"/>
  </w:num>
  <w:num w:numId="20">
    <w:abstractNumId w:val="6"/>
  </w:num>
  <w:num w:numId="21">
    <w:abstractNumId w:val="4"/>
  </w:num>
  <w:num w:numId="22">
    <w:abstractNumId w:val="23"/>
  </w:num>
  <w:num w:numId="23">
    <w:abstractNumId w:val="9"/>
  </w:num>
  <w:num w:numId="24">
    <w:abstractNumId w:val="28"/>
  </w:num>
  <w:num w:numId="25">
    <w:abstractNumId w:val="1"/>
  </w:num>
  <w:num w:numId="26">
    <w:abstractNumId w:val="30"/>
  </w:num>
  <w:num w:numId="27">
    <w:abstractNumId w:val="17"/>
  </w:num>
  <w:num w:numId="28">
    <w:abstractNumId w:val="13"/>
  </w:num>
  <w:num w:numId="29">
    <w:abstractNumId w:val="25"/>
  </w:num>
  <w:num w:numId="30">
    <w:abstractNumId w:val="31"/>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0EB0"/>
    <w:rsid w:val="00006044"/>
    <w:rsid w:val="000157B2"/>
    <w:rsid w:val="0007075C"/>
    <w:rsid w:val="00095DC0"/>
    <w:rsid w:val="000A775A"/>
    <w:rsid w:val="000C39CE"/>
    <w:rsid w:val="000C53D0"/>
    <w:rsid w:val="000D16DF"/>
    <w:rsid w:val="000F1317"/>
    <w:rsid w:val="000F267C"/>
    <w:rsid w:val="000F26E9"/>
    <w:rsid w:val="000F30AC"/>
    <w:rsid w:val="00102DE6"/>
    <w:rsid w:val="001350A0"/>
    <w:rsid w:val="0015517D"/>
    <w:rsid w:val="00161E39"/>
    <w:rsid w:val="00163FF0"/>
    <w:rsid w:val="001659BA"/>
    <w:rsid w:val="00191C30"/>
    <w:rsid w:val="001C4017"/>
    <w:rsid w:val="001E25F9"/>
    <w:rsid w:val="001E35A0"/>
    <w:rsid w:val="00220171"/>
    <w:rsid w:val="002237B0"/>
    <w:rsid w:val="00226D4C"/>
    <w:rsid w:val="00230416"/>
    <w:rsid w:val="00234FEF"/>
    <w:rsid w:val="00237A4E"/>
    <w:rsid w:val="002846CB"/>
    <w:rsid w:val="00286DD4"/>
    <w:rsid w:val="002B1FA4"/>
    <w:rsid w:val="002C7708"/>
    <w:rsid w:val="002E6A9A"/>
    <w:rsid w:val="002F47FA"/>
    <w:rsid w:val="00330A5A"/>
    <w:rsid w:val="003339A0"/>
    <w:rsid w:val="0036538E"/>
    <w:rsid w:val="003B1477"/>
    <w:rsid w:val="003D5B7C"/>
    <w:rsid w:val="00400033"/>
    <w:rsid w:val="004537E3"/>
    <w:rsid w:val="004750F2"/>
    <w:rsid w:val="004B0D9E"/>
    <w:rsid w:val="004B747F"/>
    <w:rsid w:val="004E1FD3"/>
    <w:rsid w:val="004E4D62"/>
    <w:rsid w:val="005116C6"/>
    <w:rsid w:val="0055655A"/>
    <w:rsid w:val="00556D33"/>
    <w:rsid w:val="00585763"/>
    <w:rsid w:val="00585F61"/>
    <w:rsid w:val="00594B7C"/>
    <w:rsid w:val="005A6671"/>
    <w:rsid w:val="005B2904"/>
    <w:rsid w:val="006059B6"/>
    <w:rsid w:val="006526E2"/>
    <w:rsid w:val="0065763B"/>
    <w:rsid w:val="0067033C"/>
    <w:rsid w:val="00674129"/>
    <w:rsid w:val="00680802"/>
    <w:rsid w:val="00693C36"/>
    <w:rsid w:val="006A4A03"/>
    <w:rsid w:val="006A6BFE"/>
    <w:rsid w:val="006E4706"/>
    <w:rsid w:val="00712F83"/>
    <w:rsid w:val="00717D40"/>
    <w:rsid w:val="00722158"/>
    <w:rsid w:val="00731F4E"/>
    <w:rsid w:val="00750187"/>
    <w:rsid w:val="0075215B"/>
    <w:rsid w:val="00756280"/>
    <w:rsid w:val="007814FA"/>
    <w:rsid w:val="007A5125"/>
    <w:rsid w:val="007C2C28"/>
    <w:rsid w:val="007C2F50"/>
    <w:rsid w:val="007E2A8B"/>
    <w:rsid w:val="007F331C"/>
    <w:rsid w:val="00803103"/>
    <w:rsid w:val="00805143"/>
    <w:rsid w:val="00810382"/>
    <w:rsid w:val="00814633"/>
    <w:rsid w:val="00844A46"/>
    <w:rsid w:val="0086213C"/>
    <w:rsid w:val="00870FF0"/>
    <w:rsid w:val="008910FB"/>
    <w:rsid w:val="008E5F30"/>
    <w:rsid w:val="009027BD"/>
    <w:rsid w:val="00915A4A"/>
    <w:rsid w:val="009332CA"/>
    <w:rsid w:val="00953E4F"/>
    <w:rsid w:val="00954267"/>
    <w:rsid w:val="009B14DA"/>
    <w:rsid w:val="00A156C4"/>
    <w:rsid w:val="00A34A64"/>
    <w:rsid w:val="00A46851"/>
    <w:rsid w:val="00A475CA"/>
    <w:rsid w:val="00A736AC"/>
    <w:rsid w:val="00AA6E3C"/>
    <w:rsid w:val="00AC0CED"/>
    <w:rsid w:val="00AD24CC"/>
    <w:rsid w:val="00AF2D80"/>
    <w:rsid w:val="00B167E8"/>
    <w:rsid w:val="00B34756"/>
    <w:rsid w:val="00B34B78"/>
    <w:rsid w:val="00B35ADA"/>
    <w:rsid w:val="00B56B92"/>
    <w:rsid w:val="00B6160D"/>
    <w:rsid w:val="00B65DD2"/>
    <w:rsid w:val="00BE680E"/>
    <w:rsid w:val="00C106C5"/>
    <w:rsid w:val="00C210CF"/>
    <w:rsid w:val="00C21C74"/>
    <w:rsid w:val="00C23492"/>
    <w:rsid w:val="00C40666"/>
    <w:rsid w:val="00C6442C"/>
    <w:rsid w:val="00C701F8"/>
    <w:rsid w:val="00C77462"/>
    <w:rsid w:val="00C8299B"/>
    <w:rsid w:val="00C83C9A"/>
    <w:rsid w:val="00CA17A2"/>
    <w:rsid w:val="00CA4626"/>
    <w:rsid w:val="00CD01F6"/>
    <w:rsid w:val="00CF2136"/>
    <w:rsid w:val="00CF3DC4"/>
    <w:rsid w:val="00D3373F"/>
    <w:rsid w:val="00D44683"/>
    <w:rsid w:val="00D56005"/>
    <w:rsid w:val="00D859C2"/>
    <w:rsid w:val="00D96A8A"/>
    <w:rsid w:val="00DA4D60"/>
    <w:rsid w:val="00DA57C2"/>
    <w:rsid w:val="00DA74DC"/>
    <w:rsid w:val="00DC20BA"/>
    <w:rsid w:val="00DC290A"/>
    <w:rsid w:val="00DC3992"/>
    <w:rsid w:val="00DD149E"/>
    <w:rsid w:val="00DE114F"/>
    <w:rsid w:val="00DE77B5"/>
    <w:rsid w:val="00E214DE"/>
    <w:rsid w:val="00E525CD"/>
    <w:rsid w:val="00E903A6"/>
    <w:rsid w:val="00E93BA5"/>
    <w:rsid w:val="00E95BB2"/>
    <w:rsid w:val="00E95BEE"/>
    <w:rsid w:val="00E96D40"/>
    <w:rsid w:val="00E96D76"/>
    <w:rsid w:val="00F0427B"/>
    <w:rsid w:val="00F35A74"/>
    <w:rsid w:val="00F957BF"/>
    <w:rsid w:val="00FB4588"/>
    <w:rsid w:val="00FB6B4D"/>
    <w:rsid w:val="00FD0AE9"/>
    <w:rsid w:val="00FD46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eastAsia="Times" w:hAnsi="Times"/>
      <w:sz w:val="24"/>
      <w:lang w:val="es-ES_tradnl" w:eastAsia="es-ES"/>
    </w:rPr>
  </w:style>
  <w:style w:type="paragraph" w:styleId="Ttulo1">
    <w:name w:val="heading 1"/>
    <w:basedOn w:val="Normal"/>
    <w:next w:val="Normal"/>
    <w:qFormat/>
    <w:pPr>
      <w:keepNext/>
      <w:jc w:val="center"/>
      <w:outlineLvl w:val="0"/>
    </w:pPr>
    <w:rPr>
      <w:rFonts w:ascii="Verdana" w:hAnsi="Verdana"/>
      <w:b/>
      <w:caps/>
      <w:sz w:val="28"/>
    </w:rPr>
  </w:style>
  <w:style w:type="paragraph" w:styleId="Ttulo4">
    <w:name w:val="heading 4"/>
    <w:basedOn w:val="Normal"/>
    <w:next w:val="Normal"/>
    <w:qFormat/>
    <w:pPr>
      <w:keepNext/>
      <w:spacing w:before="240" w:after="60"/>
      <w:outlineLvl w:val="3"/>
    </w:pPr>
    <w:rPr>
      <w:rFonts w:ascii="Times New Roman" w:hAnsi="Times New Roman"/>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Pr>
      <w:rFonts w:ascii="Tahoma" w:hAnsi="Tahoma" w:cs="Tahoma"/>
      <w:sz w:val="16"/>
      <w:szCs w:val="16"/>
    </w:rPr>
  </w:style>
  <w:style w:type="paragraph" w:styleId="Encabezado">
    <w:name w:val="header"/>
    <w:basedOn w:val="Normal"/>
    <w:link w:val="EncabezadoCar"/>
    <w:uiPriority w:val="99"/>
    <w:pPr>
      <w:tabs>
        <w:tab w:val="center" w:pos="4320"/>
        <w:tab w:val="right" w:pos="8640"/>
      </w:tabs>
    </w:pPr>
  </w:style>
  <w:style w:type="character" w:styleId="Nmerodepgina">
    <w:name w:val="page number"/>
    <w:basedOn w:val="Fuentedeprrafopredeter"/>
    <w:uiPriority w:val="99"/>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C"/>
    <w:basedOn w:val="Normal"/>
    <w:link w:val="TextonotapieCar1"/>
    <w:qFormat/>
    <w:rPr>
      <w:rFonts w:ascii="Times New Roman" w:eastAsia="Times New Roman" w:hAnsi="Times New Roman"/>
      <w:sz w:val="20"/>
      <w:lang w:val="pt-BR" w:eastAsia="pt-BR"/>
    </w:rPr>
  </w:style>
  <w:style w:type="paragraph" w:styleId="Textodebloque">
    <w:name w:val="Block Text"/>
    <w:basedOn w:val="Normal"/>
    <w:pPr>
      <w:ind w:left="720" w:right="720"/>
      <w:jc w:val="both"/>
    </w:pPr>
    <w:rPr>
      <w:rFonts w:ascii="Univers" w:eastAsia="Times New Roman" w:hAnsi="Univers"/>
      <w:spacing w:val="-2"/>
      <w:sz w:val="18"/>
      <w:lang w:val="es-PY" w:eastAsia="en-US"/>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locked/>
    <w:rPr>
      <w:lang w:val="pt-BR" w:eastAsia="pt-BR" w:bidi="ar-SA"/>
    </w:rPr>
  </w:style>
  <w:style w:type="paragraph" w:styleId="Textoindependiente">
    <w:name w:val="Body Text"/>
    <w:basedOn w:val="Normal"/>
    <w:pPr>
      <w:jc w:val="both"/>
    </w:pPr>
    <w:rPr>
      <w:rFonts w:ascii="Univers" w:eastAsia="Times New Roman" w:hAnsi="Univers"/>
      <w:spacing w:val="-2"/>
      <w:sz w:val="22"/>
      <w:lang w:val="es-PY"/>
    </w:rPr>
  </w:style>
  <w:style w:type="paragraph" w:styleId="Textoindependiente2">
    <w:name w:val="Body Text 2"/>
    <w:basedOn w:val="Normal"/>
    <w:pPr>
      <w:spacing w:after="120" w:line="480" w:lineRule="auto"/>
    </w:p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Asuntodelcomentario">
    <w:name w:val="annotation subject"/>
    <w:basedOn w:val="Textocomentario"/>
    <w:next w:val="Textocomentario"/>
    <w:semiHidden/>
    <w:rPr>
      <w:b/>
      <w:bCs/>
    </w:rPr>
  </w:style>
  <w:style w:type="character" w:customStyle="1" w:styleId="normal--char">
    <w:name w:val="normal--char"/>
    <w:basedOn w:val="Fuentedeprrafopredeter"/>
  </w:style>
  <w:style w:type="paragraph" w:styleId="Piedepgina">
    <w:name w:val="footer"/>
    <w:basedOn w:val="Normal"/>
    <w:pPr>
      <w:tabs>
        <w:tab w:val="center" w:pos="4252"/>
        <w:tab w:val="right" w:pos="8504"/>
      </w:tabs>
    </w:pPr>
  </w:style>
  <w:style w:type="paragraph" w:customStyle="1" w:styleId="ListParagraph">
    <w:name w:val="List Paragraph"/>
    <w:aliases w:val="Footnote"/>
    <w:basedOn w:val="Normal"/>
    <w:uiPriority w:val="72"/>
    <w:qFormat/>
    <w:rsid w:val="00AF7835"/>
    <w:pPr>
      <w:ind w:left="708"/>
    </w:pPr>
  </w:style>
  <w:style w:type="paragraph" w:styleId="Textoindependiente3">
    <w:name w:val="Body Text 3"/>
    <w:basedOn w:val="Normal"/>
    <w:rsid w:val="00BC3EDA"/>
    <w:pPr>
      <w:spacing w:after="120"/>
    </w:pPr>
    <w:rPr>
      <w:rFonts w:ascii="Times New Roman" w:eastAsia="Times New Roman" w:hAnsi="Times New Roman"/>
      <w:sz w:val="16"/>
      <w:szCs w:val="16"/>
      <w:lang w:eastAsia="en-US"/>
    </w:rPr>
  </w:style>
  <w:style w:type="paragraph" w:styleId="Prrafodelista">
    <w:name w:val="List Paragraph"/>
    <w:basedOn w:val="Normal"/>
    <w:uiPriority w:val="34"/>
    <w:qFormat/>
    <w:rsid w:val="0070035C"/>
    <w:pPr>
      <w:ind w:left="708"/>
    </w:pPr>
  </w:style>
  <w:style w:type="character" w:customStyle="1" w:styleId="EncabezadoCar">
    <w:name w:val="Encabezado Car"/>
    <w:link w:val="Encabezado"/>
    <w:uiPriority w:val="99"/>
    <w:rsid w:val="00CF3DC4"/>
    <w:rPr>
      <w:rFonts w:ascii="Times" w:eastAsia="Times" w:hAnsi="Times"/>
      <w:sz w:val="24"/>
      <w:lang w:val="es-ES_tradnl"/>
    </w:rPr>
  </w:style>
  <w:style w:type="paragraph" w:styleId="Ttulo">
    <w:name w:val="Title"/>
    <w:basedOn w:val="Normal"/>
    <w:link w:val="TtuloCar"/>
    <w:qFormat/>
    <w:rsid w:val="00CF3DC4"/>
    <w:pPr>
      <w:jc w:val="center"/>
    </w:pPr>
    <w:rPr>
      <w:rFonts w:ascii="Verdana" w:eastAsia="Times New Roman" w:hAnsi="Verdana"/>
      <w:b/>
      <w:sz w:val="20"/>
      <w:lang w:eastAsia="en-US"/>
    </w:rPr>
  </w:style>
  <w:style w:type="character" w:customStyle="1" w:styleId="TtuloCar">
    <w:name w:val="Título Car"/>
    <w:link w:val="Ttulo"/>
    <w:rsid w:val="00CF3DC4"/>
    <w:rPr>
      <w:rFonts w:ascii="Verdana" w:hAnsi="Verdana"/>
      <w:b/>
      <w:lang w:val="es-ES_tradnl" w:eastAsia="en-US"/>
    </w:rPr>
  </w:style>
  <w:style w:type="paragraph" w:customStyle="1" w:styleId="Default">
    <w:name w:val="Default"/>
    <w:rsid w:val="00AA6E3C"/>
    <w:pPr>
      <w:autoSpaceDE w:val="0"/>
      <w:autoSpaceDN w:val="0"/>
      <w:adjustRightInd w:val="0"/>
    </w:pPr>
    <w:rPr>
      <w:rFonts w:ascii="Verdana" w:hAnsi="Verdana" w:cs="Verdana"/>
      <w:color w:val="000000"/>
      <w:sz w:val="24"/>
      <w:szCs w:val="24"/>
      <w:lang w:val="es-ES" w:eastAsia="es-ES"/>
    </w:rPr>
  </w:style>
  <w:style w:type="paragraph" w:styleId="Revisin">
    <w:name w:val="Revision"/>
    <w:hidden/>
    <w:uiPriority w:val="99"/>
    <w:semiHidden/>
    <w:rsid w:val="0067033C"/>
    <w:rPr>
      <w:rFonts w:ascii="Times" w:eastAsia="Times" w:hAnsi="Times"/>
      <w:sz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5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924D8-C1BE-4AA5-BDC7-D71DA3DA9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7172</Words>
  <Characters>39446</Characters>
  <Application>Microsoft Office Word</Application>
  <DocSecurity>0</DocSecurity>
  <Lines>328</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46525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2012-01-27T15:23:00Z</cp:lastPrinted>
  <dcterms:created xsi:type="dcterms:W3CDTF">2017-07-21T18:13:00Z</dcterms:created>
  <dcterms:modified xsi:type="dcterms:W3CDTF">2017-07-21T18:13:00Z</dcterms:modified>
</cp:coreProperties>
</file>