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F90" w:rsidRPr="0090649A" w:rsidRDefault="00981F90" w:rsidP="00981F90">
      <w:pPr>
        <w:spacing w:after="0" w:line="240" w:lineRule="auto"/>
        <w:jc w:val="center"/>
        <w:rPr>
          <w:rFonts w:ascii="Verdana" w:hAnsi="Verdana"/>
          <w:b/>
          <w:sz w:val="20"/>
          <w:szCs w:val="20"/>
          <w:lang w:val="es-CR"/>
        </w:rPr>
      </w:pPr>
      <w:bookmarkStart w:id="0" w:name="_GoBack"/>
      <w:bookmarkEnd w:id="0"/>
      <w:r w:rsidRPr="0090649A">
        <w:rPr>
          <w:rFonts w:ascii="Verdana" w:hAnsi="Verdana"/>
          <w:b/>
          <w:sz w:val="20"/>
          <w:szCs w:val="20"/>
          <w:lang w:val="es-CR"/>
        </w:rPr>
        <w:t xml:space="preserve">RESOLUCIÓN DE LA </w:t>
      </w:r>
    </w:p>
    <w:p w:rsidR="00981F90" w:rsidRPr="0090649A" w:rsidRDefault="00981F90" w:rsidP="00981F90">
      <w:pPr>
        <w:spacing w:after="0" w:line="240" w:lineRule="auto"/>
        <w:jc w:val="center"/>
        <w:rPr>
          <w:rFonts w:ascii="Verdana" w:hAnsi="Verdana"/>
          <w:b/>
          <w:smallCaps/>
          <w:sz w:val="20"/>
          <w:lang w:val="es-CR"/>
        </w:rPr>
      </w:pPr>
      <w:r w:rsidRPr="0090649A">
        <w:rPr>
          <w:rFonts w:ascii="Verdana" w:hAnsi="Verdana"/>
          <w:b/>
          <w:sz w:val="20"/>
          <w:szCs w:val="20"/>
          <w:lang w:val="es-CR"/>
        </w:rPr>
        <w:t>CORTE INTERAMERICANA DE DERECHOS HUMANOS</w:t>
      </w:r>
    </w:p>
    <w:p w:rsidR="00981F90" w:rsidRPr="0090649A" w:rsidRDefault="00981F90" w:rsidP="00981F90">
      <w:pPr>
        <w:spacing w:after="0" w:line="240" w:lineRule="auto"/>
        <w:jc w:val="center"/>
        <w:rPr>
          <w:rFonts w:ascii="Verdana" w:hAnsi="Verdana"/>
          <w:b/>
          <w:sz w:val="20"/>
          <w:szCs w:val="20"/>
          <w:lang w:val="es-CR"/>
        </w:rPr>
      </w:pPr>
    </w:p>
    <w:p w:rsidR="00981F90" w:rsidRPr="0090649A" w:rsidRDefault="00981F90" w:rsidP="00981F90">
      <w:pPr>
        <w:spacing w:after="0" w:line="240" w:lineRule="auto"/>
        <w:jc w:val="center"/>
        <w:rPr>
          <w:rFonts w:ascii="Verdana" w:hAnsi="Verdana"/>
          <w:b/>
          <w:sz w:val="20"/>
          <w:szCs w:val="20"/>
          <w:lang w:val="es-CR"/>
        </w:rPr>
      </w:pPr>
      <w:r w:rsidRPr="0090649A">
        <w:rPr>
          <w:rFonts w:ascii="Verdana" w:hAnsi="Verdana"/>
          <w:b/>
          <w:sz w:val="20"/>
          <w:szCs w:val="20"/>
          <w:lang w:val="es-CR"/>
        </w:rPr>
        <w:t xml:space="preserve">DE </w:t>
      </w:r>
      <w:r w:rsidR="003A7A72" w:rsidRPr="0090649A">
        <w:rPr>
          <w:rFonts w:ascii="Verdana" w:hAnsi="Verdana"/>
          <w:b/>
          <w:sz w:val="20"/>
          <w:szCs w:val="20"/>
          <w:lang w:val="es-CR"/>
        </w:rPr>
        <w:t xml:space="preserve">25 </w:t>
      </w:r>
      <w:r w:rsidRPr="0090649A">
        <w:rPr>
          <w:rFonts w:ascii="Verdana" w:hAnsi="Verdana"/>
          <w:b/>
          <w:sz w:val="20"/>
          <w:szCs w:val="20"/>
          <w:lang w:val="es-CR"/>
        </w:rPr>
        <w:t>DE MAYO DE 2017</w:t>
      </w:r>
    </w:p>
    <w:p w:rsidR="00981F90" w:rsidRPr="0090649A" w:rsidRDefault="00981F90" w:rsidP="00981F90">
      <w:pPr>
        <w:spacing w:after="0" w:line="240" w:lineRule="auto"/>
        <w:jc w:val="center"/>
        <w:rPr>
          <w:rFonts w:ascii="Verdana" w:hAnsi="Verdana"/>
          <w:b/>
          <w:sz w:val="20"/>
          <w:szCs w:val="20"/>
          <w:lang w:val="es-CR"/>
        </w:rPr>
      </w:pPr>
    </w:p>
    <w:p w:rsidR="00981F90" w:rsidRPr="0090649A" w:rsidRDefault="00981F90" w:rsidP="00981F90">
      <w:pPr>
        <w:spacing w:after="0" w:line="240" w:lineRule="auto"/>
        <w:jc w:val="center"/>
        <w:rPr>
          <w:rFonts w:ascii="Verdana" w:hAnsi="Verdana"/>
          <w:b/>
          <w:i/>
          <w:sz w:val="20"/>
          <w:szCs w:val="20"/>
          <w:lang w:val="es-CR"/>
        </w:rPr>
      </w:pPr>
      <w:r w:rsidRPr="0090649A">
        <w:rPr>
          <w:rFonts w:ascii="Verdana" w:hAnsi="Verdana"/>
          <w:b/>
          <w:i/>
          <w:sz w:val="20"/>
          <w:szCs w:val="20"/>
          <w:lang w:val="es-CR"/>
        </w:rPr>
        <w:t>CASO LÓPEZ LONE Y OTROS VS. HONDURAS</w:t>
      </w:r>
    </w:p>
    <w:p w:rsidR="00981F90" w:rsidRPr="0090649A" w:rsidRDefault="00981F90" w:rsidP="00981F90">
      <w:pPr>
        <w:spacing w:after="0" w:line="240" w:lineRule="auto"/>
        <w:jc w:val="center"/>
        <w:rPr>
          <w:rFonts w:ascii="Verdana" w:hAnsi="Verdana"/>
          <w:b/>
          <w:sz w:val="20"/>
          <w:szCs w:val="20"/>
          <w:lang w:val="es-CR"/>
        </w:rPr>
      </w:pPr>
    </w:p>
    <w:p w:rsidR="00981F90" w:rsidRPr="0090649A" w:rsidRDefault="00981F90" w:rsidP="00981F90">
      <w:pPr>
        <w:spacing w:after="0" w:line="240" w:lineRule="auto"/>
        <w:jc w:val="center"/>
        <w:rPr>
          <w:rFonts w:ascii="Verdana" w:hAnsi="Verdana"/>
          <w:b/>
          <w:sz w:val="20"/>
          <w:szCs w:val="20"/>
          <w:lang w:val="es-CR"/>
        </w:rPr>
      </w:pPr>
      <w:r w:rsidRPr="0090649A">
        <w:rPr>
          <w:rFonts w:ascii="Verdana" w:hAnsi="Verdana"/>
          <w:b/>
          <w:sz w:val="20"/>
          <w:szCs w:val="20"/>
          <w:lang w:val="es-CR"/>
        </w:rPr>
        <w:t>SUPERVISIÓN DE CUMPLIMIENTO DE SENTENCIA</w:t>
      </w:r>
    </w:p>
    <w:p w:rsidR="00981F90" w:rsidRPr="0090649A" w:rsidRDefault="00981F90" w:rsidP="00981F90">
      <w:pPr>
        <w:spacing w:after="0" w:line="240" w:lineRule="auto"/>
        <w:jc w:val="both"/>
        <w:rPr>
          <w:rFonts w:ascii="Verdana" w:hAnsi="Verdana"/>
          <w:b/>
          <w:sz w:val="20"/>
          <w:szCs w:val="20"/>
          <w:lang w:val="es-CR"/>
        </w:rPr>
      </w:pPr>
    </w:p>
    <w:p w:rsidR="00981F90" w:rsidRPr="0090649A" w:rsidRDefault="00981F90" w:rsidP="00981F90">
      <w:pPr>
        <w:spacing w:after="0" w:line="240" w:lineRule="auto"/>
        <w:jc w:val="both"/>
        <w:rPr>
          <w:rFonts w:ascii="Verdana" w:hAnsi="Verdana"/>
          <w:b/>
          <w:sz w:val="20"/>
          <w:szCs w:val="20"/>
          <w:lang w:val="es-CR"/>
        </w:rPr>
      </w:pPr>
      <w:r w:rsidRPr="0090649A">
        <w:rPr>
          <w:rFonts w:ascii="Verdana" w:hAnsi="Verdana"/>
          <w:b/>
          <w:sz w:val="20"/>
          <w:szCs w:val="20"/>
          <w:lang w:val="es-CR"/>
        </w:rPr>
        <w:t xml:space="preserve">VISTO: </w:t>
      </w:r>
    </w:p>
    <w:p w:rsidR="00981F90" w:rsidRPr="0090649A" w:rsidRDefault="00981F90" w:rsidP="00981F90">
      <w:pPr>
        <w:spacing w:after="0" w:line="240" w:lineRule="auto"/>
        <w:jc w:val="both"/>
        <w:rPr>
          <w:rFonts w:ascii="Verdana" w:hAnsi="Verdana"/>
          <w:color w:val="000000"/>
          <w:sz w:val="20"/>
          <w:szCs w:val="20"/>
          <w:shd w:val="clear" w:color="auto" w:fill="FFFFFF"/>
          <w:lang w:val="es-CR"/>
        </w:rPr>
      </w:pPr>
    </w:p>
    <w:p w:rsidR="00981F90" w:rsidRPr="0090649A" w:rsidRDefault="00981F90" w:rsidP="00981F90">
      <w:pPr>
        <w:numPr>
          <w:ilvl w:val="0"/>
          <w:numId w:val="2"/>
        </w:numPr>
        <w:spacing w:after="0" w:line="240" w:lineRule="auto"/>
        <w:ind w:left="0" w:firstLine="0"/>
        <w:jc w:val="both"/>
        <w:rPr>
          <w:rFonts w:ascii="Verdana" w:hAnsi="Verdana"/>
          <w:color w:val="000000"/>
          <w:sz w:val="20"/>
          <w:szCs w:val="20"/>
          <w:shd w:val="clear" w:color="auto" w:fill="FFFFFF"/>
          <w:lang w:val="es-CR"/>
        </w:rPr>
      </w:pPr>
      <w:r w:rsidRPr="0090649A">
        <w:rPr>
          <w:rFonts w:ascii="Verdana" w:hAnsi="Verdana"/>
          <w:sz w:val="20"/>
          <w:szCs w:val="20"/>
          <w:lang w:val="es-CR"/>
        </w:rPr>
        <w:t>La Sentencia de excepción preliminar, fondo, reparaciones y costas (en adelante “la Sentencia”) dictada por la Corte Interamericana de Derechos Humanos (en adelante “la Corte Interamericana”, “la Corte” o “el Tribunal”) el 5 de octubre de 2015</w:t>
      </w:r>
      <w:r w:rsidRPr="0090649A">
        <w:rPr>
          <w:rStyle w:val="Refdenotaalpie"/>
          <w:rFonts w:ascii="Verdana" w:hAnsi="Verdana"/>
          <w:sz w:val="20"/>
          <w:lang w:val="es-CR"/>
        </w:rPr>
        <w:footnoteReference w:id="1"/>
      </w:r>
      <w:r w:rsidRPr="0090649A">
        <w:rPr>
          <w:rFonts w:ascii="Verdana" w:hAnsi="Verdana"/>
          <w:sz w:val="20"/>
          <w:szCs w:val="20"/>
          <w:lang w:val="es-CR"/>
        </w:rPr>
        <w:t xml:space="preserve">. La Corte declaró la responsabilidad internacional de la República de Honduras (en adelante “el Estado” u “Honduras”) por </w:t>
      </w:r>
      <w:r w:rsidRPr="0090649A">
        <w:rPr>
          <w:rFonts w:ascii="Verdana" w:hAnsi="Verdana" w:cs="Arial"/>
          <w:sz w:val="20"/>
          <w:szCs w:val="20"/>
          <w:lang w:val="es-CR"/>
        </w:rPr>
        <w:t xml:space="preserve">los procesos disciplinarios realizados en contra de </w:t>
      </w:r>
      <w:r w:rsidRPr="0090649A">
        <w:rPr>
          <w:rFonts w:ascii="Verdana" w:hAnsi="Verdana"/>
          <w:sz w:val="20"/>
          <w:szCs w:val="20"/>
          <w:lang w:val="es-CR"/>
        </w:rPr>
        <w:t xml:space="preserve">los jueces Adán Guillermo López Lone, Luis Alonso Chévez de la Rocha y Ramón Enrique Barrios Maldonado, así como de la magistrada Tirza del Carmen Flores Lanza, los cuales fueron iniciados por conductas de las víctimas, todos miembros de la Asociación Jueces por la Democracia, </w:t>
      </w:r>
      <w:r w:rsidR="003E0814">
        <w:rPr>
          <w:rFonts w:ascii="Verdana" w:hAnsi="Verdana"/>
          <w:sz w:val="20"/>
          <w:szCs w:val="20"/>
          <w:lang w:val="es-CR"/>
        </w:rPr>
        <w:t>en defensa de la democracia y el Estado del Derecho</w:t>
      </w:r>
      <w:r w:rsidR="003E0814" w:rsidRPr="0090649A">
        <w:rPr>
          <w:rFonts w:ascii="Verdana" w:hAnsi="Verdana"/>
          <w:sz w:val="20"/>
          <w:szCs w:val="20"/>
          <w:lang w:val="es-CR"/>
        </w:rPr>
        <w:t xml:space="preserve"> </w:t>
      </w:r>
      <w:r w:rsidRPr="0090649A">
        <w:rPr>
          <w:rFonts w:ascii="Verdana" w:hAnsi="Verdana"/>
          <w:sz w:val="20"/>
          <w:szCs w:val="20"/>
          <w:lang w:val="es-CR"/>
        </w:rPr>
        <w:t>en el contexto del golpe de Estado ocurrido en junio de 2009 en Honduras. El Tribunal consideró que tales conductas no solo implicaban el ejercicio de los derechos políticos, la libertad de expresión, el derecho de reunión y la libertad de asociación, sino también el cumplimiento del deber de defender la democracia. Como</w:t>
      </w:r>
      <w:r w:rsidRPr="0090649A">
        <w:rPr>
          <w:rFonts w:ascii="Verdana" w:hAnsi="Verdana" w:cs="Arial"/>
          <w:sz w:val="20"/>
          <w:szCs w:val="20"/>
          <w:lang w:val="es-CR"/>
        </w:rPr>
        <w:t xml:space="preserve"> consecuencia de los procesos disciplinarios, las víctimas fueron destituidas de sus cargos y, tres de ellos, separados del Poder Judicial de Honduras. </w:t>
      </w:r>
      <w:r w:rsidRPr="0090649A">
        <w:rPr>
          <w:rFonts w:ascii="Verdana" w:hAnsi="Verdana"/>
          <w:sz w:val="20"/>
          <w:szCs w:val="20"/>
          <w:lang w:val="es-CR"/>
        </w:rPr>
        <w:t>Al respecto, la Corte señaló que</w:t>
      </w:r>
      <w:r w:rsidR="00483F54">
        <w:rPr>
          <w:rFonts w:ascii="Verdana" w:hAnsi="Verdana"/>
          <w:sz w:val="20"/>
          <w:szCs w:val="20"/>
          <w:lang w:val="es-CR"/>
        </w:rPr>
        <w:t>,</w:t>
      </w:r>
      <w:r w:rsidRPr="0090649A">
        <w:rPr>
          <w:rFonts w:ascii="Verdana" w:hAnsi="Verdana"/>
          <w:sz w:val="20"/>
          <w:szCs w:val="20"/>
          <w:lang w:val="es-CR"/>
        </w:rPr>
        <w:t xml:space="preserve"> si bien existe un consenso regional respecto de la necesidad de restringir la participación de los jueces en las actividades político-partidistas, en momentos de graves crisis democráticas no son aplicables a las actuaciones de los jueces y de las juezas en defensa del orden democrático, las normas que ordinariamente restringen su derecho a la participación en política. </w:t>
      </w:r>
      <w:r w:rsidRPr="0090649A">
        <w:rPr>
          <w:rFonts w:ascii="Verdana" w:hAnsi="Verdana" w:cs="Arial"/>
          <w:sz w:val="20"/>
          <w:szCs w:val="20"/>
          <w:lang w:val="es-CR"/>
        </w:rPr>
        <w:t xml:space="preserve">Por tanto, el Tribunal consideró que </w:t>
      </w:r>
      <w:r w:rsidRPr="0090649A">
        <w:rPr>
          <w:rFonts w:ascii="Verdana" w:hAnsi="Verdana"/>
          <w:sz w:val="20"/>
          <w:szCs w:val="20"/>
          <w:lang w:val="es-CR"/>
        </w:rPr>
        <w:t>en el marco de los referidos procesos disciplinarios, el Estado violó la libertad de expresión, los derechos políticos, las garantías judiciales de competencia, independencia e imparcialidad, la protección judicial, el derecho a permanecer en el cargo en condiciones de igualdad y el principio de legalidad</w:t>
      </w:r>
      <w:r w:rsidR="00483F54">
        <w:rPr>
          <w:rFonts w:ascii="Verdana" w:hAnsi="Verdana"/>
          <w:sz w:val="20"/>
          <w:szCs w:val="20"/>
          <w:lang w:val="es-CR"/>
        </w:rPr>
        <w:t>,</w:t>
      </w:r>
      <w:r w:rsidRPr="0090649A">
        <w:rPr>
          <w:rFonts w:ascii="Verdana" w:hAnsi="Verdana"/>
          <w:sz w:val="20"/>
          <w:szCs w:val="20"/>
          <w:lang w:val="es-CR"/>
        </w:rPr>
        <w:t xml:space="preserve"> en perjuicio de las cuatro víctimas. Asimismo, la Corte consideró que Honduras violó la libertad de asociación en perjuicio de la señora Flores Lanza y los señores López Lone y Chévez de la Rocha, así como el derecho de reunión en perjuicio de estos últimos dos jueces. La Corte estableció que su Sentencia constituye por sí misma una forma de reparación y, además, ordenó al Estado determinadas medidas de reparación (</w:t>
      </w:r>
      <w:r w:rsidRPr="0090649A">
        <w:rPr>
          <w:rFonts w:ascii="Verdana" w:hAnsi="Verdana"/>
          <w:i/>
          <w:sz w:val="20"/>
          <w:szCs w:val="20"/>
          <w:lang w:val="es-CR"/>
        </w:rPr>
        <w:t xml:space="preserve">infra </w:t>
      </w:r>
      <w:r w:rsidRPr="0090649A">
        <w:rPr>
          <w:rFonts w:ascii="Verdana" w:hAnsi="Verdana"/>
          <w:sz w:val="20"/>
          <w:szCs w:val="20"/>
          <w:lang w:val="es-CR"/>
        </w:rPr>
        <w:t xml:space="preserve">Considerando 1). </w:t>
      </w:r>
    </w:p>
    <w:p w:rsidR="00981F90" w:rsidRPr="0090649A" w:rsidRDefault="00981F90" w:rsidP="00981F90">
      <w:pPr>
        <w:spacing w:after="0" w:line="240" w:lineRule="auto"/>
        <w:jc w:val="both"/>
        <w:rPr>
          <w:rFonts w:ascii="Verdana" w:hAnsi="Verdana"/>
          <w:color w:val="000000"/>
          <w:sz w:val="20"/>
          <w:szCs w:val="20"/>
          <w:shd w:val="clear" w:color="auto" w:fill="FFFFFF"/>
          <w:lang w:val="es-CR"/>
        </w:rPr>
      </w:pPr>
    </w:p>
    <w:p w:rsidR="00981F90" w:rsidRPr="0090649A" w:rsidRDefault="00981F90" w:rsidP="00981F90">
      <w:pPr>
        <w:numPr>
          <w:ilvl w:val="0"/>
          <w:numId w:val="2"/>
        </w:numPr>
        <w:spacing w:after="0" w:line="240" w:lineRule="auto"/>
        <w:ind w:left="0" w:firstLine="0"/>
        <w:jc w:val="both"/>
        <w:rPr>
          <w:rFonts w:ascii="Verdana" w:hAnsi="Verdana"/>
          <w:sz w:val="20"/>
          <w:szCs w:val="18"/>
          <w:lang w:val="es-CR"/>
        </w:rPr>
      </w:pPr>
      <w:r w:rsidRPr="0090649A">
        <w:rPr>
          <w:rFonts w:ascii="Verdana" w:hAnsi="Verdana"/>
          <w:sz w:val="20"/>
          <w:lang w:val="es-CR"/>
        </w:rPr>
        <w:t xml:space="preserve">Los </w:t>
      </w:r>
      <w:r w:rsidR="00C1634F" w:rsidRPr="0090649A">
        <w:rPr>
          <w:rFonts w:ascii="Verdana" w:hAnsi="Verdana"/>
          <w:sz w:val="20"/>
          <w:lang w:val="es-CR"/>
        </w:rPr>
        <w:t>tres</w:t>
      </w:r>
      <w:r w:rsidRPr="0090649A">
        <w:rPr>
          <w:rFonts w:ascii="Verdana" w:hAnsi="Verdana"/>
          <w:sz w:val="20"/>
          <w:lang w:val="es-CR"/>
        </w:rPr>
        <w:t xml:space="preserve"> informes presentados por el Estado</w:t>
      </w:r>
      <w:r w:rsidR="00EE5001" w:rsidRPr="0090649A">
        <w:rPr>
          <w:rFonts w:ascii="Verdana" w:hAnsi="Verdana"/>
          <w:sz w:val="20"/>
          <w:lang w:val="es-CR"/>
        </w:rPr>
        <w:t xml:space="preserve"> entre noviembre de 2016 y enero</w:t>
      </w:r>
      <w:r w:rsidRPr="0090649A">
        <w:rPr>
          <w:rFonts w:ascii="Verdana" w:hAnsi="Verdana"/>
          <w:sz w:val="20"/>
          <w:lang w:val="es-CR"/>
        </w:rPr>
        <w:t xml:space="preserve"> de 2017</w:t>
      </w:r>
      <w:r w:rsidRPr="0090649A">
        <w:rPr>
          <w:rStyle w:val="Refdenotaalpie"/>
          <w:rFonts w:ascii="Verdana" w:hAnsi="Verdana"/>
          <w:color w:val="000000"/>
          <w:sz w:val="20"/>
          <w:szCs w:val="20"/>
          <w:shd w:val="clear" w:color="auto" w:fill="FFFFFF"/>
          <w:lang w:val="es-CR"/>
        </w:rPr>
        <w:footnoteReference w:id="2"/>
      </w:r>
      <w:r w:rsidRPr="0090649A">
        <w:rPr>
          <w:rFonts w:ascii="Verdana" w:hAnsi="Verdana"/>
          <w:sz w:val="20"/>
          <w:lang w:val="es-CR"/>
        </w:rPr>
        <w:t xml:space="preserve">. </w:t>
      </w:r>
    </w:p>
    <w:p w:rsidR="00981F90" w:rsidRPr="0090649A" w:rsidRDefault="00981F90" w:rsidP="00981F90">
      <w:pPr>
        <w:spacing w:after="0" w:line="240" w:lineRule="auto"/>
        <w:jc w:val="both"/>
        <w:rPr>
          <w:rFonts w:ascii="Verdana" w:hAnsi="Verdana"/>
          <w:sz w:val="20"/>
          <w:szCs w:val="18"/>
          <w:lang w:val="es-CR"/>
        </w:rPr>
      </w:pPr>
    </w:p>
    <w:p w:rsidR="00981F90" w:rsidRPr="0090649A" w:rsidRDefault="00981F90" w:rsidP="00981F90">
      <w:pPr>
        <w:numPr>
          <w:ilvl w:val="0"/>
          <w:numId w:val="2"/>
        </w:numPr>
        <w:spacing w:after="0" w:line="240" w:lineRule="auto"/>
        <w:ind w:left="0" w:firstLine="0"/>
        <w:jc w:val="both"/>
        <w:rPr>
          <w:rFonts w:ascii="Verdana" w:hAnsi="Verdana"/>
          <w:color w:val="000000"/>
          <w:sz w:val="20"/>
          <w:szCs w:val="20"/>
          <w:shd w:val="clear" w:color="auto" w:fill="FFFFFF"/>
          <w:lang w:val="es-CR"/>
        </w:rPr>
      </w:pPr>
      <w:r w:rsidRPr="0090649A">
        <w:rPr>
          <w:rFonts w:ascii="Verdana" w:hAnsi="Verdana"/>
          <w:color w:val="000000"/>
          <w:sz w:val="20"/>
          <w:szCs w:val="20"/>
          <w:shd w:val="clear" w:color="auto" w:fill="FFFFFF"/>
          <w:lang w:val="es-CR"/>
        </w:rPr>
        <w:t xml:space="preserve">Los </w:t>
      </w:r>
      <w:r w:rsidR="00C1634F" w:rsidRPr="0090649A">
        <w:rPr>
          <w:rFonts w:ascii="Verdana" w:hAnsi="Verdana"/>
          <w:color w:val="000000"/>
          <w:sz w:val="20"/>
          <w:szCs w:val="20"/>
          <w:shd w:val="clear" w:color="auto" w:fill="FFFFFF"/>
          <w:lang w:val="es-CR"/>
        </w:rPr>
        <w:t>tres</w:t>
      </w:r>
      <w:r w:rsidRPr="0090649A">
        <w:rPr>
          <w:rFonts w:ascii="Verdana" w:hAnsi="Verdana"/>
          <w:sz w:val="20"/>
          <w:lang w:val="es-CR"/>
        </w:rPr>
        <w:t xml:space="preserve"> </w:t>
      </w:r>
      <w:r w:rsidRPr="0090649A">
        <w:rPr>
          <w:rFonts w:ascii="Verdana" w:hAnsi="Verdana"/>
          <w:color w:val="000000"/>
          <w:sz w:val="20"/>
          <w:szCs w:val="20"/>
          <w:shd w:val="clear" w:color="auto" w:fill="FFFFFF"/>
          <w:lang w:val="es-CR"/>
        </w:rPr>
        <w:t xml:space="preserve">escritos de observaciones presentados por </w:t>
      </w:r>
      <w:r w:rsidR="008D6DFB" w:rsidRPr="0090649A">
        <w:rPr>
          <w:rFonts w:ascii="Verdana" w:hAnsi="Verdana"/>
          <w:color w:val="000000"/>
          <w:sz w:val="20"/>
          <w:szCs w:val="20"/>
          <w:shd w:val="clear" w:color="auto" w:fill="FFFFFF"/>
          <w:lang w:val="es-CR"/>
        </w:rPr>
        <w:t>las representantes</w:t>
      </w:r>
      <w:r w:rsidRPr="0090649A">
        <w:rPr>
          <w:rFonts w:ascii="Verdana" w:hAnsi="Verdana"/>
          <w:color w:val="000000"/>
          <w:sz w:val="20"/>
          <w:szCs w:val="20"/>
          <w:shd w:val="clear" w:color="auto" w:fill="FFFFFF"/>
          <w:lang w:val="es-CR"/>
        </w:rPr>
        <w:t xml:space="preserve"> de las víctimas (en adelante “</w:t>
      </w:r>
      <w:r w:rsidR="008D6DFB" w:rsidRPr="0090649A">
        <w:rPr>
          <w:rFonts w:ascii="Verdana" w:hAnsi="Verdana"/>
          <w:color w:val="000000"/>
          <w:sz w:val="20"/>
          <w:szCs w:val="20"/>
          <w:shd w:val="clear" w:color="auto" w:fill="FFFFFF"/>
          <w:lang w:val="es-CR"/>
        </w:rPr>
        <w:t>las representantes</w:t>
      </w:r>
      <w:r w:rsidRPr="0090649A">
        <w:rPr>
          <w:rFonts w:ascii="Verdana" w:hAnsi="Verdana"/>
          <w:color w:val="000000"/>
          <w:sz w:val="20"/>
          <w:szCs w:val="20"/>
          <w:shd w:val="clear" w:color="auto" w:fill="FFFFFF"/>
          <w:lang w:val="es-CR"/>
        </w:rPr>
        <w:t>”)</w:t>
      </w:r>
      <w:r w:rsidRPr="0090649A">
        <w:rPr>
          <w:rStyle w:val="Refdenotaalpie"/>
          <w:rFonts w:ascii="Verdana" w:hAnsi="Verdana"/>
          <w:color w:val="000000"/>
          <w:sz w:val="20"/>
          <w:szCs w:val="20"/>
          <w:shd w:val="clear" w:color="auto" w:fill="FFFFFF"/>
          <w:lang w:val="es-CR"/>
        </w:rPr>
        <w:footnoteReference w:id="3"/>
      </w:r>
      <w:r w:rsidRPr="0090649A">
        <w:rPr>
          <w:rFonts w:ascii="Verdana" w:hAnsi="Verdana"/>
          <w:color w:val="000000"/>
          <w:sz w:val="20"/>
          <w:szCs w:val="20"/>
          <w:shd w:val="clear" w:color="auto" w:fill="FFFFFF"/>
          <w:lang w:val="es-CR"/>
        </w:rPr>
        <w:t xml:space="preserve"> entre junio</w:t>
      </w:r>
      <w:r w:rsidR="00EE5001" w:rsidRPr="0090649A">
        <w:rPr>
          <w:rFonts w:ascii="Verdana" w:hAnsi="Verdana"/>
          <w:sz w:val="20"/>
          <w:lang w:val="es-CR"/>
        </w:rPr>
        <w:t xml:space="preserve"> de 2016 y </w:t>
      </w:r>
      <w:r w:rsidR="00B33AA4">
        <w:rPr>
          <w:rFonts w:ascii="Verdana" w:hAnsi="Verdana"/>
          <w:sz w:val="20"/>
          <w:lang w:val="es-CR"/>
        </w:rPr>
        <w:t>diciembre de 2016</w:t>
      </w:r>
      <w:r w:rsidRPr="0090649A">
        <w:rPr>
          <w:rStyle w:val="Refdenotaalpie"/>
          <w:rFonts w:ascii="Verdana" w:hAnsi="Verdana"/>
          <w:color w:val="000000"/>
          <w:sz w:val="20"/>
          <w:szCs w:val="20"/>
          <w:shd w:val="clear" w:color="auto" w:fill="FFFFFF"/>
          <w:lang w:val="es-CR"/>
        </w:rPr>
        <w:footnoteReference w:id="4"/>
      </w:r>
      <w:r w:rsidRPr="0090649A">
        <w:rPr>
          <w:rFonts w:ascii="Verdana" w:hAnsi="Verdana"/>
          <w:color w:val="000000"/>
          <w:sz w:val="20"/>
          <w:szCs w:val="20"/>
          <w:shd w:val="clear" w:color="auto" w:fill="FFFFFF"/>
          <w:lang w:val="es-CR"/>
        </w:rPr>
        <w:t>.</w:t>
      </w:r>
    </w:p>
    <w:p w:rsidR="00981F90" w:rsidRPr="0090649A" w:rsidRDefault="00981F90" w:rsidP="00981F90">
      <w:pPr>
        <w:spacing w:after="0" w:line="240" w:lineRule="auto"/>
        <w:jc w:val="both"/>
        <w:rPr>
          <w:rFonts w:ascii="Verdana" w:hAnsi="Verdana"/>
          <w:color w:val="000000"/>
          <w:sz w:val="20"/>
          <w:szCs w:val="20"/>
          <w:shd w:val="clear" w:color="auto" w:fill="FFFFFF"/>
          <w:lang w:val="es-CR"/>
        </w:rPr>
      </w:pPr>
    </w:p>
    <w:p w:rsidR="00981F90" w:rsidRPr="0090649A" w:rsidRDefault="00981F90" w:rsidP="00981F90">
      <w:pPr>
        <w:numPr>
          <w:ilvl w:val="0"/>
          <w:numId w:val="2"/>
        </w:numPr>
        <w:spacing w:after="0" w:line="240" w:lineRule="auto"/>
        <w:ind w:left="0" w:firstLine="0"/>
        <w:jc w:val="both"/>
        <w:rPr>
          <w:rFonts w:ascii="Verdana" w:hAnsi="Verdana"/>
          <w:color w:val="000000"/>
          <w:sz w:val="20"/>
          <w:szCs w:val="20"/>
          <w:shd w:val="clear" w:color="auto" w:fill="FFFFFF"/>
          <w:lang w:val="es-CR"/>
        </w:rPr>
      </w:pPr>
      <w:r w:rsidRPr="0090649A">
        <w:rPr>
          <w:rFonts w:ascii="Verdana" w:hAnsi="Verdana"/>
          <w:color w:val="000000"/>
          <w:sz w:val="20"/>
          <w:szCs w:val="20"/>
          <w:shd w:val="clear" w:color="auto" w:fill="FFFFFF"/>
          <w:lang w:val="es-CR"/>
        </w:rPr>
        <w:t>El escrito de observaciones presentado por la Comisión Interamericana de Derechos Humanos (en adelante “la Comisión Interamericana” o “la Comisión”) el 26 de enero de 2017.</w:t>
      </w:r>
    </w:p>
    <w:p w:rsidR="00981F90" w:rsidRPr="0090649A" w:rsidRDefault="00981F90" w:rsidP="00981F90">
      <w:pPr>
        <w:spacing w:after="0" w:line="240" w:lineRule="auto"/>
        <w:jc w:val="both"/>
        <w:rPr>
          <w:rFonts w:ascii="Verdana" w:hAnsi="Verdana"/>
          <w:b/>
          <w:color w:val="000000"/>
          <w:sz w:val="20"/>
          <w:szCs w:val="20"/>
          <w:shd w:val="clear" w:color="auto" w:fill="FFFFFF"/>
          <w:lang w:val="es-CR"/>
        </w:rPr>
      </w:pPr>
    </w:p>
    <w:p w:rsidR="00981F90" w:rsidRPr="0090649A" w:rsidRDefault="00981F90" w:rsidP="00981F90">
      <w:pPr>
        <w:numPr>
          <w:ilvl w:val="0"/>
          <w:numId w:val="2"/>
        </w:numPr>
        <w:spacing w:after="0" w:line="240" w:lineRule="auto"/>
        <w:ind w:left="0" w:firstLine="0"/>
        <w:jc w:val="both"/>
        <w:rPr>
          <w:rFonts w:ascii="Verdana" w:hAnsi="Verdana"/>
          <w:b/>
          <w:color w:val="000000"/>
          <w:sz w:val="20"/>
          <w:szCs w:val="20"/>
          <w:shd w:val="clear" w:color="auto" w:fill="FFFFFF"/>
          <w:lang w:val="es-CR"/>
        </w:rPr>
      </w:pPr>
      <w:r w:rsidRPr="0090649A">
        <w:rPr>
          <w:rFonts w:ascii="Verdana" w:hAnsi="Verdana"/>
          <w:color w:val="000000"/>
          <w:sz w:val="20"/>
          <w:szCs w:val="20"/>
          <w:shd w:val="clear" w:color="auto" w:fill="FFFFFF"/>
          <w:lang w:val="es-CR"/>
        </w:rPr>
        <w:t xml:space="preserve">El escrito presentado </w:t>
      </w:r>
      <w:r w:rsidRPr="0090649A">
        <w:rPr>
          <w:rFonts w:ascii="Verdana" w:hAnsi="Verdana"/>
          <w:sz w:val="20"/>
          <w:szCs w:val="20"/>
          <w:lang w:val="es-CR"/>
        </w:rPr>
        <w:t xml:space="preserve">el 9 de febrero de 2017 por el Comité de Derechos Humanos del Colegio de Abogados de Inglaterra y Gales en calidad de </w:t>
      </w:r>
      <w:r w:rsidRPr="0090649A">
        <w:rPr>
          <w:rFonts w:ascii="Verdana" w:hAnsi="Verdana"/>
          <w:i/>
          <w:sz w:val="20"/>
          <w:szCs w:val="20"/>
          <w:lang w:val="es-CR"/>
        </w:rPr>
        <w:t>amicus curiae</w:t>
      </w:r>
      <w:r w:rsidRPr="0090649A">
        <w:rPr>
          <w:rFonts w:ascii="Verdana" w:hAnsi="Verdana"/>
          <w:sz w:val="20"/>
          <w:szCs w:val="20"/>
          <w:lang w:val="es-CR"/>
        </w:rPr>
        <w:t xml:space="preserve">. </w:t>
      </w:r>
    </w:p>
    <w:p w:rsidR="00EE5001" w:rsidRPr="0090649A" w:rsidRDefault="00EE5001" w:rsidP="00EE5001">
      <w:pPr>
        <w:spacing w:after="0" w:line="240" w:lineRule="auto"/>
        <w:jc w:val="both"/>
        <w:rPr>
          <w:rFonts w:ascii="Verdana" w:hAnsi="Verdana"/>
          <w:b/>
          <w:color w:val="000000"/>
          <w:sz w:val="20"/>
          <w:szCs w:val="20"/>
          <w:shd w:val="clear" w:color="auto" w:fill="FFFFFF"/>
          <w:lang w:val="es-CR"/>
        </w:rPr>
      </w:pPr>
    </w:p>
    <w:p w:rsidR="00EE5001" w:rsidRPr="0090649A" w:rsidRDefault="00981F90" w:rsidP="00EE5001">
      <w:pPr>
        <w:numPr>
          <w:ilvl w:val="0"/>
          <w:numId w:val="2"/>
        </w:numPr>
        <w:spacing w:after="0" w:line="240" w:lineRule="auto"/>
        <w:ind w:left="0" w:firstLine="0"/>
        <w:jc w:val="both"/>
        <w:rPr>
          <w:rFonts w:ascii="Verdana" w:hAnsi="Verdana"/>
          <w:b/>
          <w:color w:val="000000"/>
          <w:sz w:val="20"/>
          <w:szCs w:val="20"/>
          <w:shd w:val="clear" w:color="auto" w:fill="FFFFFF"/>
          <w:lang w:val="es-CR"/>
        </w:rPr>
      </w:pPr>
      <w:r w:rsidRPr="0090649A">
        <w:rPr>
          <w:rFonts w:ascii="Verdana" w:hAnsi="Verdana"/>
          <w:sz w:val="20"/>
          <w:szCs w:val="20"/>
          <w:lang w:val="es-CR"/>
        </w:rPr>
        <w:t>La audiencia privada sobre supervisión de cumplimiento de Sentencia</w:t>
      </w:r>
      <w:r w:rsidRPr="0090649A">
        <w:rPr>
          <w:rStyle w:val="Refdenotaalpie"/>
          <w:rFonts w:ascii="Verdana" w:hAnsi="Verdana"/>
          <w:sz w:val="20"/>
          <w:szCs w:val="20"/>
          <w:lang w:val="es-CR"/>
        </w:rPr>
        <w:footnoteReference w:id="5"/>
      </w:r>
      <w:r w:rsidRPr="0090649A">
        <w:rPr>
          <w:rFonts w:ascii="Verdana" w:hAnsi="Verdana"/>
          <w:sz w:val="20"/>
          <w:szCs w:val="20"/>
          <w:lang w:val="es-CR"/>
        </w:rPr>
        <w:t>, celebrada el 10 de febrero de 2017 en la sede del Tribunal durante el 117 período ordinario de sesiones</w:t>
      </w:r>
      <w:r w:rsidRPr="0090649A">
        <w:rPr>
          <w:rStyle w:val="Refdenotaalpie"/>
          <w:rFonts w:ascii="Verdana" w:hAnsi="Verdana"/>
          <w:sz w:val="20"/>
          <w:szCs w:val="20"/>
          <w:lang w:val="es-CR"/>
        </w:rPr>
        <w:footnoteReference w:id="6"/>
      </w:r>
      <w:r w:rsidRPr="0090649A">
        <w:rPr>
          <w:rFonts w:ascii="Verdana" w:hAnsi="Verdana"/>
          <w:sz w:val="20"/>
          <w:szCs w:val="20"/>
          <w:lang w:val="es-CR"/>
        </w:rPr>
        <w:t>.</w:t>
      </w:r>
    </w:p>
    <w:p w:rsidR="00EE5001" w:rsidRPr="0090649A" w:rsidRDefault="00EE5001" w:rsidP="00EE5001">
      <w:pPr>
        <w:spacing w:after="0" w:line="240" w:lineRule="auto"/>
        <w:jc w:val="both"/>
        <w:rPr>
          <w:rFonts w:ascii="Verdana" w:hAnsi="Verdana"/>
          <w:b/>
          <w:color w:val="000000"/>
          <w:sz w:val="20"/>
          <w:szCs w:val="20"/>
          <w:shd w:val="clear" w:color="auto" w:fill="FFFFFF"/>
          <w:lang w:val="es-CR"/>
        </w:rPr>
      </w:pPr>
    </w:p>
    <w:p w:rsidR="00981F90" w:rsidRPr="0090649A" w:rsidRDefault="00EE5001" w:rsidP="00981F90">
      <w:pPr>
        <w:numPr>
          <w:ilvl w:val="0"/>
          <w:numId w:val="2"/>
        </w:numPr>
        <w:spacing w:after="0" w:line="240" w:lineRule="auto"/>
        <w:ind w:left="0" w:firstLine="0"/>
        <w:jc w:val="both"/>
        <w:rPr>
          <w:rFonts w:ascii="Verdana" w:hAnsi="Verdana"/>
          <w:color w:val="000000"/>
          <w:sz w:val="20"/>
          <w:szCs w:val="20"/>
          <w:shd w:val="clear" w:color="auto" w:fill="FFFFFF"/>
          <w:lang w:val="es-CR"/>
        </w:rPr>
      </w:pPr>
      <w:r w:rsidRPr="0090649A">
        <w:rPr>
          <w:rFonts w:ascii="Verdana" w:hAnsi="Verdana"/>
          <w:color w:val="000000"/>
          <w:sz w:val="20"/>
          <w:szCs w:val="20"/>
          <w:shd w:val="clear" w:color="auto" w:fill="FFFFFF"/>
          <w:lang w:val="es-CR"/>
        </w:rPr>
        <w:t xml:space="preserve">Los </w:t>
      </w:r>
      <w:r w:rsidR="00B33AA4">
        <w:rPr>
          <w:rFonts w:ascii="Verdana" w:hAnsi="Verdana"/>
          <w:color w:val="000000"/>
          <w:sz w:val="20"/>
          <w:szCs w:val="20"/>
          <w:shd w:val="clear" w:color="auto" w:fill="FFFFFF"/>
          <w:lang w:val="es-CR"/>
        </w:rPr>
        <w:t xml:space="preserve">tres </w:t>
      </w:r>
      <w:r w:rsidRPr="0090649A">
        <w:rPr>
          <w:rFonts w:ascii="Verdana" w:hAnsi="Verdana"/>
          <w:color w:val="000000"/>
          <w:sz w:val="20"/>
          <w:szCs w:val="20"/>
          <w:shd w:val="clear" w:color="auto" w:fill="FFFFFF"/>
          <w:lang w:val="es-CR"/>
        </w:rPr>
        <w:t>informes presentados por Honduras en</w:t>
      </w:r>
      <w:r w:rsidR="00B33AA4">
        <w:rPr>
          <w:rFonts w:ascii="Verdana" w:hAnsi="Verdana"/>
          <w:color w:val="000000"/>
          <w:sz w:val="20"/>
          <w:szCs w:val="20"/>
          <w:shd w:val="clear" w:color="auto" w:fill="FFFFFF"/>
          <w:lang w:val="es-CR"/>
        </w:rPr>
        <w:t>tre</w:t>
      </w:r>
      <w:r w:rsidRPr="0090649A">
        <w:rPr>
          <w:rFonts w:ascii="Verdana" w:hAnsi="Verdana"/>
          <w:color w:val="000000"/>
          <w:sz w:val="20"/>
          <w:szCs w:val="20"/>
          <w:shd w:val="clear" w:color="auto" w:fill="FFFFFF"/>
          <w:lang w:val="es-CR"/>
        </w:rPr>
        <w:t xml:space="preserve"> marzo y abril de 2017, y las correspondientes observaciones de l</w:t>
      </w:r>
      <w:r w:rsidR="00C1634F" w:rsidRPr="0090649A">
        <w:rPr>
          <w:rFonts w:ascii="Verdana" w:hAnsi="Verdana"/>
          <w:color w:val="000000"/>
          <w:sz w:val="20"/>
          <w:szCs w:val="20"/>
          <w:shd w:val="clear" w:color="auto" w:fill="FFFFFF"/>
          <w:lang w:val="es-CR"/>
        </w:rPr>
        <w:t>a</w:t>
      </w:r>
      <w:r w:rsidRPr="0090649A">
        <w:rPr>
          <w:rFonts w:ascii="Verdana" w:hAnsi="Verdana"/>
          <w:color w:val="000000"/>
          <w:sz w:val="20"/>
          <w:szCs w:val="20"/>
          <w:shd w:val="clear" w:color="auto" w:fill="FFFFFF"/>
          <w:lang w:val="es-CR"/>
        </w:rPr>
        <w:t>s representantes de las víctimas</w:t>
      </w:r>
      <w:r w:rsidR="00E86F7B" w:rsidRPr="00B33AA4">
        <w:rPr>
          <w:rStyle w:val="Refdenotaalpie"/>
          <w:rFonts w:ascii="Verdana" w:hAnsi="Verdana"/>
          <w:color w:val="000000"/>
          <w:sz w:val="20"/>
          <w:szCs w:val="20"/>
          <w:shd w:val="clear" w:color="auto" w:fill="FFFFFF"/>
          <w:lang w:val="es-CR"/>
        </w:rPr>
        <w:footnoteReference w:id="7"/>
      </w:r>
      <w:r w:rsidRPr="0090649A">
        <w:rPr>
          <w:rFonts w:ascii="Verdana" w:hAnsi="Verdana"/>
          <w:color w:val="000000"/>
          <w:sz w:val="20"/>
          <w:szCs w:val="20"/>
          <w:shd w:val="clear" w:color="auto" w:fill="FFFFFF"/>
          <w:lang w:val="es-CR"/>
        </w:rPr>
        <w:t>.</w:t>
      </w:r>
    </w:p>
    <w:p w:rsidR="00981F90" w:rsidRPr="0090649A" w:rsidRDefault="00981F90" w:rsidP="00981F90">
      <w:pPr>
        <w:spacing w:after="0" w:line="240" w:lineRule="auto"/>
        <w:jc w:val="both"/>
        <w:rPr>
          <w:rFonts w:ascii="Verdana" w:hAnsi="Verdana"/>
          <w:b/>
          <w:sz w:val="20"/>
          <w:szCs w:val="20"/>
          <w:lang w:val="es-CR"/>
        </w:rPr>
      </w:pPr>
    </w:p>
    <w:p w:rsidR="00981F90" w:rsidRPr="0090649A" w:rsidRDefault="00981F90" w:rsidP="00981F90">
      <w:pPr>
        <w:spacing w:after="0" w:line="240" w:lineRule="auto"/>
        <w:jc w:val="both"/>
        <w:rPr>
          <w:rFonts w:ascii="Verdana" w:hAnsi="Verdana"/>
          <w:b/>
          <w:sz w:val="20"/>
          <w:lang w:val="es-CR"/>
        </w:rPr>
      </w:pPr>
      <w:r w:rsidRPr="0090649A">
        <w:rPr>
          <w:rFonts w:ascii="Verdana" w:hAnsi="Verdana"/>
          <w:b/>
          <w:sz w:val="20"/>
          <w:szCs w:val="20"/>
          <w:lang w:val="es-CR"/>
        </w:rPr>
        <w:t>C</w:t>
      </w:r>
      <w:r w:rsidRPr="0090649A">
        <w:rPr>
          <w:rFonts w:ascii="Verdana" w:hAnsi="Verdana"/>
          <w:b/>
          <w:sz w:val="20"/>
          <w:lang w:val="es-CR"/>
        </w:rPr>
        <w:t xml:space="preserve">ONSIDERANDO QUE: </w:t>
      </w:r>
    </w:p>
    <w:p w:rsidR="00981F90" w:rsidRPr="0090649A" w:rsidRDefault="00981F90" w:rsidP="00981F90">
      <w:pPr>
        <w:spacing w:after="0" w:line="240" w:lineRule="auto"/>
        <w:jc w:val="both"/>
        <w:rPr>
          <w:rFonts w:ascii="Verdana" w:hAnsi="Verdana"/>
          <w:b/>
          <w:sz w:val="20"/>
          <w:lang w:val="es-CR"/>
        </w:rPr>
      </w:pPr>
    </w:p>
    <w:p w:rsidR="00981F90" w:rsidRPr="0090649A" w:rsidRDefault="00981F90" w:rsidP="00981F90">
      <w:pPr>
        <w:numPr>
          <w:ilvl w:val="0"/>
          <w:numId w:val="3"/>
        </w:numPr>
        <w:spacing w:after="0" w:line="240" w:lineRule="auto"/>
        <w:ind w:left="0" w:firstLine="0"/>
        <w:jc w:val="both"/>
        <w:rPr>
          <w:rFonts w:ascii="Verdana" w:hAnsi="Verdana"/>
          <w:b/>
          <w:sz w:val="20"/>
          <w:lang w:val="es-CR"/>
        </w:rPr>
      </w:pPr>
      <w:r w:rsidRPr="0090649A">
        <w:rPr>
          <w:rFonts w:ascii="Verdana" w:hAnsi="Verdana"/>
          <w:sz w:val="20"/>
          <w:lang w:val="es-CR"/>
        </w:rPr>
        <w:t>En el ejercicio de su función jurisdiccional de supervisar el cumplimiento de sus decisiones</w:t>
      </w:r>
      <w:r w:rsidRPr="0090649A">
        <w:rPr>
          <w:rStyle w:val="Refdenotaalpie"/>
          <w:rFonts w:ascii="Verdana" w:hAnsi="Verdana"/>
          <w:sz w:val="20"/>
          <w:lang w:val="es-CR"/>
        </w:rPr>
        <w:footnoteReference w:id="8"/>
      </w:r>
      <w:r w:rsidRPr="0090649A">
        <w:rPr>
          <w:rFonts w:ascii="Verdana" w:hAnsi="Verdana"/>
          <w:sz w:val="20"/>
          <w:lang w:val="es-CR"/>
        </w:rPr>
        <w:t>, la Corte ha venido supervisando la ejecución de la Sentencia emitida en</w:t>
      </w:r>
      <w:r w:rsidR="00B33AA4">
        <w:rPr>
          <w:rFonts w:ascii="Verdana" w:hAnsi="Verdana"/>
          <w:sz w:val="20"/>
          <w:lang w:val="es-CR"/>
        </w:rPr>
        <w:t xml:space="preserve"> presente caso en</w:t>
      </w:r>
      <w:r w:rsidRPr="0090649A">
        <w:rPr>
          <w:rFonts w:ascii="Verdana" w:hAnsi="Verdana"/>
          <w:sz w:val="20"/>
          <w:lang w:val="es-CR"/>
        </w:rPr>
        <w:t xml:space="preserve"> el </w:t>
      </w:r>
      <w:r w:rsidR="00B33AA4">
        <w:rPr>
          <w:rFonts w:ascii="Verdana" w:hAnsi="Verdana"/>
          <w:sz w:val="20"/>
          <w:lang w:val="es-CR"/>
        </w:rPr>
        <w:t xml:space="preserve">año </w:t>
      </w:r>
      <w:r w:rsidRPr="0090649A">
        <w:rPr>
          <w:rFonts w:ascii="Verdana" w:hAnsi="Verdana"/>
          <w:sz w:val="20"/>
          <w:lang w:val="es-CR"/>
        </w:rPr>
        <w:t>2015 (</w:t>
      </w:r>
      <w:r w:rsidRPr="0090649A">
        <w:rPr>
          <w:rFonts w:ascii="Verdana" w:hAnsi="Verdana"/>
          <w:i/>
          <w:sz w:val="20"/>
          <w:lang w:val="es-CR"/>
        </w:rPr>
        <w:t>supra</w:t>
      </w:r>
      <w:r w:rsidRPr="0090649A">
        <w:rPr>
          <w:rFonts w:ascii="Verdana" w:hAnsi="Verdana"/>
          <w:sz w:val="20"/>
          <w:lang w:val="es-CR"/>
        </w:rPr>
        <w:t xml:space="preserve"> Visto 1). </w:t>
      </w:r>
      <w:r w:rsidRPr="0090649A">
        <w:rPr>
          <w:rFonts w:ascii="Verdana" w:hAnsi="Verdana"/>
          <w:sz w:val="20"/>
          <w:szCs w:val="20"/>
          <w:lang w:val="es-CR"/>
        </w:rPr>
        <w:t xml:space="preserve">En </w:t>
      </w:r>
      <w:r w:rsidR="00B33AA4">
        <w:rPr>
          <w:rFonts w:ascii="Verdana" w:hAnsi="Verdana"/>
          <w:sz w:val="20"/>
          <w:szCs w:val="20"/>
          <w:lang w:val="es-CR"/>
        </w:rPr>
        <w:t>dicha</w:t>
      </w:r>
      <w:r w:rsidR="00B33AA4" w:rsidRPr="0090649A">
        <w:rPr>
          <w:rFonts w:ascii="Verdana" w:hAnsi="Verdana"/>
          <w:sz w:val="20"/>
          <w:szCs w:val="20"/>
          <w:lang w:val="es-CR"/>
        </w:rPr>
        <w:t xml:space="preserve"> </w:t>
      </w:r>
      <w:r w:rsidRPr="0090649A">
        <w:rPr>
          <w:rFonts w:ascii="Verdana" w:hAnsi="Verdana"/>
          <w:sz w:val="20"/>
          <w:szCs w:val="20"/>
          <w:lang w:val="es-CR"/>
        </w:rPr>
        <w:t xml:space="preserve">Sentencia la Corte dispuso las siguientes medidas de reparación: a) </w:t>
      </w:r>
      <w:r w:rsidRPr="0090649A">
        <w:rPr>
          <w:rFonts w:ascii="Verdana" w:hAnsi="Verdana"/>
          <w:sz w:val="20"/>
          <w:szCs w:val="19"/>
          <w:lang w:val="es-CR"/>
        </w:rPr>
        <w:t>reincorporar a Adán Guillermo López Lone, Tirza del Carmen Flores Lanza y Luis Chévez de la Rocha a cargos similares a los que desempeñaban al momento de los hechos (</w:t>
      </w:r>
      <w:r w:rsidRPr="0090649A">
        <w:rPr>
          <w:rFonts w:ascii="Verdana" w:hAnsi="Verdana"/>
          <w:i/>
          <w:sz w:val="20"/>
          <w:szCs w:val="19"/>
          <w:lang w:val="es-CR"/>
        </w:rPr>
        <w:t>infra</w:t>
      </w:r>
      <w:r w:rsidR="00015D93" w:rsidRPr="0090649A">
        <w:rPr>
          <w:rFonts w:ascii="Verdana" w:hAnsi="Verdana"/>
          <w:sz w:val="20"/>
          <w:szCs w:val="19"/>
          <w:lang w:val="es-CR"/>
        </w:rPr>
        <w:t xml:space="preserve"> Considerando 3</w:t>
      </w:r>
      <w:r w:rsidRPr="0090649A">
        <w:rPr>
          <w:rFonts w:ascii="Verdana" w:hAnsi="Verdana"/>
          <w:sz w:val="20"/>
          <w:szCs w:val="19"/>
          <w:lang w:val="es-CR"/>
        </w:rPr>
        <w:t>)</w:t>
      </w:r>
      <w:r w:rsidRPr="0090649A">
        <w:rPr>
          <w:rFonts w:ascii="Verdana" w:hAnsi="Verdana"/>
          <w:sz w:val="20"/>
          <w:szCs w:val="20"/>
          <w:lang w:val="es-CR"/>
        </w:rPr>
        <w:t xml:space="preserve">; b) realizar las publicaciones de la Sentencia o su resumen oficial indicadas en la misma; c) pagar las cantidades fijadas en la Sentencia por concepto de indemnizaciones del daño material e inmaterial, y d) pagar las cantidades fijadas en la Sentencia por reintegro de costas y gastos. </w:t>
      </w:r>
    </w:p>
    <w:p w:rsidR="001F67F0" w:rsidRPr="0090649A" w:rsidRDefault="001F67F0" w:rsidP="00B4241A">
      <w:pPr>
        <w:pStyle w:val="Sombreadovistoso-nfasis3"/>
        <w:spacing w:after="0" w:line="240" w:lineRule="auto"/>
        <w:ind w:left="0"/>
        <w:contextualSpacing w:val="0"/>
        <w:jc w:val="both"/>
        <w:rPr>
          <w:rFonts w:ascii="Verdana" w:hAnsi="Verdana"/>
          <w:b/>
          <w:sz w:val="20"/>
          <w:lang w:val="es-CR"/>
        </w:rPr>
      </w:pPr>
    </w:p>
    <w:p w:rsidR="00F35D06" w:rsidRPr="0090649A" w:rsidRDefault="00A870DF" w:rsidP="00B4241A">
      <w:pPr>
        <w:pStyle w:val="Sombreadovistoso-nfasis3"/>
        <w:numPr>
          <w:ilvl w:val="0"/>
          <w:numId w:val="3"/>
        </w:numPr>
        <w:spacing w:after="0" w:line="240" w:lineRule="auto"/>
        <w:ind w:left="0" w:firstLine="0"/>
        <w:contextualSpacing w:val="0"/>
        <w:jc w:val="both"/>
        <w:rPr>
          <w:rFonts w:ascii="Verdana" w:hAnsi="Verdana"/>
          <w:sz w:val="20"/>
          <w:szCs w:val="20"/>
          <w:lang w:val="es-CR"/>
        </w:rPr>
      </w:pPr>
      <w:r w:rsidRPr="0090649A">
        <w:rPr>
          <w:rFonts w:ascii="Verdana" w:hAnsi="Verdana"/>
          <w:sz w:val="20"/>
          <w:lang w:val="es-CR"/>
        </w:rPr>
        <w:t xml:space="preserve">La Corte valorará la información presentada por las partes respecto de las </w:t>
      </w:r>
      <w:r w:rsidR="004C14EF" w:rsidRPr="0090649A">
        <w:rPr>
          <w:rFonts w:ascii="Verdana" w:hAnsi="Verdana"/>
          <w:sz w:val="20"/>
          <w:lang w:val="es-CR"/>
        </w:rPr>
        <w:t xml:space="preserve">cuatro </w:t>
      </w:r>
      <w:r w:rsidRPr="0090649A">
        <w:rPr>
          <w:rFonts w:ascii="Verdana" w:hAnsi="Verdana"/>
          <w:sz w:val="20"/>
          <w:lang w:val="es-CR"/>
        </w:rPr>
        <w:t>medidas de reparación ordenadas en este caso (</w:t>
      </w:r>
      <w:r w:rsidRPr="0090649A">
        <w:rPr>
          <w:rFonts w:ascii="Verdana" w:hAnsi="Verdana"/>
          <w:i/>
          <w:sz w:val="20"/>
          <w:lang w:val="es-CR"/>
        </w:rPr>
        <w:t>supra</w:t>
      </w:r>
      <w:r w:rsidRPr="0090649A">
        <w:rPr>
          <w:rFonts w:ascii="Verdana" w:hAnsi="Verdana"/>
          <w:sz w:val="20"/>
          <w:lang w:val="es-CR"/>
        </w:rPr>
        <w:t xml:space="preserve"> Considerando 1), y determinará el grado de cumplimiento por parte del Estado. </w:t>
      </w:r>
      <w:r w:rsidR="009326C2">
        <w:rPr>
          <w:rFonts w:ascii="Verdana" w:hAnsi="Verdana"/>
          <w:sz w:val="20"/>
          <w:lang w:val="es-CR"/>
        </w:rPr>
        <w:t>También se pronunciará</w:t>
      </w:r>
      <w:r w:rsidR="00DC5971">
        <w:rPr>
          <w:rFonts w:ascii="Verdana" w:hAnsi="Verdana"/>
          <w:sz w:val="20"/>
          <w:lang w:val="es-CR"/>
        </w:rPr>
        <w:t xml:space="preserve"> sobre </w:t>
      </w:r>
      <w:r w:rsidR="00791F36">
        <w:rPr>
          <w:rFonts w:ascii="Verdana" w:hAnsi="Verdana"/>
          <w:sz w:val="20"/>
          <w:lang w:val="es-CR"/>
        </w:rPr>
        <w:t>una</w:t>
      </w:r>
      <w:r w:rsidR="00DC5971">
        <w:rPr>
          <w:rFonts w:ascii="Verdana" w:hAnsi="Verdana"/>
          <w:sz w:val="20"/>
          <w:lang w:val="es-CR"/>
        </w:rPr>
        <w:t xml:space="preserve"> solicitud </w:t>
      </w:r>
      <w:r w:rsidR="00791F36">
        <w:rPr>
          <w:rFonts w:ascii="Verdana" w:hAnsi="Verdana"/>
          <w:sz w:val="20"/>
          <w:lang w:val="es-CR"/>
        </w:rPr>
        <w:t>relativa</w:t>
      </w:r>
      <w:r w:rsidR="00DC5971">
        <w:rPr>
          <w:rFonts w:ascii="Verdana" w:hAnsi="Verdana"/>
          <w:sz w:val="20"/>
          <w:lang w:val="es-CR"/>
        </w:rPr>
        <w:t xml:space="preserve"> a</w:t>
      </w:r>
      <w:r w:rsidR="00791F36">
        <w:rPr>
          <w:rFonts w:ascii="Verdana" w:hAnsi="Verdana"/>
          <w:sz w:val="20"/>
          <w:lang w:val="es-CR"/>
        </w:rPr>
        <w:t>l</w:t>
      </w:r>
      <w:r w:rsidR="00DC5971">
        <w:rPr>
          <w:rFonts w:ascii="Verdana" w:hAnsi="Verdana"/>
          <w:sz w:val="20"/>
          <w:lang w:val="es-CR"/>
        </w:rPr>
        <w:t xml:space="preserve"> reintegro de gastos </w:t>
      </w:r>
      <w:r w:rsidR="00791F36">
        <w:rPr>
          <w:rFonts w:ascii="Verdana" w:hAnsi="Verdana"/>
          <w:sz w:val="20"/>
          <w:lang w:val="es-CR"/>
        </w:rPr>
        <w:t>durante la etapa de supervisión</w:t>
      </w:r>
      <w:r w:rsidR="00DC5971">
        <w:rPr>
          <w:rFonts w:ascii="Verdana" w:hAnsi="Verdana"/>
          <w:sz w:val="20"/>
          <w:lang w:val="es-CR"/>
        </w:rPr>
        <w:t xml:space="preserve">. </w:t>
      </w:r>
      <w:r w:rsidR="00FC5CBC" w:rsidRPr="0090649A">
        <w:rPr>
          <w:rFonts w:ascii="Verdana" w:hAnsi="Verdana"/>
          <w:sz w:val="20"/>
          <w:lang w:val="es-CR"/>
        </w:rPr>
        <w:t xml:space="preserve">El Tribunal estructurará sus consideraciones en el siguiente orden: </w:t>
      </w:r>
    </w:p>
    <w:p w:rsidR="001F67F0" w:rsidRPr="0090649A" w:rsidRDefault="001F67F0" w:rsidP="00B4241A">
      <w:pPr>
        <w:pStyle w:val="Sombreadovistoso-nfasis3"/>
        <w:spacing w:after="0" w:line="240" w:lineRule="auto"/>
        <w:ind w:left="0"/>
        <w:contextualSpacing w:val="0"/>
        <w:jc w:val="both"/>
        <w:rPr>
          <w:rFonts w:ascii="Verdana" w:hAnsi="Verdana"/>
          <w:sz w:val="20"/>
          <w:szCs w:val="20"/>
          <w:lang w:val="es-CR"/>
        </w:rPr>
      </w:pPr>
    </w:p>
    <w:p w:rsidR="00011681" w:rsidRPr="006D4E2F" w:rsidRDefault="00202E30" w:rsidP="005F447F">
      <w:pPr>
        <w:pStyle w:val="TDC1"/>
        <w:rPr>
          <w:rFonts w:eastAsia="Times New Roman"/>
          <w:noProof/>
          <w:lang w:val="es-CR" w:eastAsia="es-CR"/>
        </w:rPr>
      </w:pPr>
      <w:r w:rsidRPr="0090649A">
        <w:rPr>
          <w:lang w:val="es-CR"/>
        </w:rPr>
        <w:fldChar w:fldCharType="begin"/>
      </w:r>
      <w:r w:rsidRPr="0090649A">
        <w:rPr>
          <w:lang w:val="es-CR"/>
        </w:rPr>
        <w:instrText xml:space="preserve"> TOC \o "1-1" \h \z \u </w:instrText>
      </w:r>
      <w:r w:rsidRPr="0090649A">
        <w:rPr>
          <w:lang w:val="es-CR"/>
        </w:rPr>
        <w:fldChar w:fldCharType="separate"/>
      </w:r>
      <w:hyperlink w:anchor="_Toc484097353" w:history="1">
        <w:r w:rsidR="00011681" w:rsidRPr="00011681">
          <w:rPr>
            <w:rStyle w:val="Hipervnculo"/>
            <w:rFonts w:ascii="Verdana" w:hAnsi="Verdana"/>
            <w:i/>
            <w:noProof/>
            <w:sz w:val="16"/>
            <w:szCs w:val="16"/>
            <w:lang w:val="es-CR"/>
          </w:rPr>
          <w:t>A.</w:t>
        </w:r>
        <w:r w:rsidR="00011681" w:rsidRPr="006D4E2F">
          <w:rPr>
            <w:rFonts w:eastAsia="Times New Roman"/>
            <w:noProof/>
            <w:lang w:val="es-CR" w:eastAsia="es-CR"/>
          </w:rPr>
          <w:tab/>
        </w:r>
        <w:r w:rsidR="00011681" w:rsidRPr="00011681">
          <w:rPr>
            <w:rStyle w:val="Hipervnculo"/>
            <w:rFonts w:ascii="Verdana" w:hAnsi="Verdana"/>
            <w:i/>
            <w:noProof/>
            <w:sz w:val="16"/>
            <w:szCs w:val="16"/>
            <w:lang w:val="es-CR"/>
          </w:rPr>
          <w:t>Reincorporación de tres de las víctimas a cargos similares a los que desempeñaban al momento de los hechos</w:t>
        </w:r>
        <w:r w:rsidR="00011681" w:rsidRPr="00011681">
          <w:rPr>
            <w:noProof/>
            <w:webHidden/>
          </w:rPr>
          <w:tab/>
        </w:r>
        <w:r w:rsidR="00011681" w:rsidRPr="005F447F">
          <w:rPr>
            <w:rFonts w:ascii="Verdana" w:hAnsi="Verdana"/>
            <w:noProof/>
            <w:webHidden/>
            <w:sz w:val="16"/>
          </w:rPr>
          <w:fldChar w:fldCharType="begin"/>
        </w:r>
        <w:r w:rsidR="00011681" w:rsidRPr="005F447F">
          <w:rPr>
            <w:rFonts w:ascii="Verdana" w:hAnsi="Verdana"/>
            <w:noProof/>
            <w:webHidden/>
            <w:sz w:val="16"/>
          </w:rPr>
          <w:instrText xml:space="preserve"> PAGEREF _Toc484097353 \h </w:instrText>
        </w:r>
        <w:r w:rsidR="00011681" w:rsidRPr="005F447F">
          <w:rPr>
            <w:rFonts w:ascii="Verdana" w:hAnsi="Verdana"/>
            <w:noProof/>
            <w:webHidden/>
            <w:sz w:val="16"/>
          </w:rPr>
        </w:r>
        <w:r w:rsidR="00011681" w:rsidRPr="005F447F">
          <w:rPr>
            <w:rFonts w:ascii="Verdana" w:hAnsi="Verdana"/>
            <w:noProof/>
            <w:webHidden/>
            <w:sz w:val="16"/>
          </w:rPr>
          <w:fldChar w:fldCharType="separate"/>
        </w:r>
        <w:r w:rsidR="00EE3450">
          <w:rPr>
            <w:rFonts w:ascii="Verdana" w:hAnsi="Verdana"/>
            <w:noProof/>
            <w:webHidden/>
            <w:sz w:val="16"/>
          </w:rPr>
          <w:t>3</w:t>
        </w:r>
        <w:r w:rsidR="00011681" w:rsidRPr="005F447F">
          <w:rPr>
            <w:rFonts w:ascii="Verdana" w:hAnsi="Verdana"/>
            <w:noProof/>
            <w:webHidden/>
            <w:sz w:val="16"/>
          </w:rPr>
          <w:fldChar w:fldCharType="end"/>
        </w:r>
      </w:hyperlink>
    </w:p>
    <w:p w:rsidR="00011681" w:rsidRPr="006D4E2F" w:rsidRDefault="00011681" w:rsidP="005F447F">
      <w:pPr>
        <w:pStyle w:val="TDC1"/>
        <w:rPr>
          <w:rFonts w:eastAsia="Times New Roman"/>
          <w:noProof/>
          <w:lang w:val="es-CR" w:eastAsia="es-CR"/>
        </w:rPr>
      </w:pPr>
      <w:hyperlink w:anchor="_Toc484097354" w:history="1">
        <w:r w:rsidRPr="00011681">
          <w:rPr>
            <w:rStyle w:val="Hipervnculo"/>
            <w:rFonts w:ascii="Verdana" w:hAnsi="Verdana"/>
            <w:i/>
            <w:noProof/>
            <w:sz w:val="16"/>
            <w:szCs w:val="16"/>
            <w:lang w:val="es-CR"/>
          </w:rPr>
          <w:t>B.</w:t>
        </w:r>
        <w:r w:rsidRPr="006D4E2F">
          <w:rPr>
            <w:rFonts w:eastAsia="Times New Roman"/>
            <w:noProof/>
            <w:lang w:val="es-CR" w:eastAsia="es-CR"/>
          </w:rPr>
          <w:tab/>
        </w:r>
        <w:r w:rsidRPr="00011681">
          <w:rPr>
            <w:rStyle w:val="Hipervnculo"/>
            <w:rFonts w:ascii="Verdana" w:hAnsi="Verdana"/>
            <w:i/>
            <w:noProof/>
            <w:sz w:val="16"/>
            <w:szCs w:val="16"/>
            <w:lang w:val="es-CR"/>
          </w:rPr>
          <w:t>Publicación y difusión de la Sentencia</w:t>
        </w:r>
        <w:r w:rsidRPr="00011681">
          <w:rPr>
            <w:noProof/>
            <w:webHidden/>
          </w:rPr>
          <w:tab/>
        </w:r>
        <w:r w:rsidRPr="005F447F">
          <w:rPr>
            <w:rFonts w:ascii="Verdana" w:hAnsi="Verdana"/>
            <w:noProof/>
            <w:webHidden/>
            <w:sz w:val="16"/>
          </w:rPr>
          <w:fldChar w:fldCharType="begin"/>
        </w:r>
        <w:r w:rsidRPr="005F447F">
          <w:rPr>
            <w:rFonts w:ascii="Verdana" w:hAnsi="Verdana"/>
            <w:noProof/>
            <w:webHidden/>
            <w:sz w:val="16"/>
          </w:rPr>
          <w:instrText xml:space="preserve"> PAGEREF _Toc484097354 \h </w:instrText>
        </w:r>
        <w:r w:rsidRPr="005F447F">
          <w:rPr>
            <w:rFonts w:ascii="Verdana" w:hAnsi="Verdana"/>
            <w:noProof/>
            <w:webHidden/>
            <w:sz w:val="16"/>
          </w:rPr>
        </w:r>
        <w:r w:rsidRPr="005F447F">
          <w:rPr>
            <w:rFonts w:ascii="Verdana" w:hAnsi="Verdana"/>
            <w:noProof/>
            <w:webHidden/>
            <w:sz w:val="16"/>
          </w:rPr>
          <w:fldChar w:fldCharType="separate"/>
        </w:r>
        <w:r w:rsidR="00EE3450">
          <w:rPr>
            <w:rFonts w:ascii="Verdana" w:hAnsi="Verdana"/>
            <w:noProof/>
            <w:webHidden/>
            <w:sz w:val="16"/>
          </w:rPr>
          <w:t>12</w:t>
        </w:r>
        <w:r w:rsidRPr="005F447F">
          <w:rPr>
            <w:rFonts w:ascii="Verdana" w:hAnsi="Verdana"/>
            <w:noProof/>
            <w:webHidden/>
            <w:sz w:val="16"/>
          </w:rPr>
          <w:fldChar w:fldCharType="end"/>
        </w:r>
      </w:hyperlink>
    </w:p>
    <w:p w:rsidR="00011681" w:rsidRPr="006D4E2F" w:rsidRDefault="00011681" w:rsidP="005F447F">
      <w:pPr>
        <w:pStyle w:val="TDC1"/>
        <w:rPr>
          <w:rFonts w:eastAsia="Times New Roman"/>
          <w:noProof/>
          <w:lang w:val="es-CR" w:eastAsia="es-CR"/>
        </w:rPr>
      </w:pPr>
      <w:hyperlink w:anchor="_Toc484097355" w:history="1">
        <w:r w:rsidRPr="00011681">
          <w:rPr>
            <w:rStyle w:val="Hipervnculo"/>
            <w:rFonts w:ascii="Verdana" w:hAnsi="Verdana"/>
            <w:i/>
            <w:noProof/>
            <w:sz w:val="16"/>
            <w:szCs w:val="16"/>
            <w:lang w:val="es-CR"/>
          </w:rPr>
          <w:t>C.</w:t>
        </w:r>
        <w:r w:rsidRPr="006D4E2F">
          <w:rPr>
            <w:rFonts w:eastAsia="Times New Roman"/>
            <w:noProof/>
            <w:lang w:val="es-CR" w:eastAsia="es-CR"/>
          </w:rPr>
          <w:tab/>
        </w:r>
        <w:r w:rsidRPr="00011681">
          <w:rPr>
            <w:rStyle w:val="Hipervnculo"/>
            <w:rFonts w:ascii="Verdana" w:hAnsi="Verdana"/>
            <w:i/>
            <w:noProof/>
            <w:sz w:val="16"/>
            <w:szCs w:val="16"/>
            <w:lang w:val="es-CR"/>
          </w:rPr>
          <w:t>Pago de indemnizaciones por concepto de daño material e inmaterial y reintegro de costas y gastos</w:t>
        </w:r>
        <w:r w:rsidRPr="00011681">
          <w:rPr>
            <w:noProof/>
            <w:webHidden/>
          </w:rPr>
          <w:tab/>
        </w:r>
        <w:r w:rsidRPr="005F447F">
          <w:rPr>
            <w:rFonts w:ascii="Verdana" w:hAnsi="Verdana"/>
            <w:noProof/>
            <w:webHidden/>
            <w:sz w:val="16"/>
          </w:rPr>
          <w:fldChar w:fldCharType="begin"/>
        </w:r>
        <w:r w:rsidRPr="005F447F">
          <w:rPr>
            <w:rFonts w:ascii="Verdana" w:hAnsi="Verdana"/>
            <w:noProof/>
            <w:webHidden/>
            <w:sz w:val="16"/>
          </w:rPr>
          <w:instrText xml:space="preserve"> PAGEREF _Toc484097355 \h </w:instrText>
        </w:r>
        <w:r w:rsidRPr="005F447F">
          <w:rPr>
            <w:rFonts w:ascii="Verdana" w:hAnsi="Verdana"/>
            <w:noProof/>
            <w:webHidden/>
            <w:sz w:val="16"/>
          </w:rPr>
        </w:r>
        <w:r w:rsidRPr="005F447F">
          <w:rPr>
            <w:rFonts w:ascii="Verdana" w:hAnsi="Verdana"/>
            <w:noProof/>
            <w:webHidden/>
            <w:sz w:val="16"/>
          </w:rPr>
          <w:fldChar w:fldCharType="separate"/>
        </w:r>
        <w:r w:rsidR="00EE3450">
          <w:rPr>
            <w:rFonts w:ascii="Verdana" w:hAnsi="Verdana"/>
            <w:noProof/>
            <w:webHidden/>
            <w:sz w:val="16"/>
          </w:rPr>
          <w:t>13</w:t>
        </w:r>
        <w:r w:rsidRPr="005F447F">
          <w:rPr>
            <w:rFonts w:ascii="Verdana" w:hAnsi="Verdana"/>
            <w:noProof/>
            <w:webHidden/>
            <w:sz w:val="16"/>
          </w:rPr>
          <w:fldChar w:fldCharType="end"/>
        </w:r>
      </w:hyperlink>
    </w:p>
    <w:p w:rsidR="00011681" w:rsidRPr="006D4E2F" w:rsidRDefault="00011681" w:rsidP="005F447F">
      <w:pPr>
        <w:pStyle w:val="TDC1"/>
        <w:rPr>
          <w:rFonts w:eastAsia="Times New Roman"/>
          <w:noProof/>
          <w:lang w:val="es-CR" w:eastAsia="es-CR"/>
        </w:rPr>
      </w:pPr>
      <w:hyperlink w:anchor="_Toc484097356" w:history="1">
        <w:r w:rsidRPr="00011681">
          <w:rPr>
            <w:rStyle w:val="Hipervnculo"/>
            <w:rFonts w:ascii="Verdana" w:hAnsi="Verdana"/>
            <w:i/>
            <w:noProof/>
            <w:sz w:val="16"/>
            <w:szCs w:val="16"/>
            <w:lang w:val="es-CR"/>
          </w:rPr>
          <w:t>D.</w:t>
        </w:r>
        <w:r w:rsidRPr="006D4E2F">
          <w:rPr>
            <w:rFonts w:eastAsia="Times New Roman"/>
            <w:noProof/>
            <w:lang w:val="es-CR" w:eastAsia="es-CR"/>
          </w:rPr>
          <w:tab/>
        </w:r>
        <w:r w:rsidRPr="00011681">
          <w:rPr>
            <w:rStyle w:val="Hipervnculo"/>
            <w:rFonts w:ascii="Verdana" w:hAnsi="Verdana"/>
            <w:i/>
            <w:noProof/>
            <w:sz w:val="16"/>
            <w:szCs w:val="16"/>
            <w:lang w:val="es-CR"/>
          </w:rPr>
          <w:t>Solicitud de reintegro de gastos durante la etapa de supervisión</w:t>
        </w:r>
        <w:r w:rsidRPr="00011681">
          <w:rPr>
            <w:noProof/>
            <w:webHidden/>
          </w:rPr>
          <w:tab/>
        </w:r>
        <w:r w:rsidRPr="005F447F">
          <w:rPr>
            <w:rFonts w:ascii="Verdana" w:hAnsi="Verdana"/>
            <w:noProof/>
            <w:webHidden/>
            <w:sz w:val="16"/>
          </w:rPr>
          <w:fldChar w:fldCharType="begin"/>
        </w:r>
        <w:r w:rsidRPr="005F447F">
          <w:rPr>
            <w:rFonts w:ascii="Verdana" w:hAnsi="Verdana"/>
            <w:noProof/>
            <w:webHidden/>
            <w:sz w:val="16"/>
          </w:rPr>
          <w:instrText xml:space="preserve"> PAGEREF _Toc484097356 \h </w:instrText>
        </w:r>
        <w:r w:rsidRPr="005F447F">
          <w:rPr>
            <w:rFonts w:ascii="Verdana" w:hAnsi="Verdana"/>
            <w:noProof/>
            <w:webHidden/>
            <w:sz w:val="16"/>
          </w:rPr>
        </w:r>
        <w:r w:rsidRPr="005F447F">
          <w:rPr>
            <w:rFonts w:ascii="Verdana" w:hAnsi="Verdana"/>
            <w:noProof/>
            <w:webHidden/>
            <w:sz w:val="16"/>
          </w:rPr>
          <w:fldChar w:fldCharType="separate"/>
        </w:r>
        <w:r w:rsidR="00EE3450">
          <w:rPr>
            <w:rFonts w:ascii="Verdana" w:hAnsi="Verdana"/>
            <w:noProof/>
            <w:webHidden/>
            <w:sz w:val="16"/>
          </w:rPr>
          <w:t>15</w:t>
        </w:r>
        <w:r w:rsidRPr="005F447F">
          <w:rPr>
            <w:rFonts w:ascii="Verdana" w:hAnsi="Verdana"/>
            <w:noProof/>
            <w:webHidden/>
            <w:sz w:val="16"/>
          </w:rPr>
          <w:fldChar w:fldCharType="end"/>
        </w:r>
      </w:hyperlink>
    </w:p>
    <w:p w:rsidR="00F52620" w:rsidRPr="0090649A" w:rsidRDefault="00202E30" w:rsidP="00B4241A">
      <w:pPr>
        <w:pStyle w:val="Sombreadovistoso-nfasis3"/>
        <w:spacing w:after="0" w:line="240" w:lineRule="auto"/>
        <w:ind w:left="0"/>
        <w:contextualSpacing w:val="0"/>
        <w:jc w:val="both"/>
        <w:rPr>
          <w:rFonts w:ascii="Verdana" w:hAnsi="Verdana"/>
          <w:b/>
          <w:sz w:val="20"/>
          <w:lang w:val="es-CR"/>
        </w:rPr>
      </w:pPr>
      <w:r w:rsidRPr="0090649A">
        <w:rPr>
          <w:rFonts w:ascii="Verdana" w:hAnsi="Verdana"/>
          <w:sz w:val="16"/>
          <w:szCs w:val="16"/>
          <w:lang w:val="es-CR"/>
        </w:rPr>
        <w:fldChar w:fldCharType="end"/>
      </w:r>
    </w:p>
    <w:p w:rsidR="00981F90" w:rsidRPr="0090649A" w:rsidRDefault="00981F90" w:rsidP="00981F90">
      <w:pPr>
        <w:numPr>
          <w:ilvl w:val="0"/>
          <w:numId w:val="1"/>
        </w:numPr>
        <w:spacing w:after="0" w:line="240" w:lineRule="auto"/>
        <w:jc w:val="both"/>
        <w:outlineLvl w:val="0"/>
        <w:rPr>
          <w:rFonts w:ascii="Verdana" w:hAnsi="Verdana"/>
          <w:b/>
          <w:i/>
          <w:sz w:val="20"/>
          <w:lang w:val="es-CR"/>
        </w:rPr>
      </w:pPr>
      <w:bookmarkStart w:id="1" w:name="_Toc484097353"/>
      <w:r w:rsidRPr="0090649A">
        <w:rPr>
          <w:rFonts w:ascii="Verdana" w:hAnsi="Verdana"/>
          <w:b/>
          <w:i/>
          <w:sz w:val="20"/>
          <w:lang w:val="es-CR"/>
        </w:rPr>
        <w:t>Reincorporación de tres de las víctimas a cargos similares a los que desempeñaban al momento de los hechos</w:t>
      </w:r>
      <w:bookmarkEnd w:id="1"/>
    </w:p>
    <w:p w:rsidR="00981F90" w:rsidRPr="0090649A" w:rsidRDefault="00981F90" w:rsidP="00981F90">
      <w:pPr>
        <w:spacing w:after="0" w:line="240" w:lineRule="auto"/>
        <w:jc w:val="both"/>
        <w:outlineLvl w:val="0"/>
        <w:rPr>
          <w:rFonts w:ascii="Verdana" w:hAnsi="Verdana"/>
          <w:b/>
          <w:i/>
          <w:sz w:val="20"/>
          <w:lang w:val="es-CR"/>
        </w:rPr>
      </w:pPr>
    </w:p>
    <w:p w:rsidR="00981F90" w:rsidRPr="0090649A" w:rsidRDefault="00981F90" w:rsidP="00D0509D">
      <w:pPr>
        <w:spacing w:after="0" w:line="240" w:lineRule="auto"/>
        <w:ind w:firstLine="720"/>
        <w:jc w:val="both"/>
        <w:rPr>
          <w:rFonts w:ascii="Verdana" w:hAnsi="Verdana"/>
          <w:i/>
          <w:sz w:val="20"/>
          <w:lang w:val="es-CR"/>
        </w:rPr>
      </w:pPr>
      <w:r w:rsidRPr="0090649A">
        <w:rPr>
          <w:rFonts w:ascii="Verdana" w:hAnsi="Verdana"/>
          <w:i/>
          <w:sz w:val="20"/>
          <w:lang w:val="es-CR"/>
        </w:rPr>
        <w:t xml:space="preserve">A.1. Medida ordenada por la Corte </w:t>
      </w:r>
    </w:p>
    <w:p w:rsidR="00981F90" w:rsidRPr="0090649A" w:rsidRDefault="00981F90" w:rsidP="00981F90">
      <w:pPr>
        <w:spacing w:after="0" w:line="240" w:lineRule="auto"/>
        <w:jc w:val="both"/>
        <w:rPr>
          <w:rFonts w:ascii="Verdana" w:hAnsi="Verdana"/>
          <w:sz w:val="20"/>
          <w:lang w:val="es-CR"/>
        </w:rPr>
      </w:pPr>
    </w:p>
    <w:p w:rsidR="00981F90" w:rsidRPr="0090649A" w:rsidRDefault="00981F90" w:rsidP="00453D58">
      <w:pPr>
        <w:numPr>
          <w:ilvl w:val="0"/>
          <w:numId w:val="17"/>
        </w:numPr>
        <w:spacing w:after="0" w:line="240" w:lineRule="auto"/>
        <w:ind w:left="0" w:firstLine="0"/>
        <w:jc w:val="both"/>
        <w:rPr>
          <w:rFonts w:ascii="Verdana" w:hAnsi="Verdana"/>
          <w:sz w:val="20"/>
          <w:lang w:val="es-CR"/>
        </w:rPr>
      </w:pPr>
      <w:r w:rsidRPr="0090649A">
        <w:rPr>
          <w:rFonts w:ascii="Verdana" w:hAnsi="Verdana"/>
          <w:sz w:val="20"/>
          <w:lang w:val="es-CR"/>
        </w:rPr>
        <w:t xml:space="preserve">En el punto resolutivo décimo sexto y en los párrafos 297 y 298 de la Sentencia, la Corte dispuso que </w:t>
      </w:r>
      <w:r w:rsidRPr="0090649A">
        <w:rPr>
          <w:rFonts w:ascii="Verdana" w:hAnsi="Verdana" w:cs="Arial"/>
          <w:sz w:val="20"/>
          <w:szCs w:val="20"/>
          <w:lang w:val="es-CR"/>
        </w:rPr>
        <w:t>“[e]l Estado debe reincorporar a Adán Guillermo López Lone, Tirza del Carmen Flores Lanza y Luis Chévez de la Rocha a cargos similares a los que desempeñaban al momento de los hechos, con la misma remuneración, beneficios sociales y rango equiparables a los que les correspondería a la fecha si hubiesen sido reincorporados en su momento”</w:t>
      </w:r>
      <w:r w:rsidRPr="0090649A">
        <w:rPr>
          <w:rStyle w:val="Refdenotaalpie"/>
          <w:rFonts w:ascii="Verdana" w:hAnsi="Verdana" w:cs="Arial"/>
          <w:sz w:val="20"/>
          <w:szCs w:val="20"/>
          <w:lang w:val="es-CR"/>
        </w:rPr>
        <w:footnoteReference w:id="9"/>
      </w:r>
      <w:r w:rsidRPr="0090649A">
        <w:rPr>
          <w:rFonts w:ascii="Verdana" w:hAnsi="Verdana" w:cs="Arial"/>
          <w:sz w:val="20"/>
          <w:szCs w:val="20"/>
          <w:lang w:val="es-CR"/>
        </w:rPr>
        <w:t>.</w:t>
      </w:r>
      <w:r w:rsidRPr="0090649A">
        <w:rPr>
          <w:rFonts w:ascii="Verdana" w:hAnsi="Verdana"/>
          <w:sz w:val="20"/>
          <w:szCs w:val="20"/>
          <w:lang w:val="es-CR"/>
        </w:rPr>
        <w:t xml:space="preserve"> El Tribunal señaló que dicho reintegro debía realizarse en el “plazo de un año a partir de la notificación de [la] Sentencia”. Adicionalmente, indicó que “[a]l reintegrar a las víctimas, el Estado deberá hacerse cargo de las cantidades [</w:t>
      </w:r>
      <w:r w:rsidR="009D3954">
        <w:rPr>
          <w:rFonts w:ascii="Verdana" w:hAnsi="Verdana"/>
          <w:sz w:val="20"/>
          <w:szCs w:val="20"/>
          <w:lang w:val="es-CR"/>
        </w:rPr>
        <w:t>relativas</w:t>
      </w:r>
      <w:r w:rsidRPr="0090649A">
        <w:rPr>
          <w:rFonts w:ascii="Verdana" w:hAnsi="Verdana"/>
          <w:sz w:val="20"/>
          <w:szCs w:val="20"/>
          <w:lang w:val="es-CR"/>
        </w:rPr>
        <w:t xml:space="preserve">] a las cargas correspondientes a las previsiones sociales de las víctimas durante el tiempo que permanecieron fuera del Poder Judicial”. Asimismo, en el párrafo 299 de la Sentencia, la Corte indicó: </w:t>
      </w:r>
    </w:p>
    <w:p w:rsidR="00981F90" w:rsidRPr="0090649A" w:rsidRDefault="00981F90" w:rsidP="00981F90">
      <w:pPr>
        <w:spacing w:after="0" w:line="240" w:lineRule="auto"/>
        <w:jc w:val="both"/>
        <w:rPr>
          <w:rFonts w:ascii="Verdana" w:hAnsi="Verdana"/>
          <w:sz w:val="20"/>
          <w:szCs w:val="20"/>
          <w:lang w:val="es-CR"/>
        </w:rPr>
      </w:pPr>
    </w:p>
    <w:p w:rsidR="00981F90" w:rsidRPr="0090649A" w:rsidRDefault="00981F90" w:rsidP="00FA1C1B">
      <w:pPr>
        <w:spacing w:after="0" w:line="240" w:lineRule="auto"/>
        <w:ind w:left="709" w:right="720"/>
        <w:jc w:val="both"/>
        <w:rPr>
          <w:rFonts w:ascii="Verdana" w:hAnsi="Verdana"/>
          <w:sz w:val="18"/>
          <w:szCs w:val="20"/>
          <w:lang w:val="es-CR"/>
        </w:rPr>
      </w:pPr>
      <w:r w:rsidRPr="0090649A">
        <w:rPr>
          <w:rFonts w:ascii="Verdana" w:hAnsi="Verdana"/>
          <w:sz w:val="18"/>
          <w:szCs w:val="20"/>
          <w:lang w:val="es-CR"/>
        </w:rPr>
        <w:t xml:space="preserve">299. </w:t>
      </w:r>
      <w:r w:rsidRPr="00483F54">
        <w:rPr>
          <w:rFonts w:ascii="Verdana" w:hAnsi="Verdana"/>
          <w:sz w:val="18"/>
          <w:szCs w:val="20"/>
          <w:lang w:val="es-CR"/>
        </w:rPr>
        <w:t xml:space="preserve">Sin embargo, si por motivos ajenos a la voluntad de las víctimas y </w:t>
      </w:r>
      <w:r w:rsidRPr="0090649A">
        <w:rPr>
          <w:rFonts w:ascii="Verdana" w:hAnsi="Verdana"/>
          <w:sz w:val="18"/>
          <w:szCs w:val="20"/>
          <w:u w:val="single"/>
          <w:lang w:val="es-CR"/>
        </w:rPr>
        <w:t>ante la imposibilidad justificada de reincorpora</w:t>
      </w:r>
      <w:r w:rsidRPr="0090649A">
        <w:rPr>
          <w:rFonts w:ascii="Verdana" w:hAnsi="Verdana"/>
          <w:sz w:val="18"/>
          <w:szCs w:val="20"/>
          <w:lang w:val="es-CR"/>
        </w:rPr>
        <w:t>r a los señores Adán Guillermo López Lone, Tirza del Carmen Flores Lanza y Luis Chévez de la Rocha al Poder Judicial, el Estado deberá pagarles en sustitución una indemnización, que esta Corte fija en equidad en US$ 150.000,00 (ciento cincuenta mil dólares de los Estados Unidos de América) o su equivalente en moneda nacional a cada uno, en el plazo de seis meses o desde el momento en el que venza el plazo de un año para su reincorporación establecido en el párrafo anterior. (</w:t>
      </w:r>
      <w:proofErr w:type="gramStart"/>
      <w:r w:rsidRPr="0090649A">
        <w:rPr>
          <w:rFonts w:ascii="Verdana" w:hAnsi="Verdana"/>
          <w:sz w:val="18"/>
          <w:szCs w:val="20"/>
          <w:lang w:val="es-CR"/>
        </w:rPr>
        <w:t>subrayado</w:t>
      </w:r>
      <w:proofErr w:type="gramEnd"/>
      <w:r w:rsidRPr="0090649A">
        <w:rPr>
          <w:rFonts w:ascii="Verdana" w:hAnsi="Verdana"/>
          <w:sz w:val="18"/>
          <w:szCs w:val="20"/>
          <w:lang w:val="es-CR"/>
        </w:rPr>
        <w:t xml:space="preserve"> no es del original)</w:t>
      </w:r>
    </w:p>
    <w:p w:rsidR="00981F90" w:rsidRPr="0090649A" w:rsidRDefault="00981F90" w:rsidP="00981F90">
      <w:pPr>
        <w:spacing w:after="0" w:line="240" w:lineRule="auto"/>
        <w:jc w:val="both"/>
        <w:rPr>
          <w:rFonts w:ascii="Verdana" w:hAnsi="Verdana"/>
          <w:sz w:val="20"/>
          <w:lang w:val="es-CR"/>
        </w:rPr>
      </w:pPr>
    </w:p>
    <w:p w:rsidR="00981F90" w:rsidRPr="0090649A" w:rsidRDefault="00981F90" w:rsidP="00F25848">
      <w:pPr>
        <w:spacing w:after="0" w:line="240" w:lineRule="auto"/>
        <w:ind w:left="720"/>
        <w:jc w:val="both"/>
        <w:rPr>
          <w:rFonts w:ascii="Verdana" w:hAnsi="Verdana"/>
          <w:i/>
          <w:sz w:val="20"/>
          <w:lang w:val="es-CR"/>
        </w:rPr>
      </w:pPr>
      <w:r w:rsidRPr="0090649A">
        <w:rPr>
          <w:rFonts w:ascii="Verdana" w:hAnsi="Verdana"/>
          <w:i/>
          <w:sz w:val="20"/>
          <w:lang w:val="es-CR"/>
        </w:rPr>
        <w:t>A.2. Información y observaciones de las partes y de la Comisión y supervisión realizada mediante audiencia</w:t>
      </w:r>
    </w:p>
    <w:p w:rsidR="00981F90" w:rsidRPr="0090649A" w:rsidRDefault="00981F90" w:rsidP="00981F90">
      <w:pPr>
        <w:spacing w:after="0" w:line="240" w:lineRule="auto"/>
        <w:jc w:val="both"/>
        <w:rPr>
          <w:rFonts w:ascii="Verdana" w:hAnsi="Verdana"/>
          <w:sz w:val="20"/>
          <w:lang w:val="es-CR"/>
        </w:rPr>
      </w:pPr>
    </w:p>
    <w:p w:rsidR="00981F90" w:rsidRPr="009D3954" w:rsidRDefault="00981F90" w:rsidP="00F25848">
      <w:pPr>
        <w:numPr>
          <w:ilvl w:val="0"/>
          <w:numId w:val="17"/>
        </w:numPr>
        <w:autoSpaceDE w:val="0"/>
        <w:autoSpaceDN w:val="0"/>
        <w:adjustRightInd w:val="0"/>
        <w:spacing w:after="0" w:line="240" w:lineRule="auto"/>
        <w:ind w:left="0" w:firstLine="0"/>
        <w:jc w:val="both"/>
        <w:rPr>
          <w:rFonts w:ascii="Verdana" w:hAnsi="Verdana"/>
          <w:b/>
          <w:sz w:val="20"/>
          <w:szCs w:val="20"/>
          <w:lang w:val="es-CR"/>
        </w:rPr>
      </w:pPr>
      <w:r w:rsidRPr="009D3954">
        <w:rPr>
          <w:rFonts w:ascii="Verdana" w:hAnsi="Verdana"/>
          <w:sz w:val="20"/>
          <w:szCs w:val="20"/>
          <w:lang w:val="es-CR"/>
        </w:rPr>
        <w:t xml:space="preserve">En su primer informe de cumplimiento, presentado en noviembre de 2016, el </w:t>
      </w:r>
      <w:r w:rsidRPr="009D3954">
        <w:rPr>
          <w:rFonts w:ascii="Verdana" w:hAnsi="Verdana"/>
          <w:i/>
          <w:sz w:val="20"/>
          <w:szCs w:val="20"/>
          <w:lang w:val="es-CR"/>
        </w:rPr>
        <w:t>Estado</w:t>
      </w:r>
      <w:r w:rsidRPr="009D3954">
        <w:rPr>
          <w:rFonts w:ascii="Verdana" w:hAnsi="Verdana"/>
          <w:sz w:val="20"/>
          <w:szCs w:val="20"/>
          <w:lang w:val="es-CR"/>
        </w:rPr>
        <w:t xml:space="preserve"> señaló que, en octubre de ese mismo año, la Procuraduría General de la República convocó a las víctimas a una reunión para informarles “que el Poder Judicia[l] comunicó a [dicha institución] la imposibilidad por parte de ese Poder del Estado de proceder a la reincorporación de [las tres víctimas] a cargos similares a los que desempeñaban al momento de los hechos”</w:t>
      </w:r>
      <w:r w:rsidR="00483F54">
        <w:rPr>
          <w:rFonts w:ascii="Verdana" w:hAnsi="Verdana"/>
          <w:sz w:val="20"/>
          <w:szCs w:val="20"/>
          <w:lang w:val="es-CR"/>
        </w:rPr>
        <w:t>,</w:t>
      </w:r>
      <w:r w:rsidR="00F25848" w:rsidRPr="009D3954">
        <w:rPr>
          <w:rFonts w:ascii="Verdana" w:hAnsi="Verdana"/>
          <w:sz w:val="20"/>
          <w:szCs w:val="20"/>
          <w:lang w:val="es-CR"/>
        </w:rPr>
        <w:t xml:space="preserve"> por considerar que “</w:t>
      </w:r>
      <w:r w:rsidRPr="009D3954">
        <w:rPr>
          <w:rFonts w:ascii="Verdana" w:hAnsi="Verdana"/>
          <w:sz w:val="20"/>
          <w:szCs w:val="20"/>
          <w:lang w:val="es-CR"/>
        </w:rPr>
        <w:t>en la actualidad no existen plazas o cargos acordes a los que [las víctimas] desempeñaban al momento de sus cancelaciones</w:t>
      </w:r>
      <w:r w:rsidR="00F25848" w:rsidRPr="009D3954">
        <w:rPr>
          <w:rFonts w:ascii="Verdana" w:hAnsi="Verdana"/>
          <w:sz w:val="20"/>
          <w:szCs w:val="20"/>
          <w:lang w:val="es-CR"/>
        </w:rPr>
        <w:t>”</w:t>
      </w:r>
      <w:r w:rsidRPr="009D3954">
        <w:rPr>
          <w:rFonts w:ascii="Verdana" w:hAnsi="Verdana"/>
          <w:sz w:val="20"/>
          <w:szCs w:val="20"/>
          <w:lang w:val="es-CR"/>
        </w:rPr>
        <w:t xml:space="preserve"> </w:t>
      </w:r>
      <w:r w:rsidR="00F25848" w:rsidRPr="009D3954">
        <w:rPr>
          <w:rFonts w:ascii="Verdana" w:hAnsi="Verdana"/>
          <w:sz w:val="20"/>
          <w:szCs w:val="20"/>
          <w:lang w:val="es-CR"/>
        </w:rPr>
        <w:t xml:space="preserve">porque los cargos que desempeñaban fueron ocupados </w:t>
      </w:r>
      <w:r w:rsidR="002C0936" w:rsidRPr="009D3954">
        <w:rPr>
          <w:rFonts w:ascii="Verdana" w:hAnsi="Verdana"/>
          <w:sz w:val="20"/>
          <w:szCs w:val="20"/>
          <w:lang w:val="es-CR"/>
        </w:rPr>
        <w:t>(</w:t>
      </w:r>
      <w:r w:rsidR="002C0936" w:rsidRPr="009D3954">
        <w:rPr>
          <w:rFonts w:ascii="Verdana" w:hAnsi="Verdana"/>
          <w:i/>
          <w:sz w:val="20"/>
          <w:szCs w:val="20"/>
          <w:lang w:val="es-CR"/>
        </w:rPr>
        <w:t xml:space="preserve">infra </w:t>
      </w:r>
      <w:r w:rsidR="002C0936" w:rsidRPr="009D3954">
        <w:rPr>
          <w:rFonts w:ascii="Verdana" w:hAnsi="Verdana"/>
          <w:sz w:val="20"/>
          <w:szCs w:val="20"/>
          <w:lang w:val="es-CR"/>
        </w:rPr>
        <w:t xml:space="preserve">Considerando </w:t>
      </w:r>
      <w:r w:rsidR="00015D93" w:rsidRPr="009D3954">
        <w:rPr>
          <w:rFonts w:ascii="Verdana" w:hAnsi="Verdana"/>
          <w:sz w:val="20"/>
          <w:szCs w:val="20"/>
          <w:lang w:val="es-CR"/>
        </w:rPr>
        <w:t>1</w:t>
      </w:r>
      <w:r w:rsidR="001F3B23" w:rsidRPr="009D3954">
        <w:rPr>
          <w:rFonts w:ascii="Verdana" w:hAnsi="Verdana"/>
          <w:sz w:val="20"/>
          <w:szCs w:val="20"/>
          <w:lang w:val="es-CR"/>
        </w:rPr>
        <w:t>9</w:t>
      </w:r>
      <w:r w:rsidR="002C0936" w:rsidRPr="009D3954">
        <w:rPr>
          <w:rFonts w:ascii="Verdana" w:hAnsi="Verdana"/>
          <w:sz w:val="20"/>
          <w:szCs w:val="20"/>
          <w:lang w:val="es-CR"/>
        </w:rPr>
        <w:t>)</w:t>
      </w:r>
      <w:r w:rsidRPr="009D3954">
        <w:rPr>
          <w:rFonts w:ascii="Verdana" w:hAnsi="Verdana"/>
          <w:sz w:val="20"/>
          <w:szCs w:val="20"/>
          <w:lang w:val="es-CR"/>
        </w:rPr>
        <w:t xml:space="preserve">. El </w:t>
      </w:r>
      <w:r w:rsidRPr="009D3954">
        <w:rPr>
          <w:rFonts w:ascii="Verdana" w:hAnsi="Verdana"/>
          <w:i/>
          <w:sz w:val="20"/>
          <w:szCs w:val="20"/>
          <w:lang w:val="es-CR"/>
        </w:rPr>
        <w:t>Estado</w:t>
      </w:r>
      <w:r w:rsidRPr="009D3954">
        <w:rPr>
          <w:rFonts w:ascii="Verdana" w:hAnsi="Verdana"/>
          <w:sz w:val="20"/>
          <w:szCs w:val="20"/>
          <w:lang w:val="es-CR"/>
        </w:rPr>
        <w:t xml:space="preserve"> concluyó que “no cabe más que tomar en consideración la reparación alterna contemplada en el párrafo 299 de la Sentencia, en beneficio de las víctimas”. </w:t>
      </w:r>
      <w:r w:rsidR="00F25848" w:rsidRPr="009D3954">
        <w:rPr>
          <w:rFonts w:ascii="Verdana" w:hAnsi="Verdana"/>
          <w:sz w:val="20"/>
          <w:szCs w:val="20"/>
          <w:lang w:val="es-CR"/>
        </w:rPr>
        <w:t xml:space="preserve">Honduras también </w:t>
      </w:r>
      <w:r w:rsidRPr="009D3954">
        <w:rPr>
          <w:rFonts w:ascii="Verdana" w:hAnsi="Verdana"/>
          <w:sz w:val="20"/>
          <w:szCs w:val="20"/>
          <w:lang w:val="es-CR"/>
        </w:rPr>
        <w:t xml:space="preserve">señaló que las tres víctimas “manifestaron que no aceptaban la postura </w:t>
      </w:r>
      <w:r w:rsidR="00F25848" w:rsidRPr="009D3954">
        <w:rPr>
          <w:rFonts w:ascii="Verdana" w:hAnsi="Verdana"/>
          <w:sz w:val="20"/>
          <w:szCs w:val="20"/>
          <w:lang w:val="es-CR"/>
        </w:rPr>
        <w:t>[… d</w:t>
      </w:r>
      <w:proofErr w:type="gramStart"/>
      <w:r w:rsidR="00F25848" w:rsidRPr="009D3954">
        <w:rPr>
          <w:rFonts w:ascii="Verdana" w:hAnsi="Verdana"/>
          <w:sz w:val="20"/>
          <w:szCs w:val="20"/>
          <w:lang w:val="es-CR"/>
        </w:rPr>
        <w:t>]</w:t>
      </w:r>
      <w:r w:rsidRPr="009D3954">
        <w:rPr>
          <w:rFonts w:ascii="Verdana" w:hAnsi="Verdana"/>
          <w:sz w:val="20"/>
          <w:szCs w:val="20"/>
          <w:lang w:val="es-CR"/>
        </w:rPr>
        <w:t>el</w:t>
      </w:r>
      <w:proofErr w:type="gramEnd"/>
      <w:r w:rsidRPr="009D3954">
        <w:rPr>
          <w:rFonts w:ascii="Verdana" w:hAnsi="Verdana"/>
          <w:sz w:val="20"/>
          <w:szCs w:val="20"/>
          <w:lang w:val="es-CR"/>
        </w:rPr>
        <w:t xml:space="preserve"> Poder Judicial” y dos de ellas presentaron el 3 de noviembre de 2016 un escrito solicitando el reintegro a sus cargos</w:t>
      </w:r>
      <w:r w:rsidRPr="0090649A">
        <w:rPr>
          <w:rStyle w:val="Refdenotaalpie"/>
          <w:rFonts w:ascii="Verdana" w:hAnsi="Verdana"/>
          <w:sz w:val="20"/>
          <w:szCs w:val="20"/>
          <w:lang w:val="es-CR"/>
        </w:rPr>
        <w:footnoteReference w:id="10"/>
      </w:r>
      <w:r w:rsidRPr="009D3954">
        <w:rPr>
          <w:rFonts w:ascii="Verdana" w:hAnsi="Verdana"/>
          <w:sz w:val="20"/>
          <w:szCs w:val="20"/>
          <w:lang w:val="es-CR"/>
        </w:rPr>
        <w:t xml:space="preserve">. El </w:t>
      </w:r>
      <w:r w:rsidRPr="009D3954">
        <w:rPr>
          <w:rFonts w:ascii="Verdana" w:hAnsi="Verdana"/>
          <w:i/>
          <w:sz w:val="20"/>
          <w:szCs w:val="20"/>
          <w:lang w:val="es-CR"/>
        </w:rPr>
        <w:t>Estado</w:t>
      </w:r>
      <w:r w:rsidR="00F25848" w:rsidRPr="009D3954">
        <w:rPr>
          <w:rFonts w:ascii="Verdana" w:hAnsi="Verdana"/>
          <w:sz w:val="20"/>
          <w:szCs w:val="20"/>
          <w:lang w:val="es-CR"/>
        </w:rPr>
        <w:t xml:space="preserve"> indicó</w:t>
      </w:r>
      <w:r w:rsidRPr="009D3954">
        <w:rPr>
          <w:rFonts w:ascii="Verdana" w:hAnsi="Verdana"/>
          <w:sz w:val="20"/>
          <w:szCs w:val="20"/>
          <w:lang w:val="es-CR"/>
        </w:rPr>
        <w:t xml:space="preserve"> que el Presidente de la Corte Suprema de Justicia suscribió un oficio de 9 de noviembre de 2016, dirigido a la Procuraduría, en el cual </w:t>
      </w:r>
      <w:r w:rsidR="00F25848" w:rsidRPr="009D3954">
        <w:rPr>
          <w:rFonts w:ascii="Verdana" w:hAnsi="Verdana"/>
          <w:sz w:val="20"/>
          <w:szCs w:val="20"/>
          <w:lang w:val="es-CR"/>
        </w:rPr>
        <w:t xml:space="preserve">sostuvo </w:t>
      </w:r>
      <w:r w:rsidRPr="009D3954">
        <w:rPr>
          <w:rFonts w:ascii="Verdana" w:hAnsi="Verdana"/>
          <w:sz w:val="20"/>
          <w:szCs w:val="20"/>
          <w:lang w:val="es-CR"/>
        </w:rPr>
        <w:t xml:space="preserve">que “no […] </w:t>
      </w:r>
      <w:proofErr w:type="gramStart"/>
      <w:r w:rsidRPr="009D3954">
        <w:rPr>
          <w:rFonts w:ascii="Verdana" w:hAnsi="Verdana"/>
          <w:sz w:val="20"/>
          <w:szCs w:val="20"/>
          <w:lang w:val="es-CR"/>
        </w:rPr>
        <w:lastRenderedPageBreak/>
        <w:t>compart[</w:t>
      </w:r>
      <w:proofErr w:type="gramEnd"/>
      <w:r w:rsidRPr="009D3954">
        <w:rPr>
          <w:rFonts w:ascii="Verdana" w:hAnsi="Verdana"/>
          <w:sz w:val="20"/>
          <w:szCs w:val="20"/>
          <w:lang w:val="es-CR"/>
        </w:rPr>
        <w:t>ía]” la posición asumida por las referidas víctimas, ya que “los párrafos 297, 298 y 299 de la Sentencia, dej[an] la opción al Estado de pagar una indemnización alterna, en el caso de surgir la imposibilidad de reincorpora[r a las víctimas]”</w:t>
      </w:r>
      <w:r w:rsidR="00F25848" w:rsidRPr="0090649A">
        <w:rPr>
          <w:rStyle w:val="Refdenotaalpie"/>
          <w:rFonts w:ascii="Verdana" w:hAnsi="Verdana"/>
          <w:sz w:val="20"/>
          <w:szCs w:val="20"/>
          <w:lang w:val="es-CR"/>
        </w:rPr>
        <w:footnoteReference w:id="11"/>
      </w:r>
      <w:r w:rsidRPr="009D3954">
        <w:rPr>
          <w:rFonts w:ascii="Verdana" w:hAnsi="Verdana"/>
          <w:sz w:val="20"/>
          <w:szCs w:val="20"/>
          <w:lang w:val="es-CR"/>
        </w:rPr>
        <w:t xml:space="preserve">. </w:t>
      </w:r>
    </w:p>
    <w:p w:rsidR="00981F90" w:rsidRPr="0090649A" w:rsidRDefault="00981F90" w:rsidP="00981F90">
      <w:pPr>
        <w:spacing w:after="0" w:line="240" w:lineRule="auto"/>
        <w:rPr>
          <w:rFonts w:ascii="Verdana" w:hAnsi="Verdana"/>
          <w:lang w:val="es-CR"/>
        </w:rPr>
      </w:pPr>
    </w:p>
    <w:p w:rsidR="00981F90" w:rsidRPr="0090649A" w:rsidRDefault="00981F90" w:rsidP="00453D58">
      <w:pPr>
        <w:numPr>
          <w:ilvl w:val="0"/>
          <w:numId w:val="17"/>
        </w:numPr>
        <w:autoSpaceDE w:val="0"/>
        <w:autoSpaceDN w:val="0"/>
        <w:adjustRightInd w:val="0"/>
        <w:spacing w:after="0" w:line="240" w:lineRule="auto"/>
        <w:ind w:left="0" w:firstLine="0"/>
        <w:jc w:val="both"/>
        <w:rPr>
          <w:rFonts w:ascii="Verdana" w:hAnsi="Verdana"/>
          <w:sz w:val="20"/>
          <w:szCs w:val="20"/>
          <w:lang w:val="es-CR"/>
        </w:rPr>
      </w:pPr>
      <w:r w:rsidRPr="0090649A">
        <w:rPr>
          <w:rFonts w:ascii="Verdana" w:hAnsi="Verdana"/>
          <w:sz w:val="20"/>
          <w:szCs w:val="20"/>
          <w:lang w:val="es-CR"/>
        </w:rPr>
        <w:t>Asimismo, con respecto a la víctima Lui</w:t>
      </w:r>
      <w:r w:rsidR="00B057AD" w:rsidRPr="0090649A">
        <w:rPr>
          <w:rFonts w:ascii="Verdana" w:hAnsi="Verdana"/>
          <w:sz w:val="20"/>
          <w:szCs w:val="20"/>
          <w:lang w:val="es-CR"/>
        </w:rPr>
        <w:t xml:space="preserve">s Chévez de la Rocha, </w:t>
      </w:r>
      <w:r w:rsidRPr="0090649A">
        <w:rPr>
          <w:rFonts w:ascii="Verdana" w:hAnsi="Verdana"/>
          <w:sz w:val="20"/>
          <w:szCs w:val="20"/>
          <w:lang w:val="es-CR"/>
        </w:rPr>
        <w:t xml:space="preserve">Honduras </w:t>
      </w:r>
      <w:r w:rsidR="002C0936" w:rsidRPr="0090649A">
        <w:rPr>
          <w:rFonts w:ascii="Verdana" w:hAnsi="Verdana"/>
          <w:sz w:val="20"/>
          <w:szCs w:val="20"/>
          <w:lang w:val="es-CR"/>
        </w:rPr>
        <w:t>aportó copia del</w:t>
      </w:r>
      <w:r w:rsidRPr="0090649A">
        <w:rPr>
          <w:rFonts w:ascii="Verdana" w:hAnsi="Verdana"/>
          <w:sz w:val="20"/>
          <w:szCs w:val="20"/>
          <w:lang w:val="es-CR"/>
        </w:rPr>
        <w:t xml:space="preserve"> escrito de 18 de noviembre de ese mismo año</w:t>
      </w:r>
      <w:r w:rsidR="00B057AD" w:rsidRPr="0090649A">
        <w:rPr>
          <w:rFonts w:ascii="Verdana" w:hAnsi="Verdana"/>
          <w:sz w:val="20"/>
          <w:szCs w:val="20"/>
          <w:lang w:val="es-CR"/>
        </w:rPr>
        <w:t>,</w:t>
      </w:r>
      <w:r w:rsidR="002C0936" w:rsidRPr="0090649A">
        <w:rPr>
          <w:rFonts w:ascii="Verdana" w:hAnsi="Verdana"/>
          <w:sz w:val="20"/>
          <w:szCs w:val="20"/>
          <w:lang w:val="es-CR"/>
        </w:rPr>
        <w:t xml:space="preserve"> en el cual</w:t>
      </w:r>
      <w:r w:rsidRPr="0090649A">
        <w:rPr>
          <w:rFonts w:ascii="Verdana" w:hAnsi="Verdana"/>
          <w:sz w:val="20"/>
          <w:szCs w:val="20"/>
          <w:lang w:val="es-CR"/>
        </w:rPr>
        <w:t xml:space="preserve"> dicha víctima informó a la Procuraduría General de la República su voluntad de aceptar el pago de una indemnización en lugar de la reposición al puesto laboral</w:t>
      </w:r>
      <w:r w:rsidR="002C0936" w:rsidRPr="0090649A">
        <w:rPr>
          <w:rFonts w:ascii="Verdana" w:hAnsi="Verdana"/>
          <w:sz w:val="20"/>
          <w:szCs w:val="20"/>
          <w:lang w:val="es-CR"/>
        </w:rPr>
        <w:t xml:space="preserve"> (</w:t>
      </w:r>
      <w:r w:rsidR="002C0936" w:rsidRPr="0090649A">
        <w:rPr>
          <w:rFonts w:ascii="Verdana" w:hAnsi="Verdana"/>
          <w:i/>
          <w:sz w:val="20"/>
          <w:szCs w:val="20"/>
          <w:lang w:val="es-CR"/>
        </w:rPr>
        <w:t xml:space="preserve">infra </w:t>
      </w:r>
      <w:r w:rsidR="002C0936" w:rsidRPr="0090649A">
        <w:rPr>
          <w:rFonts w:ascii="Verdana" w:hAnsi="Verdana"/>
          <w:sz w:val="20"/>
          <w:szCs w:val="20"/>
          <w:lang w:val="es-CR"/>
        </w:rPr>
        <w:t xml:space="preserve">Considerando </w:t>
      </w:r>
      <w:r w:rsidR="00015D93" w:rsidRPr="0090649A">
        <w:rPr>
          <w:rFonts w:ascii="Verdana" w:hAnsi="Verdana"/>
          <w:sz w:val="20"/>
          <w:szCs w:val="20"/>
          <w:lang w:val="es-CR"/>
        </w:rPr>
        <w:t>1</w:t>
      </w:r>
      <w:r w:rsidR="001F3B23" w:rsidRPr="0090649A">
        <w:rPr>
          <w:rFonts w:ascii="Verdana" w:hAnsi="Verdana"/>
          <w:sz w:val="20"/>
          <w:szCs w:val="20"/>
          <w:lang w:val="es-CR"/>
        </w:rPr>
        <w:t>7</w:t>
      </w:r>
      <w:r w:rsidR="002C0936" w:rsidRPr="0090649A">
        <w:rPr>
          <w:rFonts w:ascii="Verdana" w:hAnsi="Verdana"/>
          <w:sz w:val="20"/>
          <w:szCs w:val="20"/>
          <w:lang w:val="es-CR"/>
        </w:rPr>
        <w:t>).</w:t>
      </w:r>
      <w:r w:rsidRPr="0090649A">
        <w:rPr>
          <w:rFonts w:ascii="Verdana" w:hAnsi="Verdana"/>
          <w:sz w:val="20"/>
          <w:szCs w:val="20"/>
          <w:lang w:val="es-CR"/>
        </w:rPr>
        <w:t xml:space="preserve"> </w:t>
      </w:r>
      <w:r w:rsidR="00B057AD" w:rsidRPr="0090649A">
        <w:rPr>
          <w:rFonts w:ascii="Verdana" w:hAnsi="Verdana"/>
          <w:sz w:val="20"/>
          <w:szCs w:val="20"/>
          <w:lang w:val="es-CR"/>
        </w:rPr>
        <w:t>E</w:t>
      </w:r>
      <w:r w:rsidRPr="0090649A">
        <w:rPr>
          <w:rFonts w:ascii="Verdana" w:hAnsi="Verdana"/>
          <w:sz w:val="20"/>
          <w:szCs w:val="20"/>
          <w:lang w:val="es-CR"/>
        </w:rPr>
        <w:t xml:space="preserve">l </w:t>
      </w:r>
      <w:r w:rsidRPr="0090649A">
        <w:rPr>
          <w:rFonts w:ascii="Verdana" w:hAnsi="Verdana"/>
          <w:i/>
          <w:sz w:val="20"/>
          <w:szCs w:val="20"/>
          <w:lang w:val="es-CR"/>
        </w:rPr>
        <w:t>Estado</w:t>
      </w:r>
      <w:r w:rsidRPr="0090649A">
        <w:rPr>
          <w:rFonts w:ascii="Verdana" w:hAnsi="Verdana"/>
          <w:sz w:val="20"/>
          <w:szCs w:val="20"/>
          <w:lang w:val="es-CR"/>
        </w:rPr>
        <w:t xml:space="preserve"> </w:t>
      </w:r>
      <w:r w:rsidR="002C0936" w:rsidRPr="0090649A">
        <w:rPr>
          <w:rFonts w:ascii="Verdana" w:hAnsi="Verdana"/>
          <w:sz w:val="20"/>
          <w:szCs w:val="20"/>
          <w:lang w:val="es-CR"/>
        </w:rPr>
        <w:t xml:space="preserve">comunicó </w:t>
      </w:r>
      <w:r w:rsidRPr="0090649A">
        <w:rPr>
          <w:rFonts w:ascii="Verdana" w:hAnsi="Verdana"/>
          <w:sz w:val="20"/>
          <w:szCs w:val="20"/>
          <w:lang w:val="es-CR"/>
        </w:rPr>
        <w:t xml:space="preserve">que el 28 de noviembre </w:t>
      </w:r>
      <w:r w:rsidR="00B057AD" w:rsidRPr="0090649A">
        <w:rPr>
          <w:rFonts w:ascii="Verdana" w:hAnsi="Verdana"/>
          <w:sz w:val="20"/>
          <w:szCs w:val="20"/>
          <w:lang w:val="es-CR"/>
        </w:rPr>
        <w:t xml:space="preserve">efectuó el pago al señor </w:t>
      </w:r>
      <w:r w:rsidRPr="0090649A">
        <w:rPr>
          <w:rFonts w:ascii="Verdana" w:hAnsi="Verdana"/>
          <w:sz w:val="20"/>
          <w:szCs w:val="20"/>
          <w:lang w:val="es-CR"/>
        </w:rPr>
        <w:t xml:space="preserve">Chévez de la Rocha </w:t>
      </w:r>
      <w:r w:rsidR="002C0936" w:rsidRPr="0090649A">
        <w:rPr>
          <w:rFonts w:ascii="Verdana" w:hAnsi="Verdana"/>
          <w:sz w:val="20"/>
          <w:szCs w:val="20"/>
          <w:lang w:val="es-CR"/>
        </w:rPr>
        <w:t>(</w:t>
      </w:r>
      <w:r w:rsidR="002C0936" w:rsidRPr="0090649A">
        <w:rPr>
          <w:rFonts w:ascii="Verdana" w:hAnsi="Verdana"/>
          <w:i/>
          <w:sz w:val="20"/>
          <w:szCs w:val="20"/>
          <w:lang w:val="es-CR"/>
        </w:rPr>
        <w:t xml:space="preserve">infra </w:t>
      </w:r>
      <w:r w:rsidR="00015D93" w:rsidRPr="0090649A">
        <w:rPr>
          <w:rFonts w:ascii="Verdana" w:hAnsi="Verdana"/>
          <w:sz w:val="20"/>
          <w:szCs w:val="20"/>
          <w:lang w:val="es-CR"/>
        </w:rPr>
        <w:t xml:space="preserve">nota </w:t>
      </w:r>
      <w:r w:rsidR="006F6D1E">
        <w:rPr>
          <w:rFonts w:ascii="Verdana" w:hAnsi="Verdana"/>
          <w:sz w:val="20"/>
          <w:szCs w:val="20"/>
          <w:lang w:val="es-CR"/>
        </w:rPr>
        <w:t>26</w:t>
      </w:r>
      <w:r w:rsidR="002C0936" w:rsidRPr="0090649A">
        <w:rPr>
          <w:rFonts w:ascii="Verdana" w:hAnsi="Verdana"/>
          <w:sz w:val="20"/>
          <w:szCs w:val="20"/>
          <w:lang w:val="es-CR"/>
        </w:rPr>
        <w:t>)</w:t>
      </w:r>
      <w:r w:rsidRPr="0090649A">
        <w:rPr>
          <w:rFonts w:ascii="Verdana" w:hAnsi="Verdana"/>
          <w:sz w:val="20"/>
          <w:szCs w:val="20"/>
          <w:lang w:val="es-CR"/>
        </w:rPr>
        <w:t xml:space="preserve">. </w:t>
      </w:r>
      <w:r w:rsidR="00B057AD" w:rsidRPr="0090649A">
        <w:rPr>
          <w:rFonts w:ascii="Verdana" w:hAnsi="Verdana"/>
          <w:sz w:val="20"/>
          <w:szCs w:val="20"/>
          <w:lang w:val="es-CR"/>
        </w:rPr>
        <w:t>En sus observaciones</w:t>
      </w:r>
      <w:r w:rsidR="009D3954">
        <w:rPr>
          <w:rFonts w:ascii="Verdana" w:hAnsi="Verdana"/>
          <w:sz w:val="20"/>
          <w:szCs w:val="20"/>
          <w:lang w:val="es-CR"/>
        </w:rPr>
        <w:t xml:space="preserve"> (</w:t>
      </w:r>
      <w:r w:rsidR="009D3954">
        <w:rPr>
          <w:rFonts w:ascii="Verdana" w:hAnsi="Verdana"/>
          <w:i/>
          <w:sz w:val="20"/>
          <w:szCs w:val="20"/>
          <w:lang w:val="es-CR"/>
        </w:rPr>
        <w:t xml:space="preserve">infra </w:t>
      </w:r>
      <w:r w:rsidR="009D3954">
        <w:rPr>
          <w:rFonts w:ascii="Verdana" w:hAnsi="Verdana"/>
          <w:sz w:val="20"/>
          <w:szCs w:val="20"/>
          <w:lang w:val="es-CR"/>
        </w:rPr>
        <w:t>Considerando 6)</w:t>
      </w:r>
      <w:r w:rsidR="00B057AD" w:rsidRPr="0090649A">
        <w:rPr>
          <w:rFonts w:ascii="Verdana" w:hAnsi="Verdana"/>
          <w:sz w:val="20"/>
          <w:szCs w:val="20"/>
          <w:lang w:val="es-CR"/>
        </w:rPr>
        <w:t xml:space="preserve">, </w:t>
      </w:r>
      <w:r w:rsidR="008D6DFB" w:rsidRPr="0090649A">
        <w:rPr>
          <w:rFonts w:ascii="Verdana" w:hAnsi="Verdana"/>
          <w:sz w:val="20"/>
          <w:szCs w:val="20"/>
          <w:lang w:val="es-CR"/>
        </w:rPr>
        <w:t>la</w:t>
      </w:r>
      <w:r w:rsidRPr="0090649A">
        <w:rPr>
          <w:rFonts w:ascii="Verdana" w:hAnsi="Verdana"/>
          <w:sz w:val="20"/>
          <w:szCs w:val="20"/>
          <w:lang w:val="es-CR"/>
        </w:rPr>
        <w:t xml:space="preserve">s </w:t>
      </w:r>
      <w:r w:rsidRPr="0090649A">
        <w:rPr>
          <w:rFonts w:ascii="Verdana" w:hAnsi="Verdana"/>
          <w:i/>
          <w:sz w:val="20"/>
          <w:szCs w:val="20"/>
          <w:lang w:val="es-CR"/>
        </w:rPr>
        <w:t>representantes</w:t>
      </w:r>
      <w:r w:rsidR="00B057AD" w:rsidRPr="0090649A">
        <w:rPr>
          <w:rFonts w:ascii="Verdana" w:hAnsi="Verdana"/>
          <w:sz w:val="20"/>
          <w:szCs w:val="20"/>
          <w:lang w:val="es-CR"/>
        </w:rPr>
        <w:t xml:space="preserve"> de las víctimas </w:t>
      </w:r>
      <w:r w:rsidRPr="0090649A">
        <w:rPr>
          <w:rFonts w:ascii="Verdana" w:hAnsi="Verdana"/>
          <w:sz w:val="20"/>
          <w:szCs w:val="20"/>
          <w:lang w:val="es-CR"/>
        </w:rPr>
        <w:t xml:space="preserve">manifestaron su conformidad con dar por cumplida la medida “exclusivamente respecto </w:t>
      </w:r>
      <w:proofErr w:type="gramStart"/>
      <w:r w:rsidRPr="0090649A">
        <w:rPr>
          <w:rFonts w:ascii="Verdana" w:hAnsi="Verdana"/>
          <w:sz w:val="20"/>
          <w:szCs w:val="20"/>
          <w:lang w:val="es-CR"/>
        </w:rPr>
        <w:t>de[</w:t>
      </w:r>
      <w:proofErr w:type="gramEnd"/>
      <w:r w:rsidR="009D3954">
        <w:rPr>
          <w:rFonts w:ascii="Verdana" w:hAnsi="Verdana"/>
          <w:sz w:val="20"/>
          <w:szCs w:val="20"/>
          <w:lang w:val="es-CR"/>
        </w:rPr>
        <w:t xml:space="preserve"> </w:t>
      </w:r>
      <w:r w:rsidRPr="0090649A">
        <w:rPr>
          <w:rFonts w:ascii="Verdana" w:hAnsi="Verdana"/>
          <w:sz w:val="20"/>
          <w:szCs w:val="20"/>
          <w:lang w:val="es-CR"/>
        </w:rPr>
        <w:t xml:space="preserve">la referida víctima] y atendiendo las razones personales señaladas por [ella]”. </w:t>
      </w:r>
    </w:p>
    <w:p w:rsidR="00981F90" w:rsidRPr="0090649A" w:rsidRDefault="00981F90" w:rsidP="00981F90">
      <w:pPr>
        <w:autoSpaceDE w:val="0"/>
        <w:autoSpaceDN w:val="0"/>
        <w:adjustRightInd w:val="0"/>
        <w:spacing w:after="0" w:line="240" w:lineRule="auto"/>
        <w:jc w:val="both"/>
        <w:rPr>
          <w:rFonts w:ascii="Verdana" w:hAnsi="Verdana"/>
          <w:sz w:val="20"/>
          <w:szCs w:val="20"/>
          <w:lang w:val="es-CR"/>
        </w:rPr>
      </w:pPr>
    </w:p>
    <w:p w:rsidR="00981F90" w:rsidRPr="0090649A" w:rsidRDefault="00981F90" w:rsidP="00453D58">
      <w:pPr>
        <w:numPr>
          <w:ilvl w:val="0"/>
          <w:numId w:val="17"/>
        </w:numPr>
        <w:autoSpaceDE w:val="0"/>
        <w:autoSpaceDN w:val="0"/>
        <w:adjustRightInd w:val="0"/>
        <w:spacing w:after="0" w:line="240" w:lineRule="auto"/>
        <w:ind w:left="0" w:firstLine="0"/>
        <w:jc w:val="both"/>
        <w:rPr>
          <w:rFonts w:ascii="Verdana" w:hAnsi="Verdana"/>
          <w:b/>
          <w:sz w:val="20"/>
          <w:szCs w:val="20"/>
          <w:lang w:val="es-CR"/>
        </w:rPr>
      </w:pPr>
      <w:r w:rsidRPr="0090649A">
        <w:rPr>
          <w:rFonts w:ascii="Verdana" w:hAnsi="Verdana"/>
          <w:sz w:val="20"/>
          <w:szCs w:val="20"/>
          <w:lang w:val="es-CR"/>
        </w:rPr>
        <w:t xml:space="preserve">Respecto de las víctimas López Lone y Flores Lanza, en los escritos de observaciones de 21 de noviembre y 21 diciembre de 2016, </w:t>
      </w:r>
      <w:r w:rsidR="00B057AD" w:rsidRPr="0090649A">
        <w:rPr>
          <w:rFonts w:ascii="Verdana" w:hAnsi="Verdana"/>
          <w:sz w:val="20"/>
          <w:szCs w:val="20"/>
          <w:lang w:val="es-CR"/>
        </w:rPr>
        <w:t xml:space="preserve">sus </w:t>
      </w:r>
      <w:r w:rsidR="00B057AD" w:rsidRPr="0090649A">
        <w:rPr>
          <w:rFonts w:ascii="Verdana" w:hAnsi="Verdana"/>
          <w:i/>
          <w:sz w:val="20"/>
          <w:szCs w:val="20"/>
          <w:lang w:val="es-CR"/>
        </w:rPr>
        <w:t>representantes</w:t>
      </w:r>
      <w:r w:rsidR="00B057AD" w:rsidRPr="0090649A">
        <w:rPr>
          <w:rFonts w:ascii="Verdana" w:hAnsi="Verdana"/>
          <w:sz w:val="20"/>
          <w:szCs w:val="20"/>
          <w:lang w:val="es-CR"/>
        </w:rPr>
        <w:t xml:space="preserve"> indicaron </w:t>
      </w:r>
      <w:r w:rsidRPr="0090649A">
        <w:rPr>
          <w:rFonts w:ascii="Verdana" w:hAnsi="Verdana"/>
          <w:sz w:val="20"/>
          <w:szCs w:val="20"/>
          <w:lang w:val="es-CR"/>
        </w:rPr>
        <w:t xml:space="preserve">que las autoridades no tomaron en consideración su rechazo de no </w:t>
      </w:r>
      <w:r w:rsidR="001028A3">
        <w:rPr>
          <w:rFonts w:ascii="Verdana" w:hAnsi="Verdana"/>
          <w:sz w:val="20"/>
          <w:szCs w:val="20"/>
          <w:lang w:val="es-CR"/>
        </w:rPr>
        <w:t>ser restituidos</w:t>
      </w:r>
      <w:r w:rsidR="001028A3" w:rsidRPr="0090649A">
        <w:rPr>
          <w:rFonts w:ascii="Verdana" w:hAnsi="Verdana"/>
          <w:sz w:val="20"/>
          <w:szCs w:val="20"/>
          <w:lang w:val="es-CR"/>
        </w:rPr>
        <w:t xml:space="preserve"> </w:t>
      </w:r>
      <w:r w:rsidRPr="0090649A">
        <w:rPr>
          <w:rFonts w:ascii="Verdana" w:hAnsi="Verdana"/>
          <w:sz w:val="20"/>
          <w:szCs w:val="20"/>
          <w:lang w:val="es-CR"/>
        </w:rPr>
        <w:t>en cargos similares</w:t>
      </w:r>
      <w:r w:rsidR="00B12E38" w:rsidRPr="0090649A">
        <w:rPr>
          <w:rFonts w:ascii="Verdana" w:hAnsi="Verdana"/>
          <w:sz w:val="20"/>
          <w:szCs w:val="20"/>
          <w:lang w:val="es-CR"/>
        </w:rPr>
        <w:t>,</w:t>
      </w:r>
      <w:r w:rsidRPr="0090649A">
        <w:rPr>
          <w:rFonts w:ascii="Verdana" w:hAnsi="Verdana"/>
          <w:sz w:val="20"/>
          <w:szCs w:val="20"/>
          <w:lang w:val="es-CR"/>
        </w:rPr>
        <w:t xml:space="preserve"> </w:t>
      </w:r>
      <w:r w:rsidR="00B057AD" w:rsidRPr="0090649A">
        <w:rPr>
          <w:rFonts w:ascii="Verdana" w:hAnsi="Verdana"/>
          <w:sz w:val="20"/>
          <w:szCs w:val="20"/>
          <w:lang w:val="es-CR"/>
        </w:rPr>
        <w:t xml:space="preserve">y </w:t>
      </w:r>
      <w:r w:rsidRPr="0090649A">
        <w:rPr>
          <w:rFonts w:ascii="Verdana" w:hAnsi="Verdana"/>
          <w:sz w:val="20"/>
          <w:szCs w:val="20"/>
          <w:lang w:val="es-CR"/>
        </w:rPr>
        <w:t xml:space="preserve">señalaron que la afirmación de que los cargos que las víctimas desempeñaban ya fueron ocupados por otros funcionarios “no es una razón que justifique el incumplimiento” </w:t>
      </w:r>
      <w:r w:rsidR="00B63C33" w:rsidRPr="0090649A">
        <w:rPr>
          <w:rFonts w:ascii="Verdana" w:hAnsi="Verdana"/>
          <w:sz w:val="20"/>
          <w:szCs w:val="20"/>
          <w:lang w:val="es-CR"/>
        </w:rPr>
        <w:t xml:space="preserve">de la Sentencia. Afirmaron que </w:t>
      </w:r>
      <w:r w:rsidRPr="0090649A">
        <w:rPr>
          <w:rFonts w:ascii="Verdana" w:hAnsi="Verdana"/>
          <w:sz w:val="20"/>
          <w:szCs w:val="20"/>
          <w:lang w:val="es-CR"/>
        </w:rPr>
        <w:t xml:space="preserve">la negativa del Estado obedece </w:t>
      </w:r>
      <w:r w:rsidR="00B63C33" w:rsidRPr="0090649A">
        <w:rPr>
          <w:rFonts w:ascii="Verdana" w:hAnsi="Verdana"/>
          <w:sz w:val="20"/>
          <w:szCs w:val="20"/>
          <w:lang w:val="es-CR"/>
        </w:rPr>
        <w:t>“</w:t>
      </w:r>
      <w:r w:rsidRPr="0090649A">
        <w:rPr>
          <w:rFonts w:ascii="Verdana" w:hAnsi="Verdana"/>
          <w:sz w:val="20"/>
          <w:szCs w:val="20"/>
          <w:lang w:val="es-CR"/>
        </w:rPr>
        <w:t>exclusivamente a una falta de voluntad política</w:t>
      </w:r>
      <w:r w:rsidR="00B63C33" w:rsidRPr="0090649A">
        <w:rPr>
          <w:rFonts w:ascii="Verdana" w:hAnsi="Verdana"/>
          <w:sz w:val="20"/>
          <w:szCs w:val="20"/>
          <w:lang w:val="es-CR"/>
        </w:rPr>
        <w:t>”</w:t>
      </w:r>
      <w:r w:rsidRPr="0090649A">
        <w:rPr>
          <w:rFonts w:ascii="Verdana" w:hAnsi="Verdana"/>
          <w:sz w:val="20"/>
          <w:szCs w:val="20"/>
          <w:lang w:val="es-CR"/>
        </w:rPr>
        <w:t>, pues las autoridades cuentan con la potestad jurídica y la capacidad presupuestaria</w:t>
      </w:r>
      <w:r w:rsidR="00B63C33" w:rsidRPr="0090649A">
        <w:rPr>
          <w:rStyle w:val="Refdenotaalpie"/>
          <w:rFonts w:ascii="Verdana" w:hAnsi="Verdana"/>
          <w:sz w:val="20"/>
          <w:szCs w:val="20"/>
          <w:lang w:val="es-CR"/>
        </w:rPr>
        <w:footnoteReference w:id="12"/>
      </w:r>
      <w:r w:rsidRPr="0090649A">
        <w:rPr>
          <w:rFonts w:ascii="Verdana" w:hAnsi="Verdana"/>
          <w:sz w:val="20"/>
          <w:szCs w:val="20"/>
          <w:lang w:val="es-CR"/>
        </w:rPr>
        <w:t xml:space="preserve"> para rei</w:t>
      </w:r>
      <w:r w:rsidR="00B63C33" w:rsidRPr="0090649A">
        <w:rPr>
          <w:rFonts w:ascii="Verdana" w:hAnsi="Verdana"/>
          <w:sz w:val="20"/>
          <w:szCs w:val="20"/>
          <w:lang w:val="es-CR"/>
        </w:rPr>
        <w:t>ntegrar a las víctimas del caso</w:t>
      </w:r>
      <w:r w:rsidRPr="0090649A">
        <w:rPr>
          <w:rFonts w:ascii="Verdana" w:hAnsi="Verdana"/>
          <w:sz w:val="20"/>
          <w:szCs w:val="20"/>
          <w:lang w:val="es-CR"/>
        </w:rPr>
        <w:t xml:space="preserve"> a través de cargos similares disponibles. </w:t>
      </w:r>
      <w:r w:rsidR="00B057AD" w:rsidRPr="0090649A">
        <w:rPr>
          <w:rFonts w:ascii="Verdana" w:hAnsi="Verdana"/>
          <w:sz w:val="20"/>
          <w:szCs w:val="20"/>
          <w:lang w:val="es-CR"/>
        </w:rPr>
        <w:t xml:space="preserve">Sobre </w:t>
      </w:r>
      <w:r w:rsidRPr="0090649A">
        <w:rPr>
          <w:rFonts w:ascii="Verdana" w:hAnsi="Verdana"/>
          <w:sz w:val="20"/>
          <w:szCs w:val="20"/>
          <w:lang w:val="es-CR"/>
        </w:rPr>
        <w:t xml:space="preserve">la alegada potestad jurídica, las </w:t>
      </w:r>
      <w:r w:rsidRPr="0090649A">
        <w:rPr>
          <w:rFonts w:ascii="Verdana" w:hAnsi="Verdana"/>
          <w:i/>
          <w:sz w:val="20"/>
          <w:szCs w:val="20"/>
          <w:lang w:val="es-CR"/>
        </w:rPr>
        <w:t>representantes</w:t>
      </w:r>
      <w:r w:rsidR="00B057AD" w:rsidRPr="0090649A">
        <w:rPr>
          <w:rFonts w:ascii="Verdana" w:hAnsi="Verdana"/>
          <w:sz w:val="20"/>
          <w:szCs w:val="20"/>
          <w:lang w:val="es-CR"/>
        </w:rPr>
        <w:t xml:space="preserve"> indicaron </w:t>
      </w:r>
      <w:r w:rsidRPr="0090649A">
        <w:rPr>
          <w:rFonts w:ascii="Verdana" w:hAnsi="Verdana"/>
          <w:sz w:val="20"/>
          <w:szCs w:val="20"/>
          <w:lang w:val="es-CR"/>
        </w:rPr>
        <w:t xml:space="preserve">que el “Presidente de la [Corte Suprema de </w:t>
      </w:r>
      <w:proofErr w:type="gramStart"/>
      <w:r w:rsidRPr="0090649A">
        <w:rPr>
          <w:rFonts w:ascii="Verdana" w:hAnsi="Verdana"/>
          <w:sz w:val="20"/>
          <w:szCs w:val="20"/>
          <w:lang w:val="es-CR"/>
        </w:rPr>
        <w:t>Justicia</w:t>
      </w:r>
      <w:r w:rsidR="001028A3">
        <w:rPr>
          <w:rFonts w:ascii="Verdana" w:hAnsi="Verdana"/>
          <w:sz w:val="20"/>
          <w:szCs w:val="20"/>
          <w:lang w:val="es-CR"/>
        </w:rPr>
        <w:t xml:space="preserve"> …</w:t>
      </w:r>
      <w:proofErr w:type="gramEnd"/>
      <w:r w:rsidR="00C31390" w:rsidRPr="0090649A">
        <w:rPr>
          <w:rFonts w:ascii="Verdana" w:hAnsi="Verdana"/>
          <w:sz w:val="20"/>
          <w:szCs w:val="20"/>
          <w:lang w:val="es-CR"/>
        </w:rPr>
        <w:t>] cuenta con amplias facultades</w:t>
      </w:r>
      <w:r w:rsidRPr="0090649A">
        <w:rPr>
          <w:rFonts w:ascii="Verdana" w:hAnsi="Verdana"/>
          <w:sz w:val="20"/>
          <w:szCs w:val="20"/>
          <w:lang w:val="es-CR"/>
        </w:rPr>
        <w:t>[, tales como] la creación de plazas, según las necesidades del sistema judicial”</w:t>
      </w:r>
      <w:r w:rsidRPr="0090649A">
        <w:rPr>
          <w:rStyle w:val="Refdenotaalpie"/>
          <w:rFonts w:ascii="Verdana" w:hAnsi="Verdana"/>
          <w:sz w:val="20"/>
          <w:szCs w:val="20"/>
          <w:lang w:val="es-CR"/>
        </w:rPr>
        <w:footnoteReference w:id="13"/>
      </w:r>
      <w:r w:rsidRPr="0090649A">
        <w:rPr>
          <w:rFonts w:ascii="Verdana" w:hAnsi="Verdana"/>
          <w:sz w:val="20"/>
          <w:szCs w:val="20"/>
          <w:lang w:val="es-CR"/>
        </w:rPr>
        <w:t xml:space="preserve">. </w:t>
      </w:r>
      <w:r w:rsidR="00B057AD" w:rsidRPr="0090649A">
        <w:rPr>
          <w:rFonts w:ascii="Verdana" w:hAnsi="Verdana"/>
          <w:sz w:val="20"/>
          <w:szCs w:val="20"/>
          <w:lang w:val="es-CR"/>
        </w:rPr>
        <w:t>C</w:t>
      </w:r>
      <w:r w:rsidRPr="0090649A">
        <w:rPr>
          <w:rFonts w:ascii="Verdana" w:hAnsi="Verdana"/>
          <w:sz w:val="20"/>
          <w:szCs w:val="20"/>
          <w:lang w:val="es-CR"/>
        </w:rPr>
        <w:t xml:space="preserve">itaron </w:t>
      </w:r>
      <w:r w:rsidR="00B057AD" w:rsidRPr="0090649A">
        <w:rPr>
          <w:rFonts w:ascii="Verdana" w:hAnsi="Verdana"/>
          <w:sz w:val="20"/>
          <w:szCs w:val="20"/>
          <w:lang w:val="es-CR"/>
        </w:rPr>
        <w:t xml:space="preserve">como </w:t>
      </w:r>
      <w:r w:rsidRPr="0090649A">
        <w:rPr>
          <w:rFonts w:ascii="Verdana" w:hAnsi="Verdana"/>
          <w:sz w:val="20"/>
          <w:szCs w:val="20"/>
          <w:lang w:val="es-CR"/>
        </w:rPr>
        <w:t>ejemplos</w:t>
      </w:r>
      <w:r w:rsidR="00B057AD" w:rsidRPr="0090649A">
        <w:rPr>
          <w:rFonts w:ascii="Verdana" w:hAnsi="Verdana"/>
          <w:sz w:val="20"/>
          <w:szCs w:val="20"/>
          <w:lang w:val="es-CR"/>
        </w:rPr>
        <w:t xml:space="preserve"> de tal potestad</w:t>
      </w:r>
      <w:r w:rsidRPr="0090649A">
        <w:rPr>
          <w:rFonts w:ascii="Verdana" w:hAnsi="Verdana"/>
          <w:sz w:val="20"/>
          <w:szCs w:val="20"/>
          <w:lang w:val="es-CR"/>
        </w:rPr>
        <w:t>: i) el “Plan Nacional de erradicación de la mora judicial”</w:t>
      </w:r>
      <w:r w:rsidR="009315EB" w:rsidRPr="0090649A">
        <w:rPr>
          <w:rFonts w:ascii="Verdana" w:hAnsi="Verdana"/>
          <w:sz w:val="20"/>
          <w:szCs w:val="20"/>
          <w:lang w:val="es-CR"/>
        </w:rPr>
        <w:t xml:space="preserve"> (</w:t>
      </w:r>
      <w:r w:rsidR="009315EB" w:rsidRPr="0090649A">
        <w:rPr>
          <w:rFonts w:ascii="Verdana" w:hAnsi="Verdana"/>
          <w:i/>
          <w:sz w:val="20"/>
          <w:szCs w:val="20"/>
          <w:lang w:val="es-CR"/>
        </w:rPr>
        <w:t xml:space="preserve">infra </w:t>
      </w:r>
      <w:r w:rsidR="009315EB" w:rsidRPr="0090649A">
        <w:rPr>
          <w:rFonts w:ascii="Verdana" w:hAnsi="Verdana"/>
          <w:sz w:val="20"/>
          <w:szCs w:val="20"/>
          <w:lang w:val="es-CR"/>
        </w:rPr>
        <w:t xml:space="preserve">Considerando </w:t>
      </w:r>
      <w:r w:rsidR="00015D93" w:rsidRPr="0090649A">
        <w:rPr>
          <w:rFonts w:ascii="Verdana" w:hAnsi="Verdana"/>
          <w:sz w:val="20"/>
          <w:szCs w:val="20"/>
          <w:lang w:val="es-CR"/>
        </w:rPr>
        <w:t>2</w:t>
      </w:r>
      <w:r w:rsidR="001F3B23" w:rsidRPr="0090649A">
        <w:rPr>
          <w:rFonts w:ascii="Verdana" w:hAnsi="Verdana"/>
          <w:sz w:val="20"/>
          <w:szCs w:val="20"/>
          <w:lang w:val="es-CR"/>
        </w:rPr>
        <w:t>2</w:t>
      </w:r>
      <w:r w:rsidR="009315EB" w:rsidRPr="0090649A">
        <w:rPr>
          <w:rFonts w:ascii="Verdana" w:hAnsi="Verdana"/>
          <w:sz w:val="20"/>
          <w:szCs w:val="20"/>
          <w:lang w:val="es-CR"/>
        </w:rPr>
        <w:t>)</w:t>
      </w:r>
      <w:r w:rsidRPr="0090649A">
        <w:rPr>
          <w:rFonts w:ascii="Verdana" w:hAnsi="Verdana"/>
          <w:sz w:val="20"/>
          <w:szCs w:val="20"/>
          <w:lang w:val="es-CR"/>
        </w:rPr>
        <w:t>; ii) la creación de “la jurisdi</w:t>
      </w:r>
      <w:r w:rsidR="00B057AD" w:rsidRPr="0090649A">
        <w:rPr>
          <w:rFonts w:ascii="Verdana" w:hAnsi="Verdana"/>
          <w:sz w:val="20"/>
          <w:szCs w:val="20"/>
          <w:lang w:val="es-CR"/>
        </w:rPr>
        <w:t>cción nacional anticorrupción”</w:t>
      </w:r>
      <w:r w:rsidRPr="0090649A">
        <w:rPr>
          <w:rFonts w:ascii="Verdana" w:hAnsi="Verdana"/>
          <w:sz w:val="20"/>
          <w:szCs w:val="20"/>
          <w:lang w:val="es-CR"/>
        </w:rPr>
        <w:t xml:space="preserve">, y iii) la creación de plazas en el Poder Judicial que “pudieron haber sido ocupadas por las víctimas”. </w:t>
      </w:r>
      <w:r w:rsidR="00D73ED5" w:rsidRPr="0090649A">
        <w:rPr>
          <w:rFonts w:ascii="Verdana" w:hAnsi="Verdana"/>
          <w:sz w:val="20"/>
          <w:szCs w:val="20"/>
          <w:lang w:val="es-CR"/>
        </w:rPr>
        <w:t>A</w:t>
      </w:r>
      <w:r w:rsidRPr="0090649A">
        <w:rPr>
          <w:rFonts w:ascii="Verdana" w:hAnsi="Verdana"/>
          <w:sz w:val="20"/>
          <w:szCs w:val="20"/>
          <w:lang w:val="es-CR"/>
        </w:rPr>
        <w:t>firmaron que</w:t>
      </w:r>
      <w:r w:rsidR="003A78D8">
        <w:rPr>
          <w:rFonts w:ascii="Verdana" w:hAnsi="Verdana"/>
          <w:sz w:val="20"/>
          <w:szCs w:val="20"/>
          <w:lang w:val="es-CR"/>
        </w:rPr>
        <w:t xml:space="preserve"> la Oficina de Transparencia y Acceso a la Información Pública del Poder Judicial</w:t>
      </w:r>
      <w:r w:rsidR="00D73ED5" w:rsidRPr="0090649A">
        <w:rPr>
          <w:rFonts w:ascii="Verdana" w:hAnsi="Verdana"/>
          <w:sz w:val="20"/>
          <w:szCs w:val="20"/>
          <w:lang w:val="es-CR"/>
        </w:rPr>
        <w:t xml:space="preserve"> les </w:t>
      </w:r>
      <w:r w:rsidR="003A78D8">
        <w:rPr>
          <w:rFonts w:ascii="Verdana" w:hAnsi="Verdana"/>
          <w:sz w:val="20"/>
          <w:szCs w:val="20"/>
          <w:lang w:val="es-CR"/>
        </w:rPr>
        <w:t>informó</w:t>
      </w:r>
      <w:r w:rsidR="00D73ED5" w:rsidRPr="0090649A">
        <w:rPr>
          <w:rFonts w:ascii="Verdana" w:hAnsi="Verdana"/>
          <w:sz w:val="20"/>
          <w:szCs w:val="20"/>
          <w:lang w:val="es-CR"/>
        </w:rPr>
        <w:t xml:space="preserve"> que</w:t>
      </w:r>
      <w:r w:rsidRPr="0090649A">
        <w:rPr>
          <w:rFonts w:ascii="Verdana" w:hAnsi="Verdana"/>
          <w:sz w:val="20"/>
          <w:szCs w:val="20"/>
          <w:lang w:val="es-CR"/>
        </w:rPr>
        <w:t xml:space="preserve"> el 19 de octubre de 2016 </w:t>
      </w:r>
      <w:r w:rsidR="009808F3">
        <w:rPr>
          <w:rFonts w:ascii="Verdana" w:hAnsi="Verdana"/>
          <w:sz w:val="20"/>
          <w:szCs w:val="20"/>
          <w:lang w:val="es-CR"/>
        </w:rPr>
        <w:t>“</w:t>
      </w:r>
      <w:r w:rsidRPr="0090649A">
        <w:rPr>
          <w:rFonts w:ascii="Verdana" w:hAnsi="Verdana"/>
          <w:sz w:val="20"/>
          <w:szCs w:val="20"/>
          <w:lang w:val="es-CR"/>
        </w:rPr>
        <w:t>se designaron 4 jueces de sentencia en San Pedro Sula</w:t>
      </w:r>
      <w:r w:rsidR="009808F3">
        <w:rPr>
          <w:rFonts w:ascii="Verdana" w:hAnsi="Verdana"/>
          <w:sz w:val="20"/>
          <w:szCs w:val="20"/>
          <w:lang w:val="es-CR"/>
        </w:rPr>
        <w:t>”</w:t>
      </w:r>
      <w:r w:rsidR="00D73ED5" w:rsidRPr="0090649A">
        <w:rPr>
          <w:rFonts w:ascii="Verdana" w:hAnsi="Verdana"/>
          <w:sz w:val="20"/>
          <w:szCs w:val="20"/>
          <w:lang w:val="es-CR"/>
        </w:rPr>
        <w:t xml:space="preserve"> y </w:t>
      </w:r>
      <w:r w:rsidRPr="0090649A">
        <w:rPr>
          <w:rFonts w:ascii="Verdana" w:hAnsi="Verdana"/>
          <w:sz w:val="20"/>
          <w:szCs w:val="20"/>
          <w:lang w:val="es-CR"/>
        </w:rPr>
        <w:t xml:space="preserve">resaltaron que ese es </w:t>
      </w:r>
      <w:r w:rsidR="009808F3">
        <w:rPr>
          <w:rFonts w:ascii="Verdana" w:hAnsi="Verdana"/>
          <w:sz w:val="20"/>
          <w:szCs w:val="20"/>
          <w:lang w:val="es-CR"/>
        </w:rPr>
        <w:t>“</w:t>
      </w:r>
      <w:r w:rsidRPr="0090649A">
        <w:rPr>
          <w:rFonts w:ascii="Verdana" w:hAnsi="Verdana"/>
          <w:sz w:val="20"/>
          <w:szCs w:val="20"/>
          <w:lang w:val="es-CR"/>
        </w:rPr>
        <w:t>precisamente</w:t>
      </w:r>
      <w:r w:rsidR="009808F3">
        <w:rPr>
          <w:rFonts w:ascii="Verdana" w:hAnsi="Verdana"/>
          <w:sz w:val="20"/>
          <w:szCs w:val="20"/>
          <w:lang w:val="es-CR"/>
        </w:rPr>
        <w:t>”</w:t>
      </w:r>
      <w:r w:rsidRPr="0090649A">
        <w:rPr>
          <w:rFonts w:ascii="Verdana" w:hAnsi="Verdana"/>
          <w:sz w:val="20"/>
          <w:szCs w:val="20"/>
          <w:lang w:val="es-CR"/>
        </w:rPr>
        <w:t xml:space="preserve"> el tribunal donde laboraba el señor López Lone, por lo que </w:t>
      </w:r>
      <w:r w:rsidR="009808F3">
        <w:rPr>
          <w:rFonts w:ascii="Verdana" w:hAnsi="Verdana"/>
          <w:sz w:val="20"/>
          <w:szCs w:val="20"/>
          <w:lang w:val="es-CR"/>
        </w:rPr>
        <w:t>“</w:t>
      </w:r>
      <w:r w:rsidRPr="0090649A">
        <w:rPr>
          <w:rFonts w:ascii="Verdana" w:hAnsi="Verdana"/>
          <w:sz w:val="20"/>
          <w:szCs w:val="20"/>
          <w:lang w:val="es-CR"/>
        </w:rPr>
        <w:t>eran plazas que –de haber existido voluntad- pudieron haber sido utilizadas</w:t>
      </w:r>
      <w:r w:rsidR="00602995">
        <w:rPr>
          <w:rFonts w:ascii="Verdana" w:hAnsi="Verdana"/>
          <w:sz w:val="20"/>
          <w:szCs w:val="20"/>
          <w:lang w:val="es-CR"/>
        </w:rPr>
        <w:t>”</w:t>
      </w:r>
      <w:r w:rsidRPr="0090649A">
        <w:rPr>
          <w:rFonts w:ascii="Verdana" w:hAnsi="Verdana"/>
          <w:sz w:val="20"/>
          <w:szCs w:val="20"/>
          <w:lang w:val="es-CR"/>
        </w:rPr>
        <w:t xml:space="preserve"> para su reintegro al Poder Judicial</w:t>
      </w:r>
      <w:r w:rsidR="00C31390" w:rsidRPr="0090649A">
        <w:rPr>
          <w:rStyle w:val="Refdenotaalpie"/>
          <w:rFonts w:ascii="Verdana" w:hAnsi="Verdana"/>
          <w:sz w:val="20"/>
          <w:szCs w:val="20"/>
          <w:lang w:val="es-CR"/>
        </w:rPr>
        <w:footnoteReference w:id="14"/>
      </w:r>
      <w:r w:rsidRPr="0090649A">
        <w:rPr>
          <w:rFonts w:ascii="Verdana" w:hAnsi="Verdana"/>
          <w:sz w:val="20"/>
          <w:szCs w:val="20"/>
          <w:lang w:val="es-CR"/>
        </w:rPr>
        <w:t xml:space="preserve">. </w:t>
      </w:r>
    </w:p>
    <w:p w:rsidR="00981F90" w:rsidRPr="0090649A" w:rsidRDefault="00981F90" w:rsidP="00981F90">
      <w:pPr>
        <w:pStyle w:val="Prrafodelista"/>
        <w:spacing w:after="0"/>
        <w:ind w:left="0"/>
        <w:rPr>
          <w:rFonts w:ascii="Verdana" w:hAnsi="Verdana"/>
          <w:sz w:val="20"/>
          <w:lang w:val="es-MX"/>
        </w:rPr>
      </w:pPr>
    </w:p>
    <w:p w:rsidR="00981F90" w:rsidRPr="0090649A" w:rsidRDefault="00981F90" w:rsidP="00453D58">
      <w:pPr>
        <w:numPr>
          <w:ilvl w:val="0"/>
          <w:numId w:val="17"/>
        </w:numPr>
        <w:autoSpaceDE w:val="0"/>
        <w:autoSpaceDN w:val="0"/>
        <w:adjustRightInd w:val="0"/>
        <w:spacing w:after="0" w:line="240" w:lineRule="auto"/>
        <w:ind w:left="0" w:firstLine="0"/>
        <w:jc w:val="both"/>
        <w:rPr>
          <w:rFonts w:ascii="Verdana" w:hAnsi="Verdana"/>
          <w:sz w:val="20"/>
          <w:szCs w:val="20"/>
          <w:lang w:val="es-CR"/>
        </w:rPr>
      </w:pPr>
      <w:r w:rsidRPr="0090649A">
        <w:rPr>
          <w:rFonts w:ascii="Verdana" w:hAnsi="Verdana"/>
          <w:sz w:val="20"/>
          <w:lang w:val="es-MX"/>
        </w:rPr>
        <w:t xml:space="preserve">En sus observaciones de 26 de enero de 2017, la </w:t>
      </w:r>
      <w:r w:rsidRPr="0090649A">
        <w:rPr>
          <w:rFonts w:ascii="Verdana" w:hAnsi="Verdana"/>
          <w:i/>
          <w:sz w:val="20"/>
          <w:lang w:val="es-MX"/>
        </w:rPr>
        <w:t xml:space="preserve">Comisión Interamericana </w:t>
      </w:r>
      <w:r w:rsidR="00151E62" w:rsidRPr="0090649A">
        <w:rPr>
          <w:rFonts w:ascii="Verdana" w:hAnsi="Verdana"/>
          <w:sz w:val="20"/>
          <w:lang w:val="es-MX"/>
        </w:rPr>
        <w:t>i</w:t>
      </w:r>
      <w:r w:rsidRPr="0090649A">
        <w:rPr>
          <w:rFonts w:ascii="Verdana" w:hAnsi="Verdana"/>
          <w:sz w:val="20"/>
          <w:lang w:val="es-MX"/>
        </w:rPr>
        <w:t xml:space="preserve">ndicó que “la Corte ordenó al Estado reincorporar a las víctimas, y […] sólo </w:t>
      </w:r>
      <w:r w:rsidR="00602995">
        <w:rPr>
          <w:rFonts w:ascii="Verdana" w:hAnsi="Verdana"/>
          <w:sz w:val="20"/>
          <w:lang w:val="es-MX"/>
        </w:rPr>
        <w:t>‘</w:t>
      </w:r>
      <w:r w:rsidRPr="0090649A">
        <w:rPr>
          <w:rFonts w:ascii="Verdana" w:hAnsi="Verdana"/>
          <w:sz w:val="20"/>
          <w:lang w:val="es-MX"/>
        </w:rPr>
        <w:t xml:space="preserve">ante imposibilidad justificada de </w:t>
      </w:r>
      <w:proofErr w:type="gramStart"/>
      <w:r w:rsidRPr="0090649A">
        <w:rPr>
          <w:rFonts w:ascii="Verdana" w:hAnsi="Verdana"/>
          <w:sz w:val="20"/>
          <w:lang w:val="es-MX"/>
        </w:rPr>
        <w:t>reincorpor[</w:t>
      </w:r>
      <w:proofErr w:type="gramEnd"/>
      <w:r w:rsidR="00E46DE1" w:rsidRPr="0090649A">
        <w:rPr>
          <w:rFonts w:ascii="Verdana" w:hAnsi="Verdana"/>
          <w:sz w:val="20"/>
          <w:lang w:val="es-MX"/>
        </w:rPr>
        <w:t>l</w:t>
      </w:r>
      <w:r w:rsidRPr="0090649A">
        <w:rPr>
          <w:rFonts w:ascii="Verdana" w:hAnsi="Verdana"/>
          <w:sz w:val="20"/>
          <w:lang w:val="es-MX"/>
        </w:rPr>
        <w:t>as]</w:t>
      </w:r>
      <w:r w:rsidR="00602995">
        <w:rPr>
          <w:rFonts w:ascii="Verdana" w:hAnsi="Verdana"/>
          <w:sz w:val="20"/>
          <w:lang w:val="es-MX"/>
        </w:rPr>
        <w:t>’</w:t>
      </w:r>
      <w:r w:rsidRPr="0090649A">
        <w:rPr>
          <w:rFonts w:ascii="Verdana" w:hAnsi="Verdana"/>
          <w:sz w:val="20"/>
          <w:lang w:val="es-MX"/>
        </w:rPr>
        <w:t xml:space="preserve"> podría ofrecer </w:t>
      </w:r>
      <w:r w:rsidR="003C624F" w:rsidRPr="0090649A">
        <w:rPr>
          <w:rFonts w:ascii="Verdana" w:hAnsi="Verdana"/>
          <w:sz w:val="20"/>
          <w:lang w:val="es-MX"/>
        </w:rPr>
        <w:t xml:space="preserve">un pago alternativo” y que la justificación </w:t>
      </w:r>
      <w:r w:rsidRPr="0090649A">
        <w:rPr>
          <w:rFonts w:ascii="Verdana" w:hAnsi="Verdana"/>
          <w:sz w:val="20"/>
          <w:lang w:val="es-MX"/>
        </w:rPr>
        <w:t>“no podría limitarse a indicar que en este momento no existen tales plazas o que las plazas ya fueron ocupadas por otras personas”</w:t>
      </w:r>
      <w:r w:rsidR="003C624F" w:rsidRPr="0090649A">
        <w:rPr>
          <w:rFonts w:ascii="Verdana" w:hAnsi="Verdana"/>
          <w:sz w:val="20"/>
          <w:lang w:val="es-MX"/>
        </w:rPr>
        <w:t xml:space="preserve"> (</w:t>
      </w:r>
      <w:r w:rsidR="003C624F" w:rsidRPr="0090649A">
        <w:rPr>
          <w:rFonts w:ascii="Verdana" w:hAnsi="Verdana"/>
          <w:i/>
          <w:sz w:val="20"/>
          <w:lang w:val="es-MX"/>
        </w:rPr>
        <w:t>infra</w:t>
      </w:r>
      <w:r w:rsidR="003C624F" w:rsidRPr="0090649A">
        <w:rPr>
          <w:rFonts w:ascii="Verdana" w:hAnsi="Verdana"/>
          <w:sz w:val="20"/>
          <w:lang w:val="es-MX"/>
        </w:rPr>
        <w:t xml:space="preserve"> Considerando </w:t>
      </w:r>
      <w:r w:rsidR="00015D93" w:rsidRPr="0090649A">
        <w:rPr>
          <w:rFonts w:ascii="Verdana" w:hAnsi="Verdana"/>
          <w:sz w:val="20"/>
          <w:lang w:val="es-MX"/>
        </w:rPr>
        <w:t>2</w:t>
      </w:r>
      <w:r w:rsidR="001F3B23" w:rsidRPr="0090649A">
        <w:rPr>
          <w:rFonts w:ascii="Verdana" w:hAnsi="Verdana"/>
          <w:sz w:val="20"/>
          <w:lang w:val="es-MX"/>
        </w:rPr>
        <w:t>4</w:t>
      </w:r>
      <w:r w:rsidR="003C624F" w:rsidRPr="0090649A">
        <w:rPr>
          <w:rFonts w:ascii="Verdana" w:hAnsi="Verdana"/>
          <w:sz w:val="20"/>
          <w:lang w:val="es-MX"/>
        </w:rPr>
        <w:t>)</w:t>
      </w:r>
      <w:r w:rsidRPr="0090649A">
        <w:rPr>
          <w:rFonts w:ascii="Verdana" w:hAnsi="Verdana"/>
          <w:sz w:val="20"/>
          <w:lang w:val="es-MX"/>
        </w:rPr>
        <w:t xml:space="preserve">. </w:t>
      </w:r>
    </w:p>
    <w:p w:rsidR="00981F90" w:rsidRPr="0090649A" w:rsidRDefault="00981F90" w:rsidP="00981F90">
      <w:pPr>
        <w:autoSpaceDE w:val="0"/>
        <w:autoSpaceDN w:val="0"/>
        <w:adjustRightInd w:val="0"/>
        <w:spacing w:after="0" w:line="240" w:lineRule="auto"/>
        <w:jc w:val="both"/>
        <w:rPr>
          <w:rFonts w:ascii="Verdana" w:hAnsi="Verdana"/>
          <w:sz w:val="20"/>
          <w:szCs w:val="20"/>
          <w:lang w:val="es-CR"/>
        </w:rPr>
      </w:pPr>
    </w:p>
    <w:p w:rsidR="00981F90" w:rsidRPr="0090649A" w:rsidRDefault="003C624F" w:rsidP="00453D58">
      <w:pPr>
        <w:numPr>
          <w:ilvl w:val="0"/>
          <w:numId w:val="17"/>
        </w:numPr>
        <w:autoSpaceDE w:val="0"/>
        <w:autoSpaceDN w:val="0"/>
        <w:adjustRightInd w:val="0"/>
        <w:spacing w:after="0" w:line="240" w:lineRule="auto"/>
        <w:ind w:left="0" w:firstLine="0"/>
        <w:jc w:val="both"/>
        <w:rPr>
          <w:rFonts w:ascii="Verdana" w:hAnsi="Verdana"/>
          <w:sz w:val="20"/>
          <w:szCs w:val="20"/>
          <w:lang w:val="es-CR"/>
        </w:rPr>
      </w:pPr>
      <w:r w:rsidRPr="0090649A">
        <w:rPr>
          <w:rFonts w:ascii="Verdana" w:hAnsi="Verdana"/>
          <w:bCs/>
          <w:sz w:val="20"/>
          <w:szCs w:val="20"/>
          <w:lang w:val="es-CR"/>
        </w:rPr>
        <w:lastRenderedPageBreak/>
        <w:t xml:space="preserve">Tomando en consideración los argumentos de las partes y lo solicitado por </w:t>
      </w:r>
      <w:r w:rsidR="008D6DFB" w:rsidRPr="0090649A">
        <w:rPr>
          <w:rFonts w:ascii="Verdana" w:hAnsi="Verdana"/>
          <w:bCs/>
          <w:sz w:val="20"/>
          <w:szCs w:val="20"/>
          <w:lang w:val="es-CR"/>
        </w:rPr>
        <w:t>las representantes</w:t>
      </w:r>
      <w:r w:rsidRPr="0090649A">
        <w:rPr>
          <w:rFonts w:ascii="Verdana" w:hAnsi="Verdana"/>
          <w:bCs/>
          <w:sz w:val="20"/>
          <w:szCs w:val="20"/>
          <w:lang w:val="es-CR"/>
        </w:rPr>
        <w:t xml:space="preserve"> de las víctimas</w:t>
      </w:r>
      <w:r w:rsidRPr="0090649A">
        <w:rPr>
          <w:rStyle w:val="Refdenotaalpie"/>
          <w:rFonts w:ascii="Verdana" w:hAnsi="Verdana"/>
          <w:bCs/>
          <w:sz w:val="20"/>
          <w:szCs w:val="20"/>
          <w:lang w:val="es-CR"/>
        </w:rPr>
        <w:footnoteReference w:id="15"/>
      </w:r>
      <w:r w:rsidRPr="0090649A">
        <w:rPr>
          <w:rFonts w:ascii="Verdana" w:hAnsi="Verdana"/>
          <w:bCs/>
          <w:sz w:val="20"/>
          <w:szCs w:val="20"/>
          <w:lang w:val="es-CR"/>
        </w:rPr>
        <w:t>, e</w:t>
      </w:r>
      <w:r w:rsidRPr="0090649A">
        <w:rPr>
          <w:rFonts w:ascii="Verdana" w:hAnsi="Verdana"/>
          <w:sz w:val="20"/>
          <w:szCs w:val="20"/>
          <w:lang w:val="es-CR"/>
        </w:rPr>
        <w:t>l Presidente de la Corte convocó a una audiencia privada de supervisión</w:t>
      </w:r>
      <w:r w:rsidR="00133907" w:rsidRPr="0090649A">
        <w:rPr>
          <w:rFonts w:ascii="Verdana" w:hAnsi="Verdana"/>
          <w:sz w:val="20"/>
          <w:szCs w:val="20"/>
          <w:lang w:val="es-CR"/>
        </w:rPr>
        <w:t xml:space="preserve">, la cual se realizó el </w:t>
      </w:r>
      <w:r w:rsidRPr="0090649A">
        <w:rPr>
          <w:rFonts w:ascii="Verdana" w:hAnsi="Verdana"/>
          <w:sz w:val="20"/>
          <w:szCs w:val="20"/>
          <w:lang w:val="es-CR"/>
        </w:rPr>
        <w:t>10 de febrero de 2017</w:t>
      </w:r>
      <w:r w:rsidR="00133907" w:rsidRPr="0090649A">
        <w:rPr>
          <w:rFonts w:ascii="Verdana" w:hAnsi="Verdana"/>
          <w:sz w:val="20"/>
          <w:szCs w:val="20"/>
          <w:lang w:val="es-CR"/>
        </w:rPr>
        <w:t xml:space="preserve"> en la sede del Tribunal</w:t>
      </w:r>
      <w:r w:rsidRPr="0090649A">
        <w:rPr>
          <w:rFonts w:ascii="Verdana" w:hAnsi="Verdana"/>
          <w:sz w:val="20"/>
          <w:szCs w:val="20"/>
          <w:lang w:val="es-CR"/>
        </w:rPr>
        <w:t xml:space="preserve">. </w:t>
      </w:r>
      <w:r w:rsidR="00981F90" w:rsidRPr="0090649A">
        <w:rPr>
          <w:rFonts w:ascii="Verdana" w:hAnsi="Verdana"/>
          <w:sz w:val="20"/>
          <w:szCs w:val="20"/>
          <w:lang w:val="es-CR"/>
        </w:rPr>
        <w:t>En la audiencia</w:t>
      </w:r>
      <w:r w:rsidR="00DD3684" w:rsidRPr="0090649A">
        <w:rPr>
          <w:rFonts w:ascii="Verdana" w:hAnsi="Verdana"/>
          <w:sz w:val="20"/>
          <w:szCs w:val="20"/>
          <w:lang w:val="es-CR"/>
        </w:rPr>
        <w:t>,</w:t>
      </w:r>
      <w:r w:rsidR="00981F90" w:rsidRPr="0090649A">
        <w:rPr>
          <w:rFonts w:ascii="Verdana" w:hAnsi="Verdana"/>
          <w:sz w:val="20"/>
          <w:szCs w:val="20"/>
          <w:lang w:val="es-CR"/>
        </w:rPr>
        <w:t xml:space="preserve"> </w:t>
      </w:r>
      <w:r w:rsidR="00981F90" w:rsidRPr="0090649A">
        <w:rPr>
          <w:rFonts w:ascii="Verdana" w:hAnsi="Verdana"/>
          <w:i/>
          <w:sz w:val="20"/>
          <w:szCs w:val="20"/>
          <w:lang w:val="es-CR"/>
        </w:rPr>
        <w:t>Honduras</w:t>
      </w:r>
      <w:r w:rsidR="00981F90" w:rsidRPr="0090649A">
        <w:rPr>
          <w:rFonts w:ascii="Verdana" w:hAnsi="Verdana"/>
          <w:sz w:val="20"/>
          <w:szCs w:val="20"/>
          <w:lang w:val="es-CR"/>
        </w:rPr>
        <w:t xml:space="preserve"> mantuvo la posición esgrimida en su informe de diciembre de 2016 (</w:t>
      </w:r>
      <w:r w:rsidR="00981F90" w:rsidRPr="0090649A">
        <w:rPr>
          <w:rFonts w:ascii="Verdana" w:hAnsi="Verdana"/>
          <w:i/>
          <w:sz w:val="20"/>
          <w:szCs w:val="20"/>
          <w:lang w:val="es-CR"/>
        </w:rPr>
        <w:t xml:space="preserve">supra </w:t>
      </w:r>
      <w:r w:rsidR="00981F90" w:rsidRPr="0090649A">
        <w:rPr>
          <w:rFonts w:ascii="Verdana" w:hAnsi="Verdana"/>
          <w:sz w:val="20"/>
          <w:szCs w:val="20"/>
          <w:lang w:val="es-CR"/>
        </w:rPr>
        <w:t xml:space="preserve">Considerando </w:t>
      </w:r>
      <w:r w:rsidR="00E14B62" w:rsidRPr="0090649A">
        <w:rPr>
          <w:rFonts w:ascii="Verdana" w:hAnsi="Verdana"/>
          <w:sz w:val="20"/>
          <w:szCs w:val="20"/>
          <w:lang w:val="es-CR"/>
        </w:rPr>
        <w:t>4</w:t>
      </w:r>
      <w:r w:rsidR="00D40EC8" w:rsidRPr="0090649A">
        <w:rPr>
          <w:rFonts w:ascii="Verdana" w:hAnsi="Verdana"/>
          <w:sz w:val="20"/>
          <w:szCs w:val="20"/>
          <w:lang w:val="es-CR"/>
        </w:rPr>
        <w:t>) y</w:t>
      </w:r>
      <w:r w:rsidR="00981F90" w:rsidRPr="0090649A">
        <w:rPr>
          <w:rFonts w:ascii="Verdana" w:hAnsi="Verdana"/>
          <w:sz w:val="20"/>
          <w:szCs w:val="20"/>
          <w:lang w:val="es-CR"/>
        </w:rPr>
        <w:t xml:space="preserve"> </w:t>
      </w:r>
      <w:r w:rsidR="00D40EC8" w:rsidRPr="0090649A">
        <w:rPr>
          <w:rFonts w:ascii="Verdana" w:hAnsi="Verdana"/>
          <w:sz w:val="20"/>
          <w:szCs w:val="20"/>
          <w:lang w:val="es-CR"/>
        </w:rPr>
        <w:t>a</w:t>
      </w:r>
      <w:r w:rsidR="00981F90" w:rsidRPr="0090649A">
        <w:rPr>
          <w:rFonts w:ascii="Verdana" w:hAnsi="Verdana"/>
          <w:sz w:val="20"/>
          <w:szCs w:val="20"/>
          <w:lang w:val="es-CR"/>
        </w:rPr>
        <w:t xml:space="preserve">ñadió que: i) el Plan Nacional de erradicación de la mora judicial se está desarrollando con el personal que </w:t>
      </w:r>
      <w:r w:rsidR="00D40EC8" w:rsidRPr="0090649A">
        <w:rPr>
          <w:rFonts w:ascii="Verdana" w:hAnsi="Verdana"/>
          <w:sz w:val="20"/>
          <w:szCs w:val="20"/>
          <w:lang w:val="es-CR"/>
        </w:rPr>
        <w:t xml:space="preserve">ya labora en el Poder Judicial </w:t>
      </w:r>
      <w:r w:rsidR="00981F90" w:rsidRPr="0090649A">
        <w:rPr>
          <w:rFonts w:ascii="Verdana" w:hAnsi="Verdana"/>
          <w:sz w:val="20"/>
          <w:szCs w:val="20"/>
          <w:lang w:val="es-CR"/>
        </w:rPr>
        <w:t xml:space="preserve">y ii) la jurisdicción especializada en materia de corrupción está siendo integrada por jueces y magistrados que “fueron seleccionados rigurosamente mediante examen de oposición”. Por su parte, las </w:t>
      </w:r>
      <w:r w:rsidR="00981F90" w:rsidRPr="0090649A">
        <w:rPr>
          <w:rFonts w:ascii="Verdana" w:hAnsi="Verdana"/>
          <w:i/>
          <w:sz w:val="20"/>
          <w:szCs w:val="20"/>
          <w:lang w:val="es-CR"/>
        </w:rPr>
        <w:t xml:space="preserve">representantes </w:t>
      </w:r>
      <w:r w:rsidR="00981F90" w:rsidRPr="0090649A">
        <w:rPr>
          <w:rFonts w:ascii="Verdana" w:hAnsi="Verdana"/>
          <w:sz w:val="20"/>
          <w:szCs w:val="20"/>
          <w:lang w:val="es-CR"/>
        </w:rPr>
        <w:t xml:space="preserve">de las víctimas presentaron copia de la respuesta que les dio la Oficina de </w:t>
      </w:r>
      <w:r w:rsidR="00602995">
        <w:rPr>
          <w:rFonts w:ascii="Verdana" w:hAnsi="Verdana"/>
          <w:sz w:val="20"/>
          <w:szCs w:val="20"/>
          <w:lang w:val="es-CR"/>
        </w:rPr>
        <w:t xml:space="preserve">Transparencia y Acceso a la </w:t>
      </w:r>
      <w:r w:rsidR="00981F90" w:rsidRPr="0090649A">
        <w:rPr>
          <w:rFonts w:ascii="Verdana" w:hAnsi="Verdana"/>
          <w:sz w:val="20"/>
          <w:szCs w:val="20"/>
          <w:lang w:val="es-CR"/>
        </w:rPr>
        <w:t>Información Pública del Poder Judicial hondureño</w:t>
      </w:r>
      <w:r w:rsidR="00847E85" w:rsidRPr="0090649A">
        <w:rPr>
          <w:rFonts w:ascii="Verdana" w:hAnsi="Verdana"/>
          <w:sz w:val="20"/>
          <w:szCs w:val="20"/>
          <w:lang w:val="es-CR"/>
        </w:rPr>
        <w:t xml:space="preserve"> respecto a una solicitud de información</w:t>
      </w:r>
      <w:r w:rsidR="00602995">
        <w:rPr>
          <w:rFonts w:ascii="Verdana" w:hAnsi="Verdana"/>
          <w:sz w:val="20"/>
          <w:szCs w:val="20"/>
          <w:lang w:val="es-CR"/>
        </w:rPr>
        <w:t xml:space="preserve"> que habían realizado</w:t>
      </w:r>
      <w:r w:rsidR="00847E85" w:rsidRPr="0090649A">
        <w:rPr>
          <w:rFonts w:ascii="Verdana" w:hAnsi="Verdana"/>
          <w:sz w:val="20"/>
          <w:szCs w:val="20"/>
          <w:lang w:val="es-CR"/>
        </w:rPr>
        <w:t xml:space="preserve"> sobre las plazas que hubiesen estado o estuvieran disponibles en el Poder Judicial a febrero de 2016</w:t>
      </w:r>
      <w:r w:rsidR="00847E85" w:rsidRPr="0090649A">
        <w:rPr>
          <w:rStyle w:val="Refdenotaalpie"/>
          <w:rFonts w:ascii="Verdana" w:hAnsi="Verdana"/>
          <w:sz w:val="20"/>
          <w:szCs w:val="20"/>
          <w:lang w:val="es-CR"/>
        </w:rPr>
        <w:footnoteReference w:id="16"/>
      </w:r>
      <w:r w:rsidR="00151E62" w:rsidRPr="0090649A">
        <w:rPr>
          <w:rFonts w:ascii="Verdana" w:hAnsi="Verdana"/>
          <w:sz w:val="20"/>
          <w:szCs w:val="20"/>
          <w:lang w:val="es-CR"/>
        </w:rPr>
        <w:t xml:space="preserve"> (</w:t>
      </w:r>
      <w:r w:rsidR="00151E62" w:rsidRPr="0090649A">
        <w:rPr>
          <w:rFonts w:ascii="Verdana" w:hAnsi="Verdana"/>
          <w:i/>
          <w:sz w:val="20"/>
          <w:szCs w:val="20"/>
          <w:lang w:val="es-CR"/>
        </w:rPr>
        <w:t xml:space="preserve">infra </w:t>
      </w:r>
      <w:r w:rsidR="00151E62" w:rsidRPr="0090649A">
        <w:rPr>
          <w:rFonts w:ascii="Verdana" w:hAnsi="Verdana"/>
          <w:sz w:val="20"/>
          <w:szCs w:val="20"/>
          <w:lang w:val="es-CR"/>
        </w:rPr>
        <w:t xml:space="preserve">Considerando </w:t>
      </w:r>
      <w:r w:rsidR="004B7DB2" w:rsidRPr="0090649A">
        <w:rPr>
          <w:rFonts w:ascii="Verdana" w:hAnsi="Verdana"/>
          <w:sz w:val="20"/>
          <w:szCs w:val="20"/>
          <w:lang w:val="es-CR"/>
        </w:rPr>
        <w:t>2</w:t>
      </w:r>
      <w:r w:rsidR="001F3B23" w:rsidRPr="0090649A">
        <w:rPr>
          <w:rFonts w:ascii="Verdana" w:hAnsi="Verdana"/>
          <w:sz w:val="20"/>
          <w:szCs w:val="20"/>
          <w:lang w:val="es-CR"/>
        </w:rPr>
        <w:t>1</w:t>
      </w:r>
      <w:r w:rsidR="00151E62" w:rsidRPr="0090649A">
        <w:rPr>
          <w:rFonts w:ascii="Verdana" w:hAnsi="Verdana"/>
          <w:sz w:val="20"/>
          <w:szCs w:val="20"/>
          <w:lang w:val="es-CR"/>
        </w:rPr>
        <w:t>)</w:t>
      </w:r>
      <w:r w:rsidR="00981F90" w:rsidRPr="0090649A">
        <w:rPr>
          <w:rFonts w:ascii="Verdana" w:hAnsi="Verdana"/>
          <w:sz w:val="20"/>
          <w:szCs w:val="20"/>
          <w:lang w:val="es-CR"/>
        </w:rPr>
        <w:t xml:space="preserve">. Adicionalmente, las </w:t>
      </w:r>
      <w:r w:rsidR="00981F90" w:rsidRPr="0090649A">
        <w:rPr>
          <w:rFonts w:ascii="Verdana" w:hAnsi="Verdana"/>
          <w:i/>
          <w:sz w:val="20"/>
          <w:szCs w:val="20"/>
          <w:lang w:val="es-CR"/>
        </w:rPr>
        <w:t>representantes</w:t>
      </w:r>
      <w:r w:rsidR="00981F90" w:rsidRPr="0090649A">
        <w:rPr>
          <w:rFonts w:ascii="Verdana" w:hAnsi="Verdana"/>
          <w:sz w:val="20"/>
          <w:szCs w:val="20"/>
          <w:lang w:val="es-CR"/>
        </w:rPr>
        <w:t xml:space="preserve"> señalaron que el “plan anual operativo del Poder Judicial” tiene como objetivo la creación de distintas salas y tribunales en varias ciudades del país que van a requerir nombramientos de jueces y magistrados</w:t>
      </w:r>
      <w:r w:rsidR="002E46CD" w:rsidRPr="0090649A">
        <w:rPr>
          <w:rStyle w:val="Refdenotaalpie"/>
          <w:rFonts w:ascii="Verdana" w:hAnsi="Verdana"/>
          <w:sz w:val="20"/>
          <w:szCs w:val="20"/>
          <w:lang w:val="es-CR"/>
        </w:rPr>
        <w:footnoteReference w:id="17"/>
      </w:r>
      <w:r w:rsidR="00981F90" w:rsidRPr="0090649A">
        <w:rPr>
          <w:rFonts w:ascii="Verdana" w:hAnsi="Verdana"/>
          <w:sz w:val="20"/>
          <w:szCs w:val="20"/>
          <w:lang w:val="es-CR"/>
        </w:rPr>
        <w:t xml:space="preserve">. Las </w:t>
      </w:r>
      <w:r w:rsidR="00981F90" w:rsidRPr="0090649A">
        <w:rPr>
          <w:rFonts w:ascii="Verdana" w:hAnsi="Verdana"/>
          <w:i/>
          <w:sz w:val="20"/>
          <w:szCs w:val="20"/>
          <w:lang w:val="es-CR"/>
        </w:rPr>
        <w:t>víctimas</w:t>
      </w:r>
      <w:r w:rsidR="00981F90" w:rsidRPr="0090649A">
        <w:rPr>
          <w:rFonts w:ascii="Verdana" w:hAnsi="Verdana"/>
          <w:sz w:val="20"/>
          <w:szCs w:val="20"/>
          <w:lang w:val="es-CR"/>
        </w:rPr>
        <w:t xml:space="preserve"> </w:t>
      </w:r>
      <w:r w:rsidR="00096102">
        <w:rPr>
          <w:rFonts w:ascii="Verdana" w:hAnsi="Verdana"/>
          <w:sz w:val="20"/>
          <w:szCs w:val="20"/>
          <w:lang w:val="es-CR"/>
        </w:rPr>
        <w:t xml:space="preserve">Adán </w:t>
      </w:r>
      <w:r w:rsidR="00981F90" w:rsidRPr="0090649A">
        <w:rPr>
          <w:rFonts w:ascii="Verdana" w:hAnsi="Verdana"/>
          <w:sz w:val="20"/>
          <w:szCs w:val="20"/>
          <w:lang w:val="es-CR"/>
        </w:rPr>
        <w:t>Guillermo López Lone y Tir</w:t>
      </w:r>
      <w:r w:rsidR="00A02382" w:rsidRPr="0090649A">
        <w:rPr>
          <w:rFonts w:ascii="Verdana" w:hAnsi="Verdana"/>
          <w:sz w:val="20"/>
          <w:szCs w:val="20"/>
          <w:lang w:val="es-CR"/>
        </w:rPr>
        <w:t>z</w:t>
      </w:r>
      <w:r w:rsidR="00981F90" w:rsidRPr="0090649A">
        <w:rPr>
          <w:rFonts w:ascii="Verdana" w:hAnsi="Verdana"/>
          <w:sz w:val="20"/>
          <w:szCs w:val="20"/>
          <w:lang w:val="es-CR"/>
        </w:rPr>
        <w:t xml:space="preserve">a </w:t>
      </w:r>
      <w:r w:rsidR="009B16E2" w:rsidRPr="0090649A">
        <w:rPr>
          <w:rFonts w:ascii="Verdana" w:hAnsi="Verdana"/>
          <w:sz w:val="20"/>
          <w:szCs w:val="20"/>
          <w:lang w:val="es-CR"/>
        </w:rPr>
        <w:t>Flores</w:t>
      </w:r>
      <w:r w:rsidR="00981F90" w:rsidRPr="0090649A">
        <w:rPr>
          <w:rFonts w:ascii="Verdana" w:hAnsi="Verdana"/>
          <w:sz w:val="20"/>
          <w:szCs w:val="20"/>
          <w:lang w:val="es-CR"/>
        </w:rPr>
        <w:t xml:space="preserve"> Lanza </w:t>
      </w:r>
      <w:r w:rsidR="00973537" w:rsidRPr="0090649A">
        <w:rPr>
          <w:rFonts w:ascii="Verdana" w:hAnsi="Verdana"/>
          <w:sz w:val="20"/>
          <w:szCs w:val="20"/>
          <w:lang w:val="es-CR"/>
        </w:rPr>
        <w:t>e</w:t>
      </w:r>
      <w:r w:rsidR="00981F90" w:rsidRPr="0090649A">
        <w:rPr>
          <w:rFonts w:ascii="Verdana" w:hAnsi="Verdana"/>
          <w:sz w:val="20"/>
          <w:szCs w:val="20"/>
          <w:lang w:val="es-CR"/>
        </w:rPr>
        <w:t xml:space="preserve">xpresaron que el reintegro es </w:t>
      </w:r>
      <w:r w:rsidR="00602995">
        <w:rPr>
          <w:rFonts w:ascii="Verdana" w:hAnsi="Verdana"/>
          <w:sz w:val="20"/>
          <w:szCs w:val="20"/>
          <w:lang w:val="es-CR"/>
        </w:rPr>
        <w:t>una</w:t>
      </w:r>
      <w:r w:rsidR="00602995" w:rsidRPr="0090649A">
        <w:rPr>
          <w:rFonts w:ascii="Verdana" w:hAnsi="Verdana"/>
          <w:sz w:val="20"/>
          <w:szCs w:val="20"/>
          <w:lang w:val="es-CR"/>
        </w:rPr>
        <w:t xml:space="preserve"> </w:t>
      </w:r>
      <w:r w:rsidR="00981F90" w:rsidRPr="0090649A">
        <w:rPr>
          <w:rFonts w:ascii="Verdana" w:hAnsi="Verdana"/>
          <w:sz w:val="20"/>
          <w:szCs w:val="20"/>
          <w:lang w:val="es-CR"/>
        </w:rPr>
        <w:t xml:space="preserve">medida </w:t>
      </w:r>
      <w:r w:rsidR="00602995">
        <w:rPr>
          <w:rFonts w:ascii="Verdana" w:hAnsi="Verdana"/>
          <w:sz w:val="20"/>
          <w:szCs w:val="20"/>
          <w:lang w:val="es-CR"/>
        </w:rPr>
        <w:t>importante</w:t>
      </w:r>
      <w:r w:rsidR="00981F90" w:rsidRPr="0090649A">
        <w:rPr>
          <w:rFonts w:ascii="Verdana" w:hAnsi="Verdana"/>
          <w:sz w:val="20"/>
          <w:szCs w:val="20"/>
          <w:lang w:val="es-CR"/>
        </w:rPr>
        <w:t xml:space="preserve">, tanto para ellas a nivel personal, como para la judicatura hondureña en términos de la afectación a la independencia judicial. Las </w:t>
      </w:r>
      <w:r w:rsidR="00981F90" w:rsidRPr="0090649A">
        <w:rPr>
          <w:rFonts w:ascii="Verdana" w:hAnsi="Verdana"/>
          <w:i/>
          <w:sz w:val="20"/>
          <w:szCs w:val="20"/>
          <w:lang w:val="es-CR"/>
        </w:rPr>
        <w:t>víctimas</w:t>
      </w:r>
      <w:r w:rsidR="00981F90" w:rsidRPr="0090649A">
        <w:rPr>
          <w:rFonts w:ascii="Verdana" w:hAnsi="Verdana"/>
          <w:sz w:val="20"/>
          <w:szCs w:val="20"/>
          <w:lang w:val="es-CR"/>
        </w:rPr>
        <w:t xml:space="preserve"> y sus</w:t>
      </w:r>
      <w:r w:rsidR="00981F90" w:rsidRPr="0090649A">
        <w:rPr>
          <w:rFonts w:ascii="Verdana" w:hAnsi="Verdana"/>
          <w:i/>
          <w:sz w:val="20"/>
          <w:szCs w:val="20"/>
          <w:lang w:val="es-CR"/>
        </w:rPr>
        <w:t xml:space="preserve"> representantes</w:t>
      </w:r>
      <w:r w:rsidR="00981F90" w:rsidRPr="0090649A">
        <w:rPr>
          <w:rFonts w:ascii="Verdana" w:hAnsi="Verdana"/>
          <w:sz w:val="20"/>
          <w:szCs w:val="20"/>
          <w:lang w:val="es-CR"/>
        </w:rPr>
        <w:t xml:space="preserve"> solicitaron a la Corte “</w:t>
      </w:r>
      <w:proofErr w:type="gramStart"/>
      <w:r w:rsidR="00981F90" w:rsidRPr="0090649A">
        <w:rPr>
          <w:rFonts w:ascii="Verdana" w:hAnsi="Verdana"/>
          <w:sz w:val="20"/>
          <w:szCs w:val="20"/>
          <w:lang w:val="es-CR"/>
        </w:rPr>
        <w:t>orden[</w:t>
      </w:r>
      <w:proofErr w:type="gramEnd"/>
      <w:r w:rsidR="00981F90" w:rsidRPr="0090649A">
        <w:rPr>
          <w:rFonts w:ascii="Verdana" w:hAnsi="Verdana"/>
          <w:sz w:val="20"/>
          <w:szCs w:val="20"/>
          <w:lang w:val="es-CR"/>
        </w:rPr>
        <w:t xml:space="preserve">ar a Honduras] la reincorporación como la única medida posible”. </w:t>
      </w:r>
    </w:p>
    <w:p w:rsidR="00981F90" w:rsidRPr="0090649A" w:rsidRDefault="00981F90" w:rsidP="00981F90">
      <w:pPr>
        <w:autoSpaceDE w:val="0"/>
        <w:autoSpaceDN w:val="0"/>
        <w:adjustRightInd w:val="0"/>
        <w:spacing w:after="0" w:line="240" w:lineRule="auto"/>
        <w:jc w:val="both"/>
        <w:rPr>
          <w:rFonts w:ascii="Verdana" w:hAnsi="Verdana"/>
          <w:sz w:val="20"/>
          <w:szCs w:val="20"/>
          <w:lang w:val="es-CR"/>
        </w:rPr>
      </w:pPr>
    </w:p>
    <w:p w:rsidR="00981F90" w:rsidRPr="0090649A" w:rsidRDefault="00981F90" w:rsidP="00453D58">
      <w:pPr>
        <w:numPr>
          <w:ilvl w:val="0"/>
          <w:numId w:val="17"/>
        </w:numPr>
        <w:autoSpaceDE w:val="0"/>
        <w:autoSpaceDN w:val="0"/>
        <w:adjustRightInd w:val="0"/>
        <w:spacing w:after="0" w:line="240" w:lineRule="auto"/>
        <w:ind w:left="0" w:firstLine="0"/>
        <w:jc w:val="both"/>
        <w:rPr>
          <w:rFonts w:ascii="Verdana" w:hAnsi="Verdana"/>
          <w:sz w:val="20"/>
          <w:szCs w:val="20"/>
          <w:lang w:val="es-CR"/>
        </w:rPr>
      </w:pPr>
      <w:r w:rsidRPr="0090649A">
        <w:rPr>
          <w:rFonts w:ascii="Verdana" w:hAnsi="Verdana"/>
          <w:sz w:val="20"/>
          <w:szCs w:val="20"/>
          <w:lang w:val="es-CR"/>
        </w:rPr>
        <w:t xml:space="preserve">Después de haber escuchado los puntos de vista de las partes y la </w:t>
      </w:r>
      <w:r w:rsidR="00646016" w:rsidRPr="0090649A">
        <w:rPr>
          <w:rFonts w:ascii="Verdana" w:hAnsi="Verdana"/>
          <w:sz w:val="20"/>
          <w:szCs w:val="20"/>
          <w:lang w:val="es-CR"/>
        </w:rPr>
        <w:t>Comisión</w:t>
      </w:r>
      <w:r w:rsidRPr="0090649A">
        <w:rPr>
          <w:rFonts w:ascii="Verdana" w:hAnsi="Verdana"/>
          <w:sz w:val="20"/>
          <w:szCs w:val="20"/>
          <w:lang w:val="es-CR"/>
        </w:rPr>
        <w:t>, la Corte solicitó en la audiencia que, dentro de un plazo de treinta días, el Estado presentara un informe escrito en el cual indicara cuáles eran las medidas que estaría adoptando para cumplir con la reparación de restitución, tomando en cuenta que el</w:t>
      </w:r>
      <w:r w:rsidR="00721DCD" w:rsidRPr="0090649A">
        <w:rPr>
          <w:rFonts w:ascii="Verdana" w:hAnsi="Verdana"/>
          <w:sz w:val="20"/>
          <w:szCs w:val="20"/>
          <w:lang w:val="es-CR"/>
        </w:rPr>
        <w:t xml:space="preserve"> no reintegro de las víctimas só</w:t>
      </w:r>
      <w:r w:rsidRPr="0090649A">
        <w:rPr>
          <w:rFonts w:ascii="Verdana" w:hAnsi="Verdana"/>
          <w:sz w:val="20"/>
          <w:szCs w:val="20"/>
          <w:lang w:val="es-CR"/>
        </w:rPr>
        <w:t xml:space="preserve">lo se podría dar ante una </w:t>
      </w:r>
      <w:r w:rsidRPr="005C6071">
        <w:rPr>
          <w:rFonts w:ascii="Verdana" w:hAnsi="Verdana"/>
          <w:sz w:val="20"/>
          <w:szCs w:val="20"/>
          <w:lang w:val="es-CR"/>
        </w:rPr>
        <w:t>imposibilidad real para ello y</w:t>
      </w:r>
      <w:r w:rsidR="009D03DA" w:rsidRPr="005C6071">
        <w:rPr>
          <w:rFonts w:ascii="Verdana" w:hAnsi="Verdana"/>
          <w:sz w:val="20"/>
          <w:szCs w:val="20"/>
          <w:lang w:val="es-CR"/>
        </w:rPr>
        <w:t xml:space="preserve"> </w:t>
      </w:r>
      <w:r w:rsidR="00481355" w:rsidRPr="005C6071">
        <w:rPr>
          <w:rFonts w:ascii="Verdana" w:hAnsi="Verdana"/>
          <w:sz w:val="20"/>
          <w:szCs w:val="20"/>
          <w:lang w:val="es-CR"/>
        </w:rPr>
        <w:t>que</w:t>
      </w:r>
      <w:r w:rsidR="00DA0B99" w:rsidRPr="005C6071">
        <w:rPr>
          <w:rFonts w:ascii="Verdana" w:hAnsi="Verdana"/>
          <w:sz w:val="20"/>
          <w:szCs w:val="20"/>
          <w:lang w:val="es-CR"/>
        </w:rPr>
        <w:t xml:space="preserve"> </w:t>
      </w:r>
      <w:r w:rsidR="00076C3D" w:rsidRPr="005C6071">
        <w:rPr>
          <w:rFonts w:ascii="Verdana" w:hAnsi="Verdana"/>
          <w:sz w:val="20"/>
          <w:szCs w:val="20"/>
          <w:lang w:val="es-CR"/>
        </w:rPr>
        <w:t>la reincorporación era el punto medular de la Sentencia</w:t>
      </w:r>
      <w:r w:rsidRPr="005C6071">
        <w:rPr>
          <w:rFonts w:ascii="Verdana" w:hAnsi="Verdana"/>
          <w:sz w:val="20"/>
          <w:szCs w:val="20"/>
          <w:lang w:val="es-CR"/>
        </w:rPr>
        <w:t xml:space="preserve">. Al respecto, el </w:t>
      </w:r>
      <w:r w:rsidRPr="005C6071">
        <w:rPr>
          <w:rFonts w:ascii="Verdana" w:hAnsi="Verdana"/>
          <w:i/>
          <w:sz w:val="20"/>
          <w:szCs w:val="20"/>
          <w:lang w:val="es-CR"/>
        </w:rPr>
        <w:t>Estado</w:t>
      </w:r>
      <w:r w:rsidRPr="005C6071">
        <w:rPr>
          <w:rFonts w:ascii="Verdana" w:hAnsi="Verdana"/>
          <w:sz w:val="20"/>
          <w:szCs w:val="20"/>
          <w:lang w:val="es-CR"/>
        </w:rPr>
        <w:t xml:space="preserve"> expresó que tomaría en cuenta lo planteado y analizaría la posición presentada</w:t>
      </w:r>
      <w:r w:rsidRPr="0090649A">
        <w:rPr>
          <w:rFonts w:ascii="Verdana" w:hAnsi="Verdana"/>
          <w:sz w:val="20"/>
          <w:szCs w:val="20"/>
          <w:lang w:val="es-CR"/>
        </w:rPr>
        <w:t xml:space="preserve"> por </w:t>
      </w:r>
      <w:r w:rsidR="008D6DFB" w:rsidRPr="0090649A">
        <w:rPr>
          <w:rFonts w:ascii="Verdana" w:hAnsi="Verdana"/>
          <w:sz w:val="20"/>
          <w:szCs w:val="20"/>
          <w:lang w:val="es-CR"/>
        </w:rPr>
        <w:t>las representantes</w:t>
      </w:r>
      <w:r w:rsidR="00721DCD" w:rsidRPr="0090649A">
        <w:rPr>
          <w:rFonts w:ascii="Verdana" w:hAnsi="Verdana"/>
          <w:sz w:val="20"/>
          <w:szCs w:val="20"/>
          <w:lang w:val="es-CR"/>
        </w:rPr>
        <w:t xml:space="preserve"> de </w:t>
      </w:r>
      <w:r w:rsidRPr="0090649A">
        <w:rPr>
          <w:rFonts w:ascii="Verdana" w:hAnsi="Verdana"/>
          <w:sz w:val="20"/>
          <w:szCs w:val="20"/>
          <w:lang w:val="es-CR"/>
        </w:rPr>
        <w:t>l</w:t>
      </w:r>
      <w:r w:rsidR="00721DCD" w:rsidRPr="0090649A">
        <w:rPr>
          <w:rFonts w:ascii="Verdana" w:hAnsi="Verdana"/>
          <w:sz w:val="20"/>
          <w:szCs w:val="20"/>
          <w:lang w:val="es-CR"/>
        </w:rPr>
        <w:t>as víctimas</w:t>
      </w:r>
      <w:r w:rsidRPr="0090649A">
        <w:rPr>
          <w:rFonts w:ascii="Verdana" w:hAnsi="Verdana"/>
          <w:sz w:val="20"/>
          <w:szCs w:val="20"/>
          <w:lang w:val="es-CR"/>
        </w:rPr>
        <w:t>.</w:t>
      </w:r>
    </w:p>
    <w:p w:rsidR="00981F90" w:rsidRPr="0090649A" w:rsidRDefault="00981F90" w:rsidP="00981F90">
      <w:pPr>
        <w:autoSpaceDE w:val="0"/>
        <w:autoSpaceDN w:val="0"/>
        <w:adjustRightInd w:val="0"/>
        <w:spacing w:after="0" w:line="240" w:lineRule="auto"/>
        <w:jc w:val="both"/>
        <w:rPr>
          <w:rFonts w:ascii="Verdana" w:hAnsi="Verdana"/>
          <w:sz w:val="20"/>
          <w:szCs w:val="20"/>
          <w:lang w:val="es-CR"/>
        </w:rPr>
      </w:pPr>
    </w:p>
    <w:p w:rsidR="00E41577" w:rsidRPr="0090649A" w:rsidRDefault="00721DCD" w:rsidP="00453D58">
      <w:pPr>
        <w:numPr>
          <w:ilvl w:val="0"/>
          <w:numId w:val="17"/>
        </w:numPr>
        <w:autoSpaceDE w:val="0"/>
        <w:autoSpaceDN w:val="0"/>
        <w:adjustRightInd w:val="0"/>
        <w:spacing w:after="0" w:line="240" w:lineRule="auto"/>
        <w:ind w:left="0" w:firstLine="0"/>
        <w:jc w:val="both"/>
        <w:rPr>
          <w:rFonts w:ascii="Verdana" w:hAnsi="Verdana"/>
          <w:sz w:val="20"/>
          <w:szCs w:val="20"/>
          <w:lang w:val="es-CR"/>
        </w:rPr>
      </w:pPr>
      <w:r w:rsidRPr="0090649A">
        <w:rPr>
          <w:rFonts w:ascii="Verdana" w:hAnsi="Verdana"/>
          <w:sz w:val="20"/>
          <w:szCs w:val="20"/>
          <w:lang w:val="es-CR"/>
        </w:rPr>
        <w:t>El 14 de marzo de 2017</w:t>
      </w:r>
      <w:r w:rsidR="00981F90" w:rsidRPr="0090649A">
        <w:rPr>
          <w:rFonts w:ascii="Verdana" w:hAnsi="Verdana"/>
          <w:sz w:val="20"/>
          <w:szCs w:val="20"/>
          <w:lang w:val="es-CR"/>
        </w:rPr>
        <w:t xml:space="preserve"> </w:t>
      </w:r>
      <w:r w:rsidR="00981F90" w:rsidRPr="0090649A">
        <w:rPr>
          <w:rFonts w:ascii="Verdana" w:hAnsi="Verdana"/>
          <w:i/>
          <w:sz w:val="20"/>
          <w:szCs w:val="20"/>
          <w:lang w:val="es-CR"/>
        </w:rPr>
        <w:t>Honduras</w:t>
      </w:r>
      <w:r w:rsidR="00981F90" w:rsidRPr="0090649A">
        <w:rPr>
          <w:rFonts w:ascii="Verdana" w:hAnsi="Verdana"/>
          <w:sz w:val="20"/>
          <w:szCs w:val="20"/>
          <w:lang w:val="es-CR"/>
        </w:rPr>
        <w:t xml:space="preserve"> presentó un informe, en el cual reiteró la posición asumida desde el primer informe estatal relativa a la imposibilidad de realizar el reintegro de las víctimas, con base en que “no existe </w:t>
      </w:r>
      <w:r w:rsidR="003C491E">
        <w:rPr>
          <w:rFonts w:ascii="Verdana" w:hAnsi="Verdana"/>
          <w:sz w:val="20"/>
          <w:szCs w:val="20"/>
          <w:lang w:val="es-CR"/>
        </w:rPr>
        <w:t>[</w:t>
      </w:r>
      <w:r w:rsidR="00981F90" w:rsidRPr="0090649A">
        <w:rPr>
          <w:rFonts w:ascii="Verdana" w:hAnsi="Verdana"/>
          <w:sz w:val="20"/>
          <w:szCs w:val="20"/>
          <w:lang w:val="es-CR"/>
        </w:rPr>
        <w:t>actualmente</w:t>
      </w:r>
      <w:r w:rsidR="003C491E">
        <w:rPr>
          <w:rFonts w:ascii="Verdana" w:hAnsi="Verdana"/>
          <w:sz w:val="20"/>
          <w:szCs w:val="20"/>
          <w:lang w:val="es-CR"/>
        </w:rPr>
        <w:t>]</w:t>
      </w:r>
      <w:r w:rsidR="00981F90" w:rsidRPr="0090649A">
        <w:rPr>
          <w:rFonts w:ascii="Verdana" w:hAnsi="Verdana"/>
          <w:sz w:val="20"/>
          <w:szCs w:val="20"/>
          <w:lang w:val="es-CR"/>
        </w:rPr>
        <w:t xml:space="preserve"> en la ciudad de San Pedro Sula, cargos similares a los que desempeñaban” al momento de los hechos</w:t>
      </w:r>
      <w:r w:rsidRPr="0090649A">
        <w:rPr>
          <w:rFonts w:ascii="Verdana" w:hAnsi="Verdana"/>
          <w:sz w:val="20"/>
          <w:szCs w:val="20"/>
          <w:lang w:val="es-CR"/>
        </w:rPr>
        <w:t>, y manifestó que “ofrece la compensación alterna”</w:t>
      </w:r>
      <w:r w:rsidR="00E41577" w:rsidRPr="0090649A">
        <w:rPr>
          <w:rFonts w:ascii="Verdana" w:hAnsi="Verdana"/>
          <w:sz w:val="20"/>
          <w:szCs w:val="20"/>
          <w:lang w:val="es-CR"/>
        </w:rPr>
        <w:t xml:space="preserve"> (</w:t>
      </w:r>
      <w:r w:rsidR="00E41577" w:rsidRPr="0090649A">
        <w:rPr>
          <w:rFonts w:ascii="Verdana" w:hAnsi="Verdana"/>
          <w:i/>
          <w:sz w:val="20"/>
          <w:szCs w:val="20"/>
          <w:lang w:val="es-CR"/>
        </w:rPr>
        <w:t xml:space="preserve">infra </w:t>
      </w:r>
      <w:r w:rsidR="00E41577" w:rsidRPr="0090649A">
        <w:rPr>
          <w:rFonts w:ascii="Verdana" w:hAnsi="Verdana"/>
          <w:sz w:val="20"/>
          <w:szCs w:val="20"/>
          <w:lang w:val="es-CR"/>
        </w:rPr>
        <w:t xml:space="preserve">Considerando </w:t>
      </w:r>
      <w:r w:rsidR="004B7DB2" w:rsidRPr="0090649A">
        <w:rPr>
          <w:rFonts w:ascii="Verdana" w:hAnsi="Verdana"/>
          <w:sz w:val="20"/>
          <w:szCs w:val="20"/>
          <w:lang w:val="es-CR"/>
        </w:rPr>
        <w:t>1</w:t>
      </w:r>
      <w:r w:rsidR="001F3B23" w:rsidRPr="0090649A">
        <w:rPr>
          <w:rFonts w:ascii="Verdana" w:hAnsi="Verdana"/>
          <w:sz w:val="20"/>
          <w:szCs w:val="20"/>
          <w:lang w:val="es-CR"/>
        </w:rPr>
        <w:t>9</w:t>
      </w:r>
      <w:r w:rsidR="00E41577" w:rsidRPr="0090649A">
        <w:rPr>
          <w:rFonts w:ascii="Verdana" w:hAnsi="Verdana"/>
          <w:sz w:val="20"/>
          <w:szCs w:val="20"/>
          <w:lang w:val="es-CR"/>
        </w:rPr>
        <w:t xml:space="preserve">). </w:t>
      </w:r>
    </w:p>
    <w:p w:rsidR="00981F90" w:rsidRPr="0090649A" w:rsidRDefault="00981F90" w:rsidP="00E41577">
      <w:pPr>
        <w:autoSpaceDE w:val="0"/>
        <w:autoSpaceDN w:val="0"/>
        <w:adjustRightInd w:val="0"/>
        <w:spacing w:after="0" w:line="240" w:lineRule="auto"/>
        <w:jc w:val="both"/>
        <w:rPr>
          <w:rFonts w:ascii="Verdana" w:hAnsi="Verdana"/>
          <w:sz w:val="20"/>
          <w:szCs w:val="20"/>
          <w:lang w:val="es-CR"/>
        </w:rPr>
      </w:pPr>
    </w:p>
    <w:p w:rsidR="00520034" w:rsidRPr="0090649A" w:rsidRDefault="00981F90" w:rsidP="00453D58">
      <w:pPr>
        <w:numPr>
          <w:ilvl w:val="0"/>
          <w:numId w:val="17"/>
        </w:numPr>
        <w:autoSpaceDE w:val="0"/>
        <w:autoSpaceDN w:val="0"/>
        <w:adjustRightInd w:val="0"/>
        <w:spacing w:after="0" w:line="240" w:lineRule="auto"/>
        <w:ind w:left="0" w:firstLine="0"/>
        <w:jc w:val="both"/>
        <w:rPr>
          <w:rFonts w:ascii="Verdana" w:hAnsi="Verdana"/>
          <w:sz w:val="20"/>
          <w:szCs w:val="20"/>
          <w:lang w:val="es-CR"/>
        </w:rPr>
      </w:pPr>
      <w:r w:rsidRPr="0090649A">
        <w:rPr>
          <w:rFonts w:ascii="Verdana" w:hAnsi="Verdana"/>
          <w:sz w:val="20"/>
          <w:szCs w:val="20"/>
          <w:lang w:val="es-CR"/>
        </w:rPr>
        <w:t>En sus observaciones</w:t>
      </w:r>
      <w:r w:rsidR="00E41577" w:rsidRPr="0090649A">
        <w:rPr>
          <w:rFonts w:ascii="Verdana" w:hAnsi="Verdana"/>
          <w:sz w:val="20"/>
          <w:szCs w:val="20"/>
          <w:lang w:val="es-CR"/>
        </w:rPr>
        <w:t xml:space="preserve"> a este último informe estatal</w:t>
      </w:r>
      <w:r w:rsidRPr="0090649A">
        <w:rPr>
          <w:rFonts w:ascii="Verdana" w:hAnsi="Verdana"/>
          <w:sz w:val="20"/>
          <w:szCs w:val="20"/>
          <w:lang w:val="es-CR"/>
        </w:rPr>
        <w:t xml:space="preserve">, las </w:t>
      </w:r>
      <w:r w:rsidRPr="0090649A">
        <w:rPr>
          <w:rFonts w:ascii="Verdana" w:hAnsi="Verdana"/>
          <w:i/>
          <w:sz w:val="20"/>
          <w:szCs w:val="20"/>
          <w:lang w:val="es-CR"/>
        </w:rPr>
        <w:t xml:space="preserve">representantes de las víctimas </w:t>
      </w:r>
      <w:r w:rsidRPr="0090649A">
        <w:rPr>
          <w:rFonts w:ascii="Verdana" w:hAnsi="Verdana"/>
          <w:sz w:val="20"/>
          <w:szCs w:val="20"/>
          <w:lang w:val="es-CR"/>
        </w:rPr>
        <w:t xml:space="preserve">indicaron que no habían tenido “algún tipo de comunicación (formal o informal) sobre” la no reincorporación de las víctimas. </w:t>
      </w:r>
      <w:r w:rsidR="008A1A09">
        <w:rPr>
          <w:rFonts w:ascii="Verdana" w:hAnsi="Verdana"/>
          <w:sz w:val="20"/>
          <w:szCs w:val="20"/>
          <w:lang w:val="es-CR"/>
        </w:rPr>
        <w:t>Asimismo, indicaron que</w:t>
      </w:r>
      <w:r w:rsidR="00E6721C">
        <w:rPr>
          <w:rFonts w:ascii="Verdana" w:hAnsi="Verdana"/>
          <w:sz w:val="20"/>
          <w:szCs w:val="20"/>
          <w:lang w:val="es-CR"/>
        </w:rPr>
        <w:t>:</w:t>
      </w:r>
      <w:r w:rsidR="008A1A09">
        <w:rPr>
          <w:rFonts w:ascii="Verdana" w:hAnsi="Verdana"/>
          <w:sz w:val="20"/>
          <w:szCs w:val="20"/>
          <w:lang w:val="es-CR"/>
        </w:rPr>
        <w:t xml:space="preserve"> </w:t>
      </w:r>
      <w:r w:rsidR="00960255" w:rsidRPr="0090649A">
        <w:rPr>
          <w:rFonts w:ascii="Verdana" w:hAnsi="Verdana"/>
          <w:sz w:val="20"/>
          <w:szCs w:val="20"/>
          <w:lang w:val="es-CR"/>
        </w:rPr>
        <w:t>el Presidente de la Corte Suprema</w:t>
      </w:r>
      <w:r w:rsidR="008A1A09" w:rsidRPr="0090649A">
        <w:rPr>
          <w:rStyle w:val="Refdenotaalpie"/>
          <w:rFonts w:ascii="Verdana" w:hAnsi="Verdana"/>
          <w:sz w:val="20"/>
          <w:szCs w:val="20"/>
          <w:lang w:val="es-CR"/>
        </w:rPr>
        <w:footnoteReference w:id="18"/>
      </w:r>
      <w:r w:rsidR="00960255" w:rsidRPr="0090649A">
        <w:rPr>
          <w:rFonts w:ascii="Verdana" w:hAnsi="Verdana"/>
          <w:sz w:val="20"/>
          <w:szCs w:val="20"/>
          <w:lang w:val="es-CR"/>
        </w:rPr>
        <w:t xml:space="preserve"> </w:t>
      </w:r>
      <w:r w:rsidR="008A1A09">
        <w:rPr>
          <w:rFonts w:ascii="Verdana" w:hAnsi="Verdana"/>
          <w:sz w:val="20"/>
          <w:szCs w:val="20"/>
          <w:lang w:val="es-CR"/>
        </w:rPr>
        <w:t>“ha nombrado a personas en</w:t>
      </w:r>
      <w:r w:rsidR="00DA0B99">
        <w:rPr>
          <w:rFonts w:ascii="Verdana" w:hAnsi="Verdana"/>
          <w:sz w:val="20"/>
          <w:szCs w:val="20"/>
          <w:lang w:val="es-CR"/>
        </w:rPr>
        <w:t xml:space="preserve"> </w:t>
      </w:r>
      <w:r w:rsidR="008A1A09">
        <w:rPr>
          <w:rFonts w:ascii="Verdana" w:hAnsi="Verdana"/>
          <w:sz w:val="20"/>
          <w:szCs w:val="20"/>
          <w:lang w:val="es-CR"/>
        </w:rPr>
        <w:t>puestos similares a los que ostentaban las víctimas del caso, aún luego de ser notificados de la […] Sentencia,</w:t>
      </w:r>
      <w:r w:rsidR="00E6721C">
        <w:rPr>
          <w:rFonts w:ascii="Verdana" w:hAnsi="Verdana"/>
          <w:sz w:val="20"/>
          <w:szCs w:val="20"/>
          <w:lang w:val="es-CR"/>
        </w:rPr>
        <w:t xml:space="preserve"> […] </w:t>
      </w:r>
      <w:r w:rsidR="008A1A09">
        <w:rPr>
          <w:rFonts w:ascii="Verdana" w:hAnsi="Verdana"/>
          <w:sz w:val="20"/>
          <w:szCs w:val="20"/>
          <w:lang w:val="es-CR"/>
        </w:rPr>
        <w:t xml:space="preserve">se ha demostrado </w:t>
      </w:r>
      <w:r w:rsidR="008A1A09">
        <w:rPr>
          <w:rFonts w:ascii="Verdana" w:hAnsi="Verdana"/>
          <w:sz w:val="20"/>
          <w:szCs w:val="20"/>
          <w:lang w:val="es-CR"/>
        </w:rPr>
        <w:lastRenderedPageBreak/>
        <w:t xml:space="preserve">que existen plazas vacantes […] que podrían haber sido ofrecidas al juez López Lone”, </w:t>
      </w:r>
      <w:r w:rsidR="00E6721C">
        <w:rPr>
          <w:rFonts w:ascii="Verdana" w:hAnsi="Verdana"/>
          <w:sz w:val="20"/>
          <w:szCs w:val="20"/>
          <w:lang w:val="es-CR"/>
        </w:rPr>
        <w:t xml:space="preserve">y </w:t>
      </w:r>
      <w:r w:rsidR="008A1A09">
        <w:rPr>
          <w:rFonts w:ascii="Verdana" w:hAnsi="Verdana"/>
          <w:sz w:val="20"/>
          <w:szCs w:val="20"/>
          <w:lang w:val="es-CR"/>
        </w:rPr>
        <w:t xml:space="preserve">que la Corte Suprema de Justicia tiene planes de aumentar su presupuesto, crear plazas y llenar las vacantes para combatir la mora judicial. </w:t>
      </w:r>
    </w:p>
    <w:p w:rsidR="00981F90" w:rsidRPr="0090649A" w:rsidRDefault="00981F90" w:rsidP="00B4241A">
      <w:pPr>
        <w:pStyle w:val="Sombreadovistoso-nfasis3"/>
        <w:spacing w:after="0" w:line="240" w:lineRule="auto"/>
        <w:ind w:left="0"/>
        <w:contextualSpacing w:val="0"/>
        <w:jc w:val="both"/>
        <w:rPr>
          <w:rFonts w:ascii="Verdana" w:hAnsi="Verdana"/>
          <w:sz w:val="20"/>
          <w:szCs w:val="20"/>
          <w:lang w:val="es-CR"/>
        </w:rPr>
      </w:pPr>
    </w:p>
    <w:p w:rsidR="00DB0F56" w:rsidRPr="0090649A" w:rsidRDefault="00DB0F56" w:rsidP="00B4241A">
      <w:pPr>
        <w:pStyle w:val="Sombreadovistoso-nfasis3"/>
        <w:spacing w:after="0" w:line="240" w:lineRule="auto"/>
        <w:contextualSpacing w:val="0"/>
        <w:jc w:val="both"/>
        <w:rPr>
          <w:rFonts w:ascii="Verdana" w:hAnsi="Verdana"/>
          <w:i/>
          <w:sz w:val="20"/>
          <w:lang w:val="es-CR"/>
        </w:rPr>
      </w:pPr>
      <w:r w:rsidRPr="0090649A">
        <w:rPr>
          <w:rFonts w:ascii="Verdana" w:hAnsi="Verdana"/>
          <w:i/>
          <w:sz w:val="20"/>
          <w:lang w:val="es-CR"/>
        </w:rPr>
        <w:t>A.3</w:t>
      </w:r>
      <w:r w:rsidR="0059605C" w:rsidRPr="0090649A">
        <w:rPr>
          <w:rFonts w:ascii="Verdana" w:hAnsi="Verdana"/>
          <w:i/>
          <w:sz w:val="20"/>
          <w:lang w:val="es-CR"/>
        </w:rPr>
        <w:t>.</w:t>
      </w:r>
      <w:r w:rsidRPr="0090649A">
        <w:rPr>
          <w:rFonts w:ascii="Verdana" w:hAnsi="Verdana"/>
          <w:i/>
          <w:sz w:val="20"/>
          <w:lang w:val="es-CR"/>
        </w:rPr>
        <w:t xml:space="preserve"> Consideraciones de la Corte</w:t>
      </w:r>
    </w:p>
    <w:p w:rsidR="0019287E" w:rsidRPr="0090649A" w:rsidRDefault="0019287E" w:rsidP="00B4241A">
      <w:pPr>
        <w:pStyle w:val="Sombreadovistoso-nfasis3"/>
        <w:spacing w:after="0" w:line="240" w:lineRule="auto"/>
        <w:ind w:left="0"/>
        <w:contextualSpacing w:val="0"/>
        <w:jc w:val="both"/>
        <w:rPr>
          <w:rFonts w:ascii="Verdana" w:hAnsi="Verdana"/>
          <w:sz w:val="20"/>
          <w:lang w:val="es-CR"/>
        </w:rPr>
      </w:pPr>
    </w:p>
    <w:p w:rsidR="00267DF3" w:rsidRPr="0090649A" w:rsidRDefault="00EB5BE5" w:rsidP="00453D58">
      <w:pPr>
        <w:pStyle w:val="Sombreadovistoso-nfasis3"/>
        <w:numPr>
          <w:ilvl w:val="0"/>
          <w:numId w:val="17"/>
        </w:numPr>
        <w:spacing w:after="0" w:line="240" w:lineRule="auto"/>
        <w:ind w:left="0" w:firstLine="0"/>
        <w:contextualSpacing w:val="0"/>
        <w:jc w:val="both"/>
        <w:rPr>
          <w:rFonts w:ascii="Verdana" w:hAnsi="Verdana"/>
          <w:b/>
          <w:sz w:val="20"/>
          <w:szCs w:val="20"/>
          <w:lang w:val="es-CR"/>
        </w:rPr>
      </w:pPr>
      <w:r w:rsidRPr="0090649A">
        <w:rPr>
          <w:rFonts w:ascii="Verdana" w:hAnsi="Verdana"/>
          <w:sz w:val="20"/>
          <w:lang w:val="es-CR"/>
        </w:rPr>
        <w:t>La Corte recuerda que en la Sentencia declaró</w:t>
      </w:r>
      <w:r w:rsidR="001B6877" w:rsidRPr="0090649A">
        <w:rPr>
          <w:rFonts w:ascii="Verdana" w:hAnsi="Verdana"/>
          <w:sz w:val="20"/>
          <w:lang w:val="es-CR"/>
        </w:rPr>
        <w:t xml:space="preserve"> que Honduras había incurrido en responsabilidad internacional porque “la destitución de los jueces Luis Chévez de la Rocha, Adán Guillermo López Lone y la magistrada Tirza del Carmen Flores Lanza fue el resultado de procesos disciplinarios y decisiones violatori</w:t>
      </w:r>
      <w:r w:rsidR="00F13F4A" w:rsidRPr="0090649A">
        <w:rPr>
          <w:rFonts w:ascii="Verdana" w:hAnsi="Verdana"/>
          <w:sz w:val="20"/>
          <w:lang w:val="es-CR"/>
        </w:rPr>
        <w:t>[a]</w:t>
      </w:r>
      <w:r w:rsidR="001B6877" w:rsidRPr="0090649A">
        <w:rPr>
          <w:rFonts w:ascii="Verdana" w:hAnsi="Verdana"/>
          <w:sz w:val="20"/>
          <w:lang w:val="es-CR"/>
        </w:rPr>
        <w:t>s de los derechos políticos, la libertad de expresión y el derecho de reunión, respectivamente, así como de las garantías judiciales y el der[e]cho a est[a]bilidad en el cargo”</w:t>
      </w:r>
      <w:r w:rsidR="00656058" w:rsidRPr="0090649A">
        <w:rPr>
          <w:rStyle w:val="Refdenotaalpie"/>
          <w:rFonts w:ascii="Verdana" w:hAnsi="Verdana"/>
          <w:sz w:val="20"/>
          <w:lang w:val="es-CR"/>
        </w:rPr>
        <w:footnoteReference w:id="19"/>
      </w:r>
      <w:r w:rsidR="001B6877" w:rsidRPr="0090649A">
        <w:rPr>
          <w:rFonts w:ascii="Verdana" w:hAnsi="Verdana"/>
          <w:sz w:val="20"/>
          <w:lang w:val="es-CR"/>
        </w:rPr>
        <w:t>.</w:t>
      </w:r>
      <w:r w:rsidR="001B6877" w:rsidRPr="0090649A">
        <w:rPr>
          <w:lang w:val="es-CR"/>
        </w:rPr>
        <w:t xml:space="preserve"> </w:t>
      </w:r>
      <w:r w:rsidR="001B6877" w:rsidRPr="0090649A">
        <w:rPr>
          <w:rFonts w:ascii="Verdana" w:hAnsi="Verdana"/>
          <w:sz w:val="20"/>
          <w:lang w:val="es-CR"/>
        </w:rPr>
        <w:t xml:space="preserve">Por la naturaleza de las referidas violaciones, </w:t>
      </w:r>
      <w:r w:rsidR="00AE13A6" w:rsidRPr="0090649A">
        <w:rPr>
          <w:rFonts w:ascii="Verdana" w:hAnsi="Verdana"/>
          <w:sz w:val="20"/>
          <w:lang w:val="es-CR"/>
        </w:rPr>
        <w:t>al momento de ordenar la respectiva reparación</w:t>
      </w:r>
      <w:r w:rsidR="00F13F4A" w:rsidRPr="0090649A">
        <w:rPr>
          <w:rFonts w:ascii="Verdana" w:hAnsi="Verdana"/>
          <w:sz w:val="20"/>
          <w:lang w:val="es-CR"/>
        </w:rPr>
        <w:t xml:space="preserve"> en la Sentencia</w:t>
      </w:r>
      <w:r w:rsidR="00AE13A6" w:rsidRPr="0090649A">
        <w:rPr>
          <w:rFonts w:ascii="Verdana" w:hAnsi="Verdana"/>
          <w:sz w:val="20"/>
          <w:lang w:val="es-CR"/>
        </w:rPr>
        <w:t>,</w:t>
      </w:r>
      <w:r w:rsidR="001B6877" w:rsidRPr="0090649A">
        <w:rPr>
          <w:rFonts w:ascii="Verdana" w:hAnsi="Verdana"/>
          <w:sz w:val="20"/>
          <w:lang w:val="es-CR"/>
        </w:rPr>
        <w:t xml:space="preserve"> </w:t>
      </w:r>
      <w:r w:rsidR="007B2FBB" w:rsidRPr="0090649A">
        <w:rPr>
          <w:rFonts w:ascii="Verdana" w:hAnsi="Verdana"/>
          <w:sz w:val="20"/>
          <w:lang w:val="es-CR"/>
        </w:rPr>
        <w:t xml:space="preserve">el Tribunal ponderó </w:t>
      </w:r>
      <w:r w:rsidR="00AE13A6" w:rsidRPr="0090649A">
        <w:rPr>
          <w:rFonts w:ascii="Verdana" w:hAnsi="Verdana"/>
          <w:sz w:val="20"/>
          <w:lang w:val="es-CR"/>
        </w:rPr>
        <w:t xml:space="preserve">que esta fuese </w:t>
      </w:r>
      <w:r w:rsidR="001B6877" w:rsidRPr="0090649A">
        <w:rPr>
          <w:rFonts w:ascii="Verdana" w:hAnsi="Verdana"/>
          <w:sz w:val="20"/>
          <w:lang w:val="es-CR"/>
        </w:rPr>
        <w:t xml:space="preserve">una medida de restitución que </w:t>
      </w:r>
      <w:r w:rsidR="00AE13A6" w:rsidRPr="0090649A">
        <w:rPr>
          <w:rFonts w:ascii="Verdana" w:hAnsi="Verdana"/>
          <w:sz w:val="20"/>
          <w:lang w:val="es-CR"/>
        </w:rPr>
        <w:t>restableciera</w:t>
      </w:r>
      <w:r w:rsidR="001B6877" w:rsidRPr="0090649A">
        <w:rPr>
          <w:rFonts w:ascii="Verdana" w:hAnsi="Verdana"/>
          <w:sz w:val="20"/>
          <w:lang w:val="es-CR"/>
        </w:rPr>
        <w:t xml:space="preserve"> a las víctimas a la situación de protección a sus derechos humanos que existía antes de que ocurrieran las referidas destituciones:</w:t>
      </w:r>
    </w:p>
    <w:p w:rsidR="002E080F" w:rsidRPr="0090649A" w:rsidRDefault="002E080F" w:rsidP="00B4241A">
      <w:pPr>
        <w:pStyle w:val="Sombreadovistoso-nfasis3"/>
        <w:spacing w:after="0" w:line="240" w:lineRule="auto"/>
        <w:ind w:left="0"/>
        <w:contextualSpacing w:val="0"/>
        <w:jc w:val="both"/>
        <w:rPr>
          <w:rFonts w:ascii="Verdana" w:hAnsi="Verdana"/>
          <w:sz w:val="20"/>
          <w:lang w:val="es-CR"/>
        </w:rPr>
      </w:pPr>
    </w:p>
    <w:p w:rsidR="002E080F" w:rsidRPr="0090649A" w:rsidRDefault="002E080F" w:rsidP="00B4241A">
      <w:pPr>
        <w:pStyle w:val="Sombreadovistoso-nfasis3"/>
        <w:spacing w:after="0" w:line="240" w:lineRule="auto"/>
        <w:ind w:right="720"/>
        <w:contextualSpacing w:val="0"/>
        <w:jc w:val="both"/>
        <w:rPr>
          <w:rFonts w:ascii="Verdana" w:hAnsi="Verdana"/>
          <w:b/>
          <w:sz w:val="16"/>
          <w:szCs w:val="16"/>
          <w:lang w:val="es-CR"/>
        </w:rPr>
      </w:pPr>
      <w:r w:rsidRPr="0090649A">
        <w:rPr>
          <w:rFonts w:ascii="Verdana" w:hAnsi="Verdana"/>
          <w:sz w:val="16"/>
          <w:szCs w:val="16"/>
          <w:lang w:val="es-CR"/>
        </w:rPr>
        <w:t xml:space="preserve">La Corte nota que, en las declaraciones rendidas ante fedatario público, las víctimas señalaron que </w:t>
      </w:r>
      <w:r w:rsidRPr="0090649A">
        <w:rPr>
          <w:rFonts w:ascii="Verdana" w:hAnsi="Verdana"/>
          <w:sz w:val="16"/>
          <w:szCs w:val="16"/>
          <w:u w:val="single"/>
          <w:lang w:val="es-CR"/>
        </w:rPr>
        <w:t>el reintegro a sus cargos es esencial para obtener una adecuada reparación</w:t>
      </w:r>
      <w:r w:rsidRPr="0090649A">
        <w:rPr>
          <w:rFonts w:ascii="Verdana" w:hAnsi="Verdana"/>
          <w:sz w:val="16"/>
          <w:szCs w:val="16"/>
          <w:lang w:val="es-CR"/>
        </w:rPr>
        <w:t xml:space="preserve"> […]</w:t>
      </w:r>
      <w:r w:rsidR="00E6721C">
        <w:rPr>
          <w:rFonts w:ascii="Verdana" w:hAnsi="Verdana"/>
          <w:sz w:val="16"/>
          <w:szCs w:val="16"/>
          <w:lang w:val="es-CR"/>
        </w:rPr>
        <w:t>.</w:t>
      </w:r>
      <w:r w:rsidRPr="0090649A">
        <w:rPr>
          <w:rFonts w:ascii="Verdana" w:hAnsi="Verdana"/>
          <w:sz w:val="16"/>
          <w:szCs w:val="16"/>
          <w:lang w:val="es-CR"/>
        </w:rPr>
        <w:t xml:space="preserve"> La Corte tiene en cuenta que la garantía de permanencia o estabilidad en el cargo de todo juez debe operar para permitir el reintegro a la condición de juez o magistrado de quien fue arbitrariamente privado de ella. Asimismo, en casos anteriores la Corte ha señalado que </w:t>
      </w:r>
      <w:r w:rsidRPr="0090649A">
        <w:rPr>
          <w:rFonts w:ascii="Verdana" w:hAnsi="Verdana"/>
          <w:sz w:val="16"/>
          <w:szCs w:val="16"/>
          <w:u w:val="single"/>
          <w:lang w:val="es-CR"/>
        </w:rPr>
        <w:t>el reintegro inmediato ante una remoción arbitraria constituye la medida menos lesiva para satisfacer tanto las finalidades que pretende la reestructuración judicial como la garantía de inamovilidad inherente a la independencia judicial, y se indicó que ‘ello es así puesto que de lo contrario los Estados podrían remover a los jueces e intervenir de ese modo en el Poder Judicial sin mayores costos o control’</w:t>
      </w:r>
      <w:r w:rsidRPr="0090649A">
        <w:rPr>
          <w:rFonts w:ascii="Verdana" w:hAnsi="Verdana"/>
          <w:sz w:val="16"/>
          <w:szCs w:val="16"/>
          <w:lang w:val="es-CR"/>
        </w:rPr>
        <w:t>. Además, ‘esto podría generar un temor en los demás jueces que observan que sus colegas son destituidos y luego no reincorporados aun cuando la destitución fue arbitraria. Dicho temor también podría afectar la independencia judicial, ya que fomentaría que los jueces sigan las instrucciones o se abstengan de controvertir tanto al ente nominador como al sancionador´”</w:t>
      </w:r>
      <w:r w:rsidR="00B20C06" w:rsidRPr="0090649A">
        <w:rPr>
          <w:rStyle w:val="Refdenotaalpie"/>
          <w:rFonts w:ascii="Verdana" w:hAnsi="Verdana"/>
          <w:sz w:val="16"/>
          <w:szCs w:val="16"/>
          <w:lang w:val="es-CR"/>
        </w:rPr>
        <w:footnoteReference w:id="20"/>
      </w:r>
      <w:r w:rsidR="00B20C06" w:rsidRPr="0090649A">
        <w:rPr>
          <w:rFonts w:ascii="Verdana" w:hAnsi="Verdana"/>
          <w:sz w:val="16"/>
          <w:szCs w:val="16"/>
          <w:lang w:val="es-CR"/>
        </w:rPr>
        <w:t>.</w:t>
      </w:r>
      <w:r w:rsidR="00CD21C8" w:rsidRPr="0090649A">
        <w:rPr>
          <w:rFonts w:ascii="Verdana" w:hAnsi="Verdana"/>
          <w:sz w:val="16"/>
          <w:szCs w:val="16"/>
          <w:lang w:val="es-CR"/>
        </w:rPr>
        <w:t xml:space="preserve"> (</w:t>
      </w:r>
      <w:proofErr w:type="gramStart"/>
      <w:r w:rsidR="00CD21C8" w:rsidRPr="0090649A">
        <w:rPr>
          <w:rFonts w:ascii="Verdana" w:hAnsi="Verdana"/>
          <w:sz w:val="16"/>
          <w:szCs w:val="16"/>
          <w:lang w:val="es-CR"/>
        </w:rPr>
        <w:t>subrayado</w:t>
      </w:r>
      <w:proofErr w:type="gramEnd"/>
      <w:r w:rsidR="00CD21C8" w:rsidRPr="0090649A">
        <w:rPr>
          <w:rFonts w:ascii="Verdana" w:hAnsi="Verdana"/>
          <w:sz w:val="16"/>
          <w:szCs w:val="16"/>
          <w:lang w:val="es-CR"/>
        </w:rPr>
        <w:t xml:space="preserve"> no es del original)</w:t>
      </w:r>
    </w:p>
    <w:p w:rsidR="002E080F" w:rsidRPr="0090649A" w:rsidRDefault="002E080F" w:rsidP="00B4241A">
      <w:pPr>
        <w:pStyle w:val="Sombreadovistoso-nfasis3"/>
        <w:spacing w:after="0" w:line="240" w:lineRule="auto"/>
        <w:ind w:left="0"/>
        <w:contextualSpacing w:val="0"/>
        <w:jc w:val="both"/>
        <w:rPr>
          <w:rFonts w:ascii="Verdana" w:hAnsi="Verdana"/>
          <w:b/>
          <w:sz w:val="20"/>
          <w:szCs w:val="20"/>
          <w:lang w:val="es-CR"/>
        </w:rPr>
      </w:pPr>
    </w:p>
    <w:p w:rsidR="005F3051" w:rsidRPr="0090649A" w:rsidRDefault="005F3051" w:rsidP="00453D58">
      <w:pPr>
        <w:pStyle w:val="Sombreadovistoso-nfasis3"/>
        <w:numPr>
          <w:ilvl w:val="0"/>
          <w:numId w:val="17"/>
        </w:numPr>
        <w:tabs>
          <w:tab w:val="left" w:pos="709"/>
        </w:tabs>
        <w:spacing w:after="0" w:line="240" w:lineRule="auto"/>
        <w:ind w:left="0" w:firstLine="0"/>
        <w:contextualSpacing w:val="0"/>
        <w:jc w:val="both"/>
        <w:rPr>
          <w:rFonts w:ascii="Verdana" w:hAnsi="Verdana" w:cs="Arial"/>
          <w:sz w:val="20"/>
          <w:szCs w:val="20"/>
          <w:lang w:val="es-CR"/>
        </w:rPr>
      </w:pPr>
      <w:r w:rsidRPr="0090649A">
        <w:rPr>
          <w:rFonts w:ascii="Verdana" w:hAnsi="Verdana"/>
          <w:sz w:val="20"/>
          <w:szCs w:val="20"/>
          <w:lang w:val="es-CR"/>
        </w:rPr>
        <w:t xml:space="preserve">En </w:t>
      </w:r>
      <w:r w:rsidR="000B5D44" w:rsidRPr="0090649A">
        <w:rPr>
          <w:rFonts w:ascii="Verdana" w:hAnsi="Verdana"/>
          <w:sz w:val="20"/>
          <w:szCs w:val="20"/>
          <w:lang w:val="es-CR"/>
        </w:rPr>
        <w:t>este sentido,</w:t>
      </w:r>
      <w:r w:rsidRPr="0090649A">
        <w:rPr>
          <w:rFonts w:ascii="Verdana" w:hAnsi="Verdana"/>
          <w:sz w:val="20"/>
          <w:szCs w:val="20"/>
          <w:lang w:val="es-CR"/>
        </w:rPr>
        <w:t xml:space="preserve"> la medida de restitución constituye la principal reparación de las violaciones constatadas en la Sentencia: que las víctimas fuesen </w:t>
      </w:r>
      <w:r w:rsidR="00175494">
        <w:rPr>
          <w:rFonts w:ascii="Verdana" w:hAnsi="Verdana"/>
          <w:sz w:val="20"/>
          <w:szCs w:val="20"/>
          <w:lang w:val="es-CR"/>
        </w:rPr>
        <w:t>reincorporadas</w:t>
      </w:r>
      <w:r w:rsidRPr="0090649A">
        <w:rPr>
          <w:rFonts w:ascii="Verdana" w:hAnsi="Verdana"/>
          <w:sz w:val="20"/>
          <w:szCs w:val="20"/>
          <w:lang w:val="es-CR"/>
        </w:rPr>
        <w:t xml:space="preserve"> </w:t>
      </w:r>
      <w:r w:rsidRPr="0090649A">
        <w:rPr>
          <w:rFonts w:ascii="Verdana" w:hAnsi="Verdana" w:cs="Arial"/>
          <w:sz w:val="20"/>
          <w:szCs w:val="20"/>
          <w:lang w:val="es-CR"/>
        </w:rPr>
        <w:t>a cargos</w:t>
      </w:r>
      <w:r w:rsidR="00175494">
        <w:rPr>
          <w:rFonts w:ascii="Verdana" w:hAnsi="Verdana" w:cs="Arial"/>
          <w:sz w:val="20"/>
          <w:szCs w:val="20"/>
          <w:lang w:val="es-CR"/>
        </w:rPr>
        <w:t xml:space="preserve"> judiciales</w:t>
      </w:r>
      <w:r w:rsidRPr="0090649A">
        <w:rPr>
          <w:rFonts w:ascii="Verdana" w:hAnsi="Verdana" w:cs="Arial"/>
          <w:sz w:val="20"/>
          <w:szCs w:val="20"/>
          <w:lang w:val="es-CR"/>
        </w:rPr>
        <w:t xml:space="preserve"> similares a los que desempeñaban al momento en que fueron destituidas (</w:t>
      </w:r>
      <w:r w:rsidRPr="0090649A">
        <w:rPr>
          <w:rFonts w:ascii="Verdana" w:hAnsi="Verdana" w:cs="Arial"/>
          <w:i/>
          <w:sz w:val="20"/>
          <w:szCs w:val="20"/>
          <w:lang w:val="es-CR"/>
        </w:rPr>
        <w:t>supra</w:t>
      </w:r>
      <w:r w:rsidRPr="0090649A">
        <w:rPr>
          <w:rFonts w:ascii="Verdana" w:hAnsi="Verdana" w:cs="Arial"/>
          <w:sz w:val="20"/>
          <w:szCs w:val="20"/>
          <w:lang w:val="es-CR"/>
        </w:rPr>
        <w:t xml:space="preserve"> Considerando </w:t>
      </w:r>
      <w:r w:rsidR="00E14B62" w:rsidRPr="0090649A">
        <w:rPr>
          <w:rFonts w:ascii="Verdana" w:hAnsi="Verdana" w:cs="Arial"/>
          <w:sz w:val="20"/>
          <w:szCs w:val="20"/>
          <w:lang w:val="es-CR"/>
        </w:rPr>
        <w:t>3</w:t>
      </w:r>
      <w:r w:rsidRPr="0090649A">
        <w:rPr>
          <w:rFonts w:ascii="Verdana" w:hAnsi="Verdana" w:cs="Arial"/>
          <w:sz w:val="20"/>
          <w:szCs w:val="20"/>
          <w:lang w:val="es-CR"/>
        </w:rPr>
        <w:t>). Únicamente en caso que las víctimas no quisieran ser reincorporadas o que se diese una “imposibilidad justificada” (</w:t>
      </w:r>
      <w:r w:rsidRPr="0090649A">
        <w:rPr>
          <w:rFonts w:ascii="Verdana" w:hAnsi="Verdana" w:cs="Arial"/>
          <w:i/>
          <w:sz w:val="20"/>
          <w:szCs w:val="20"/>
          <w:lang w:val="es-CR"/>
        </w:rPr>
        <w:t xml:space="preserve">infra </w:t>
      </w:r>
      <w:r w:rsidRPr="0090649A">
        <w:rPr>
          <w:rFonts w:ascii="Verdana" w:hAnsi="Verdana" w:cs="Arial"/>
          <w:sz w:val="20"/>
          <w:szCs w:val="20"/>
          <w:lang w:val="es-CR"/>
        </w:rPr>
        <w:t xml:space="preserve">Considerando </w:t>
      </w:r>
      <w:r w:rsidR="007D1414" w:rsidRPr="0090649A">
        <w:rPr>
          <w:rFonts w:ascii="Verdana" w:hAnsi="Verdana" w:cs="Arial"/>
          <w:sz w:val="20"/>
          <w:szCs w:val="20"/>
          <w:lang w:val="es-CR"/>
        </w:rPr>
        <w:t>2</w:t>
      </w:r>
      <w:r w:rsidR="001F3B23" w:rsidRPr="0090649A">
        <w:rPr>
          <w:rFonts w:ascii="Verdana" w:hAnsi="Verdana" w:cs="Arial"/>
          <w:sz w:val="20"/>
          <w:szCs w:val="20"/>
          <w:lang w:val="es-CR"/>
        </w:rPr>
        <w:t>4</w:t>
      </w:r>
      <w:r w:rsidRPr="0090649A">
        <w:rPr>
          <w:rFonts w:ascii="Verdana" w:hAnsi="Verdana" w:cs="Arial"/>
          <w:sz w:val="20"/>
          <w:szCs w:val="20"/>
          <w:lang w:val="es-CR"/>
        </w:rPr>
        <w:t>) de realizar dichos reintegros, el Estado debería pagar una indemnización a las referidas víctimas</w:t>
      </w:r>
      <w:r w:rsidRPr="0090649A">
        <w:rPr>
          <w:rFonts w:ascii="Verdana" w:hAnsi="Verdana"/>
          <w:sz w:val="20"/>
          <w:szCs w:val="20"/>
          <w:lang w:val="es-CR"/>
        </w:rPr>
        <w:t xml:space="preserve"> por ese concepto </w:t>
      </w:r>
      <w:r w:rsidRPr="0090649A">
        <w:rPr>
          <w:rFonts w:ascii="Verdana" w:hAnsi="Verdana" w:cs="Arial"/>
          <w:sz w:val="20"/>
          <w:szCs w:val="20"/>
          <w:lang w:val="es-CR"/>
        </w:rPr>
        <w:t>(</w:t>
      </w:r>
      <w:r w:rsidRPr="0090649A">
        <w:rPr>
          <w:rFonts w:ascii="Verdana" w:hAnsi="Verdana" w:cs="Arial"/>
          <w:i/>
          <w:sz w:val="20"/>
          <w:szCs w:val="20"/>
          <w:lang w:val="es-CR"/>
        </w:rPr>
        <w:t xml:space="preserve">supra </w:t>
      </w:r>
      <w:r w:rsidRPr="0090649A">
        <w:rPr>
          <w:rFonts w:ascii="Verdana" w:hAnsi="Verdana" w:cs="Arial"/>
          <w:sz w:val="20"/>
          <w:szCs w:val="20"/>
          <w:lang w:val="es-CR"/>
        </w:rPr>
        <w:t xml:space="preserve">Considerando </w:t>
      </w:r>
      <w:r w:rsidR="00E14B62" w:rsidRPr="0090649A">
        <w:rPr>
          <w:rFonts w:ascii="Verdana" w:hAnsi="Verdana" w:cs="Arial"/>
          <w:sz w:val="20"/>
          <w:szCs w:val="20"/>
          <w:lang w:val="es-CR"/>
        </w:rPr>
        <w:t>3</w:t>
      </w:r>
      <w:r w:rsidRPr="0090649A">
        <w:rPr>
          <w:rFonts w:ascii="Verdana" w:hAnsi="Verdana" w:cs="Arial"/>
          <w:sz w:val="20"/>
          <w:szCs w:val="20"/>
          <w:lang w:val="es-CR"/>
        </w:rPr>
        <w:t xml:space="preserve">). Es decir, el Tribunal no ordenó dos medidas de reparación “alternas” que permitirían al Estado elegir cuál de las dos aplicar, sino que ordenó el reintegro de las víctimas a cargos similares y solamente ante la excepcionalidad de una imposibilidad justificada se podría proceder con el pago de una indemnización en lugar de reintegrarles. </w:t>
      </w:r>
    </w:p>
    <w:p w:rsidR="000B5D44" w:rsidRPr="0090649A" w:rsidRDefault="000B5D44" w:rsidP="000B5D44">
      <w:pPr>
        <w:pStyle w:val="Sombreadovistoso-nfasis3"/>
        <w:tabs>
          <w:tab w:val="left" w:pos="709"/>
        </w:tabs>
        <w:spacing w:after="0" w:line="240" w:lineRule="auto"/>
        <w:ind w:left="0"/>
        <w:contextualSpacing w:val="0"/>
        <w:jc w:val="both"/>
        <w:rPr>
          <w:rFonts w:ascii="Verdana" w:hAnsi="Verdana" w:cs="Arial"/>
          <w:sz w:val="20"/>
          <w:szCs w:val="20"/>
          <w:lang w:val="es-CR"/>
        </w:rPr>
      </w:pPr>
    </w:p>
    <w:p w:rsidR="00894A56" w:rsidRPr="0090649A" w:rsidRDefault="000B5D44" w:rsidP="00453D58">
      <w:pPr>
        <w:pStyle w:val="Sombreadovistoso-nfasis3"/>
        <w:numPr>
          <w:ilvl w:val="0"/>
          <w:numId w:val="17"/>
        </w:numPr>
        <w:tabs>
          <w:tab w:val="left" w:pos="709"/>
        </w:tabs>
        <w:spacing w:after="0" w:line="240" w:lineRule="auto"/>
        <w:ind w:left="0" w:firstLine="0"/>
        <w:contextualSpacing w:val="0"/>
        <w:jc w:val="both"/>
        <w:rPr>
          <w:rFonts w:ascii="Verdana" w:hAnsi="Verdana" w:cs="Arial"/>
          <w:sz w:val="20"/>
          <w:szCs w:val="20"/>
          <w:lang w:val="es-CR"/>
        </w:rPr>
      </w:pPr>
      <w:r w:rsidRPr="0090649A">
        <w:rPr>
          <w:rFonts w:ascii="Verdana" w:hAnsi="Verdana"/>
          <w:sz w:val="20"/>
          <w:szCs w:val="20"/>
          <w:lang w:val="es-CR"/>
        </w:rPr>
        <w:t xml:space="preserve">Honduras tiene la obligación internacional de cumplir con lo dispuesto en la Sentencia. De conformidad con lo establecido en el artículo </w:t>
      </w:r>
      <w:r w:rsidRPr="0090649A">
        <w:rPr>
          <w:rFonts w:ascii="Verdana" w:hAnsi="Verdana"/>
          <w:color w:val="000000"/>
          <w:sz w:val="20"/>
          <w:szCs w:val="20"/>
          <w:lang w:val="es-CR"/>
        </w:rPr>
        <w:t>68.1 de la Convención Americana,</w:t>
      </w:r>
      <w:r w:rsidRPr="0090649A">
        <w:rPr>
          <w:rFonts w:ascii="Verdana" w:hAnsi="Verdana"/>
          <w:sz w:val="20"/>
          <w:szCs w:val="20"/>
          <w:lang w:val="es-CR"/>
        </w:rPr>
        <w:t xml:space="preserve"> “[l]os Estados Partes en la Convención se comprometen a cumplir la decisión de la Corte en todo caso en que sean partes”. Dichos </w:t>
      </w:r>
      <w:r w:rsidRPr="0090649A">
        <w:rPr>
          <w:rFonts w:ascii="Verdana" w:hAnsi="Verdana"/>
          <w:sz w:val="20"/>
          <w:lang w:val="es-CR"/>
        </w:rPr>
        <w:t>Estados</w:t>
      </w:r>
      <w:r w:rsidRPr="0090649A">
        <w:rPr>
          <w:rFonts w:ascii="Verdana" w:eastAsia="Times New Roman" w:hAnsi="Verdana"/>
          <w:color w:val="000000"/>
          <w:sz w:val="20"/>
          <w:lang w:val="es-CR"/>
        </w:rPr>
        <w:t xml:space="preserve"> tienen la obligación convencional de implementar </w:t>
      </w:r>
      <w:r w:rsidRPr="0090649A">
        <w:rPr>
          <w:rFonts w:ascii="Verdana" w:hAnsi="Verdana"/>
          <w:sz w:val="20"/>
          <w:szCs w:val="20"/>
          <w:lang w:val="es-CR"/>
        </w:rPr>
        <w:t>tanto</w:t>
      </w:r>
      <w:r w:rsidRPr="0090649A">
        <w:rPr>
          <w:rFonts w:ascii="Verdana" w:eastAsia="Times New Roman" w:hAnsi="Verdana"/>
          <w:color w:val="000000"/>
          <w:sz w:val="20"/>
          <w:lang w:val="es-CR"/>
        </w:rPr>
        <w:t xml:space="preserve"> a nivel internacional como interno y de forma pronta e íntegra, lo dispuesto por el Tribunal en las Sentencias, y de no cumplirse se incurre en un ilícito internacional</w:t>
      </w:r>
      <w:r w:rsidRPr="0090649A">
        <w:rPr>
          <w:rStyle w:val="Refdenotaalpie"/>
          <w:rFonts w:ascii="Verdana" w:eastAsia="Times New Roman" w:hAnsi="Verdana"/>
          <w:color w:val="000000"/>
          <w:sz w:val="20"/>
          <w:lang w:val="es-CR"/>
        </w:rPr>
        <w:footnoteReference w:id="21"/>
      </w:r>
      <w:r w:rsidRPr="0090649A">
        <w:rPr>
          <w:rFonts w:ascii="Verdana" w:eastAsia="Times New Roman" w:hAnsi="Verdana"/>
          <w:color w:val="000000"/>
          <w:sz w:val="20"/>
          <w:lang w:val="es-CR"/>
        </w:rPr>
        <w:t xml:space="preserve">. </w:t>
      </w:r>
      <w:r w:rsidRPr="0090649A">
        <w:rPr>
          <w:rFonts w:ascii="Verdana" w:hAnsi="Verdana"/>
          <w:sz w:val="20"/>
          <w:szCs w:val="20"/>
          <w:lang w:val="es-CR"/>
        </w:rPr>
        <w:t xml:space="preserve">Las obligaciones convencionales de los Estados Parte vinculan a todos </w:t>
      </w:r>
      <w:r w:rsidR="001C3747">
        <w:rPr>
          <w:rFonts w:ascii="Verdana" w:hAnsi="Verdana"/>
          <w:sz w:val="20"/>
          <w:szCs w:val="20"/>
          <w:lang w:val="es-CR"/>
        </w:rPr>
        <w:t>sus</w:t>
      </w:r>
      <w:r w:rsidRPr="0090649A">
        <w:rPr>
          <w:rFonts w:ascii="Verdana" w:hAnsi="Verdana"/>
          <w:sz w:val="20"/>
          <w:szCs w:val="20"/>
          <w:lang w:val="es-CR"/>
        </w:rPr>
        <w:t xml:space="preserve"> </w:t>
      </w:r>
      <w:r w:rsidRPr="0090649A">
        <w:rPr>
          <w:rFonts w:ascii="Verdana" w:hAnsi="Verdana"/>
          <w:sz w:val="20"/>
          <w:szCs w:val="20"/>
          <w:lang w:val="es-CR"/>
        </w:rPr>
        <w:lastRenderedPageBreak/>
        <w:t>poderes y órganos</w:t>
      </w:r>
      <w:r w:rsidRPr="0090649A">
        <w:rPr>
          <w:rStyle w:val="Refdenotaalpie"/>
          <w:rFonts w:ascii="Verdana" w:hAnsi="Verdana"/>
          <w:sz w:val="20"/>
          <w:szCs w:val="20"/>
          <w:lang w:val="es-CR"/>
        </w:rPr>
        <w:footnoteReference w:id="22"/>
      </w:r>
      <w:r w:rsidRPr="0090649A">
        <w:rPr>
          <w:rFonts w:ascii="Verdana" w:hAnsi="Verdana"/>
          <w:sz w:val="20"/>
          <w:szCs w:val="20"/>
          <w:lang w:val="es-CR"/>
        </w:rPr>
        <w:t xml:space="preserve">, </w:t>
      </w:r>
      <w:r w:rsidRPr="0090649A">
        <w:rPr>
          <w:rFonts w:ascii="Verdana" w:hAnsi="Verdana" w:cs="Times-Roman"/>
          <w:sz w:val="20"/>
          <w:szCs w:val="20"/>
          <w:lang w:val="es-CR" w:bidi="en-US"/>
        </w:rPr>
        <w:t>es decir, que todos los poderes del Estado (Ejecutivo, Legislativo, Judicial, u otras ramas del poder público) y otras autoridades públicas o estatales, de cualquier nivel, tienen el deber de cumplir de buena fe con el derecho internacional</w:t>
      </w:r>
      <w:r w:rsidRPr="0090649A">
        <w:rPr>
          <w:rStyle w:val="Refdenotaalpie"/>
          <w:rFonts w:ascii="Verdana" w:hAnsi="Verdana" w:cs="Times-Roman"/>
          <w:sz w:val="20"/>
          <w:szCs w:val="20"/>
          <w:lang w:val="es-CR" w:bidi="en-US"/>
        </w:rPr>
        <w:footnoteReference w:id="23"/>
      </w:r>
      <w:r w:rsidRPr="0090649A">
        <w:rPr>
          <w:rFonts w:ascii="Verdana" w:hAnsi="Verdana" w:cs="Times-Roman"/>
          <w:sz w:val="20"/>
          <w:szCs w:val="20"/>
          <w:lang w:val="es-CR" w:bidi="en-US"/>
        </w:rPr>
        <w:t xml:space="preserve">. </w:t>
      </w:r>
    </w:p>
    <w:p w:rsidR="00894A56" w:rsidRPr="0090649A" w:rsidRDefault="00894A56" w:rsidP="00894A56">
      <w:pPr>
        <w:pStyle w:val="Sombreadovistoso-nfasis3"/>
        <w:tabs>
          <w:tab w:val="left" w:pos="709"/>
        </w:tabs>
        <w:spacing w:after="0" w:line="240" w:lineRule="auto"/>
        <w:ind w:left="0"/>
        <w:contextualSpacing w:val="0"/>
        <w:jc w:val="both"/>
        <w:rPr>
          <w:rFonts w:ascii="Verdana" w:hAnsi="Verdana" w:cs="Arial"/>
          <w:sz w:val="20"/>
          <w:szCs w:val="20"/>
          <w:lang w:val="es-CR"/>
        </w:rPr>
      </w:pPr>
    </w:p>
    <w:p w:rsidR="000B5D44" w:rsidRPr="0090649A" w:rsidRDefault="00FE1E60" w:rsidP="00453D58">
      <w:pPr>
        <w:pStyle w:val="Sombreadovistoso-nfasis3"/>
        <w:numPr>
          <w:ilvl w:val="0"/>
          <w:numId w:val="17"/>
        </w:numPr>
        <w:tabs>
          <w:tab w:val="left" w:pos="709"/>
        </w:tabs>
        <w:spacing w:after="0" w:line="240" w:lineRule="auto"/>
        <w:ind w:left="0" w:firstLine="0"/>
        <w:contextualSpacing w:val="0"/>
        <w:jc w:val="both"/>
        <w:rPr>
          <w:rFonts w:ascii="Verdana" w:hAnsi="Verdana"/>
          <w:sz w:val="20"/>
          <w:szCs w:val="20"/>
          <w:lang w:val="es-CR"/>
        </w:rPr>
      </w:pPr>
      <w:r w:rsidRPr="0090649A">
        <w:rPr>
          <w:rFonts w:ascii="Verdana" w:hAnsi="Verdana"/>
          <w:sz w:val="20"/>
          <w:szCs w:val="20"/>
          <w:lang w:val="es-CR"/>
        </w:rPr>
        <w:t>En este sentido</w:t>
      </w:r>
      <w:r w:rsidR="000B5D44" w:rsidRPr="0090649A">
        <w:rPr>
          <w:rFonts w:ascii="Verdana" w:hAnsi="Verdana"/>
          <w:sz w:val="20"/>
          <w:szCs w:val="20"/>
          <w:lang w:val="es-CR"/>
        </w:rPr>
        <w:t xml:space="preserve">, </w:t>
      </w:r>
      <w:r w:rsidR="000B5D44" w:rsidRPr="0090649A">
        <w:rPr>
          <w:rFonts w:ascii="Verdana" w:hAnsi="Verdana"/>
          <w:sz w:val="20"/>
          <w:lang w:val="es-CR"/>
        </w:rPr>
        <w:t xml:space="preserve">la obligación de cumplir lo dispuesto en las decisiones del Tribunal corresponde a un principio básico del derecho sobre la responsabilidad internacional del Estado, respaldado por la jurisprudencia internacional, según el cual los Estados deben </w:t>
      </w:r>
      <w:r w:rsidR="00894A56" w:rsidRPr="0090649A">
        <w:rPr>
          <w:rFonts w:ascii="Verdana" w:hAnsi="Verdana"/>
          <w:sz w:val="20"/>
          <w:lang w:val="es-CR"/>
        </w:rPr>
        <w:t xml:space="preserve">cumplir sus obligaciones convencionales internacionales de buena fe </w:t>
      </w:r>
      <w:r w:rsidR="000B5D44" w:rsidRPr="0090649A">
        <w:rPr>
          <w:rFonts w:ascii="Verdana" w:hAnsi="Verdana"/>
          <w:sz w:val="20"/>
          <w:lang w:val="es-CR"/>
        </w:rPr>
        <w:t>(</w:t>
      </w:r>
      <w:r w:rsidR="000B5D44" w:rsidRPr="0090649A">
        <w:rPr>
          <w:rFonts w:ascii="Verdana" w:hAnsi="Verdana"/>
          <w:i/>
          <w:sz w:val="20"/>
          <w:lang w:val="es-CR"/>
        </w:rPr>
        <w:t>pacta sunt servanda</w:t>
      </w:r>
      <w:r w:rsidR="000B5D44" w:rsidRPr="0090649A">
        <w:rPr>
          <w:rFonts w:ascii="Verdana" w:hAnsi="Verdana"/>
          <w:sz w:val="20"/>
          <w:lang w:val="es-CR"/>
        </w:rPr>
        <w:t xml:space="preserve">) </w:t>
      </w:r>
      <w:r w:rsidRPr="0090649A">
        <w:rPr>
          <w:rFonts w:ascii="Verdana" w:hAnsi="Verdana"/>
          <w:sz w:val="20"/>
          <w:lang w:val="es-CR"/>
        </w:rPr>
        <w:t>y, como ya ha señalado este</w:t>
      </w:r>
      <w:r w:rsidR="000B5D44" w:rsidRPr="0090649A">
        <w:rPr>
          <w:rFonts w:ascii="Verdana" w:hAnsi="Verdana"/>
          <w:sz w:val="20"/>
          <w:lang w:val="es-CR"/>
        </w:rPr>
        <w:t xml:space="preserve"> </w:t>
      </w:r>
      <w:r w:rsidRPr="0090649A">
        <w:rPr>
          <w:rFonts w:ascii="Verdana" w:hAnsi="Verdana"/>
          <w:sz w:val="20"/>
          <w:lang w:val="es-CR"/>
        </w:rPr>
        <w:t>Tribunal</w:t>
      </w:r>
      <w:r w:rsidR="000B5D44" w:rsidRPr="0090649A">
        <w:rPr>
          <w:rFonts w:ascii="Verdana" w:hAnsi="Verdana"/>
          <w:sz w:val="20"/>
          <w:lang w:val="es-CR"/>
        </w:rPr>
        <w:t xml:space="preserve"> y lo dispone el artículo 27 de la Convención de Viena sobre el Derecho de los Tratados de 1969, </w:t>
      </w:r>
      <w:r w:rsidRPr="0090649A">
        <w:rPr>
          <w:rFonts w:ascii="Verdana" w:hAnsi="Verdana"/>
          <w:sz w:val="20"/>
          <w:szCs w:val="20"/>
          <w:lang w:val="es-CR"/>
        </w:rPr>
        <w:t>los Estados “no pueden por razones de orden interno dejar de asumir la responsabilidad internacional ya establecida”</w:t>
      </w:r>
      <w:r w:rsidRPr="0090649A">
        <w:rPr>
          <w:rStyle w:val="Refdenotaalpie"/>
          <w:rFonts w:ascii="Verdana" w:hAnsi="Verdana"/>
          <w:sz w:val="20"/>
          <w:szCs w:val="20"/>
          <w:lang w:val="es-CR"/>
        </w:rPr>
        <w:footnoteReference w:id="24"/>
      </w:r>
      <w:r w:rsidRPr="0090649A">
        <w:rPr>
          <w:rFonts w:ascii="Verdana" w:hAnsi="Verdana"/>
          <w:sz w:val="20"/>
          <w:szCs w:val="20"/>
          <w:lang w:val="es-CR"/>
        </w:rPr>
        <w:t>.</w:t>
      </w:r>
      <w:r w:rsidR="00894A56" w:rsidRPr="0090649A">
        <w:rPr>
          <w:rFonts w:ascii="Verdana" w:hAnsi="Verdana"/>
          <w:sz w:val="20"/>
          <w:szCs w:val="20"/>
          <w:lang w:val="es-CR"/>
        </w:rPr>
        <w:t xml:space="preserve"> En lo que atañe a la ejecución, en el ámbito del derecho interno, de las reparaciones ordenadas por la Corte, los Estados responsables no pueden modificarlas o incumplirlas invocando para ello disposiciones de su ordenamiento jurídico interno</w:t>
      </w:r>
      <w:r w:rsidR="00F155AC" w:rsidRPr="0090649A">
        <w:rPr>
          <w:rStyle w:val="Refdenotaalpie"/>
          <w:rFonts w:ascii="Verdana" w:hAnsi="Verdana"/>
          <w:sz w:val="20"/>
          <w:szCs w:val="20"/>
          <w:lang w:val="es-CR"/>
        </w:rPr>
        <w:footnoteReference w:id="25"/>
      </w:r>
      <w:r w:rsidR="00894A56" w:rsidRPr="0090649A">
        <w:rPr>
          <w:rFonts w:ascii="Verdana" w:hAnsi="Verdana"/>
          <w:sz w:val="20"/>
          <w:szCs w:val="20"/>
          <w:lang w:val="es-CR"/>
        </w:rPr>
        <w:t>.</w:t>
      </w:r>
    </w:p>
    <w:p w:rsidR="005F3051" w:rsidRPr="0090649A" w:rsidRDefault="005F3051" w:rsidP="00B4241A">
      <w:pPr>
        <w:pStyle w:val="Sombreadovistoso-nfasis3"/>
        <w:tabs>
          <w:tab w:val="left" w:pos="709"/>
        </w:tabs>
        <w:spacing w:after="0" w:line="240" w:lineRule="auto"/>
        <w:ind w:left="0"/>
        <w:contextualSpacing w:val="0"/>
        <w:jc w:val="both"/>
        <w:rPr>
          <w:rFonts w:ascii="Verdana" w:hAnsi="Verdana" w:cs="Arial"/>
          <w:sz w:val="20"/>
          <w:szCs w:val="20"/>
          <w:lang w:val="es-CR"/>
        </w:rPr>
      </w:pPr>
    </w:p>
    <w:p w:rsidR="00DE6218" w:rsidRPr="0090649A" w:rsidRDefault="00DE6218" w:rsidP="00453D58">
      <w:pPr>
        <w:pStyle w:val="Sombreadovistoso-nfasis3"/>
        <w:numPr>
          <w:ilvl w:val="0"/>
          <w:numId w:val="17"/>
        </w:numPr>
        <w:tabs>
          <w:tab w:val="left" w:pos="709"/>
        </w:tabs>
        <w:spacing w:after="0" w:line="240" w:lineRule="auto"/>
        <w:ind w:left="0" w:firstLine="0"/>
        <w:contextualSpacing w:val="0"/>
        <w:jc w:val="both"/>
        <w:rPr>
          <w:rFonts w:ascii="Verdana" w:hAnsi="Verdana" w:cs="Arial"/>
          <w:sz w:val="20"/>
          <w:szCs w:val="20"/>
          <w:lang w:val="es-CR"/>
        </w:rPr>
      </w:pPr>
      <w:r w:rsidRPr="0090649A">
        <w:rPr>
          <w:rFonts w:ascii="Verdana" w:hAnsi="Verdana"/>
          <w:bCs/>
          <w:sz w:val="20"/>
          <w:szCs w:val="20"/>
          <w:lang w:val="es-CR"/>
        </w:rPr>
        <w:t xml:space="preserve">El Tribunal </w:t>
      </w:r>
      <w:r w:rsidR="005F3051" w:rsidRPr="0090649A">
        <w:rPr>
          <w:rFonts w:ascii="Verdana" w:hAnsi="Verdana"/>
          <w:bCs/>
          <w:sz w:val="20"/>
          <w:szCs w:val="20"/>
          <w:lang w:val="es-CR"/>
        </w:rPr>
        <w:t>nota</w:t>
      </w:r>
      <w:r w:rsidRPr="0090649A">
        <w:rPr>
          <w:rFonts w:ascii="Verdana" w:hAnsi="Verdana"/>
          <w:bCs/>
          <w:sz w:val="20"/>
          <w:szCs w:val="20"/>
          <w:lang w:val="es-CR"/>
        </w:rPr>
        <w:t xml:space="preserve"> que</w:t>
      </w:r>
      <w:r w:rsidR="005F3051" w:rsidRPr="0090649A">
        <w:rPr>
          <w:rFonts w:ascii="Verdana" w:hAnsi="Verdana"/>
          <w:bCs/>
          <w:sz w:val="20"/>
          <w:szCs w:val="20"/>
          <w:lang w:val="es-CR"/>
        </w:rPr>
        <w:t xml:space="preserve"> durante la etapa de supervisión</w:t>
      </w:r>
      <w:r w:rsidRPr="0090649A">
        <w:rPr>
          <w:rFonts w:ascii="Verdana" w:hAnsi="Verdana"/>
          <w:bCs/>
          <w:sz w:val="20"/>
          <w:szCs w:val="20"/>
          <w:lang w:val="es-CR"/>
        </w:rPr>
        <w:t xml:space="preserve"> ha surgido una controversia entre las partes respecto a cómo dar cumplimiento a la </w:t>
      </w:r>
      <w:r w:rsidR="005F3051" w:rsidRPr="0090649A">
        <w:rPr>
          <w:rFonts w:ascii="Verdana" w:hAnsi="Verdana"/>
          <w:bCs/>
          <w:sz w:val="20"/>
          <w:szCs w:val="20"/>
          <w:lang w:val="es-CR"/>
        </w:rPr>
        <w:t>referida medida de restitución</w:t>
      </w:r>
      <w:r w:rsidRPr="0090649A">
        <w:rPr>
          <w:rFonts w:ascii="Verdana" w:hAnsi="Verdana"/>
          <w:bCs/>
          <w:sz w:val="20"/>
          <w:szCs w:val="20"/>
          <w:lang w:val="es-CR"/>
        </w:rPr>
        <w:t xml:space="preserve"> ordenada en la Sentencia</w:t>
      </w:r>
      <w:r w:rsidR="005F3051" w:rsidRPr="0090649A">
        <w:rPr>
          <w:rFonts w:ascii="Verdana" w:hAnsi="Verdana"/>
          <w:bCs/>
          <w:sz w:val="20"/>
          <w:szCs w:val="20"/>
          <w:lang w:val="es-CR"/>
        </w:rPr>
        <w:t>. E</w:t>
      </w:r>
      <w:r w:rsidRPr="0090649A">
        <w:rPr>
          <w:rFonts w:ascii="Verdana" w:hAnsi="Verdana"/>
          <w:bCs/>
          <w:sz w:val="20"/>
          <w:szCs w:val="20"/>
          <w:lang w:val="es-CR"/>
        </w:rPr>
        <w:t>l Estado ha señalado</w:t>
      </w:r>
      <w:r w:rsidR="005F3051" w:rsidRPr="0090649A">
        <w:rPr>
          <w:rFonts w:ascii="Verdana" w:hAnsi="Verdana"/>
          <w:bCs/>
          <w:sz w:val="20"/>
          <w:szCs w:val="20"/>
          <w:lang w:val="es-CR"/>
        </w:rPr>
        <w:t xml:space="preserve"> a lo largo de toda la etapa de supervisión</w:t>
      </w:r>
      <w:r w:rsidRPr="0090649A">
        <w:rPr>
          <w:rFonts w:ascii="Verdana" w:hAnsi="Verdana"/>
          <w:bCs/>
          <w:sz w:val="20"/>
          <w:szCs w:val="20"/>
          <w:lang w:val="es-CR"/>
        </w:rPr>
        <w:t xml:space="preserve"> que </w:t>
      </w:r>
      <w:r w:rsidR="005F3051" w:rsidRPr="0090649A">
        <w:rPr>
          <w:rFonts w:ascii="Verdana" w:hAnsi="Verdana"/>
          <w:bCs/>
          <w:sz w:val="20"/>
          <w:szCs w:val="20"/>
          <w:lang w:val="es-CR"/>
        </w:rPr>
        <w:t xml:space="preserve">se encuentra imposibilitado </w:t>
      </w:r>
      <w:r w:rsidRPr="0090649A">
        <w:rPr>
          <w:rFonts w:ascii="Verdana" w:hAnsi="Verdana"/>
          <w:bCs/>
          <w:sz w:val="20"/>
          <w:szCs w:val="20"/>
          <w:lang w:val="es-CR"/>
        </w:rPr>
        <w:t xml:space="preserve">de realizar </w:t>
      </w:r>
      <w:r w:rsidR="005F3051" w:rsidRPr="0090649A">
        <w:rPr>
          <w:rFonts w:ascii="Verdana" w:hAnsi="Verdana"/>
          <w:bCs/>
          <w:sz w:val="20"/>
          <w:szCs w:val="20"/>
          <w:lang w:val="es-CR"/>
        </w:rPr>
        <w:t>el</w:t>
      </w:r>
      <w:r w:rsidRPr="0090649A">
        <w:rPr>
          <w:rFonts w:ascii="Verdana" w:hAnsi="Verdana"/>
          <w:bCs/>
          <w:sz w:val="20"/>
          <w:szCs w:val="20"/>
          <w:lang w:val="es-CR"/>
        </w:rPr>
        <w:t xml:space="preserve"> reintegro </w:t>
      </w:r>
      <w:r w:rsidR="005F3051" w:rsidRPr="0090649A">
        <w:rPr>
          <w:rFonts w:ascii="Verdana" w:hAnsi="Verdana"/>
          <w:bCs/>
          <w:sz w:val="20"/>
          <w:szCs w:val="20"/>
          <w:lang w:val="es-CR"/>
        </w:rPr>
        <w:t xml:space="preserve">de las víctimas </w:t>
      </w:r>
      <w:r w:rsidRPr="0090649A">
        <w:rPr>
          <w:rFonts w:ascii="Verdana" w:hAnsi="Verdana"/>
          <w:bCs/>
          <w:sz w:val="20"/>
          <w:szCs w:val="20"/>
          <w:lang w:val="es-CR"/>
        </w:rPr>
        <w:t>y, en su lugar, está optando por pagar</w:t>
      </w:r>
      <w:r w:rsidR="001C3747">
        <w:rPr>
          <w:rFonts w:ascii="Verdana" w:hAnsi="Verdana"/>
          <w:bCs/>
          <w:sz w:val="20"/>
          <w:szCs w:val="20"/>
          <w:lang w:val="es-CR"/>
        </w:rPr>
        <w:t>les</w:t>
      </w:r>
      <w:r w:rsidRPr="0090649A">
        <w:rPr>
          <w:rFonts w:ascii="Verdana" w:hAnsi="Verdana"/>
          <w:bCs/>
          <w:sz w:val="20"/>
          <w:szCs w:val="20"/>
          <w:lang w:val="es-CR"/>
        </w:rPr>
        <w:t xml:space="preserve"> una indemnización</w:t>
      </w:r>
      <w:r w:rsidR="005F3051" w:rsidRPr="0090649A">
        <w:rPr>
          <w:rFonts w:ascii="Verdana" w:hAnsi="Verdana"/>
          <w:bCs/>
          <w:sz w:val="20"/>
          <w:szCs w:val="20"/>
          <w:lang w:val="es-CR"/>
        </w:rPr>
        <w:t xml:space="preserve"> (</w:t>
      </w:r>
      <w:r w:rsidR="005F3051" w:rsidRPr="0090649A">
        <w:rPr>
          <w:rFonts w:ascii="Verdana" w:hAnsi="Verdana"/>
          <w:bCs/>
          <w:i/>
          <w:sz w:val="20"/>
          <w:szCs w:val="20"/>
          <w:lang w:val="es-CR"/>
        </w:rPr>
        <w:t xml:space="preserve">supra </w:t>
      </w:r>
      <w:r w:rsidR="007D1414" w:rsidRPr="0090649A">
        <w:rPr>
          <w:rFonts w:ascii="Verdana" w:hAnsi="Verdana"/>
          <w:bCs/>
          <w:sz w:val="20"/>
          <w:szCs w:val="20"/>
          <w:lang w:val="es-CR"/>
        </w:rPr>
        <w:t xml:space="preserve">Considerandos </w:t>
      </w:r>
      <w:r w:rsidR="00E14B62" w:rsidRPr="0090649A">
        <w:rPr>
          <w:rFonts w:ascii="Verdana" w:hAnsi="Verdana"/>
          <w:bCs/>
          <w:sz w:val="20"/>
          <w:szCs w:val="20"/>
          <w:lang w:val="es-CR"/>
        </w:rPr>
        <w:t>4, 8 y 10</w:t>
      </w:r>
      <w:r w:rsidR="005F3051" w:rsidRPr="0090649A">
        <w:rPr>
          <w:rFonts w:ascii="Verdana" w:hAnsi="Verdana"/>
          <w:bCs/>
          <w:sz w:val="20"/>
          <w:szCs w:val="20"/>
          <w:lang w:val="es-CR"/>
        </w:rPr>
        <w:t>)</w:t>
      </w:r>
      <w:r w:rsidR="00183AAD" w:rsidRPr="0090649A">
        <w:rPr>
          <w:rFonts w:ascii="Verdana" w:hAnsi="Verdana"/>
          <w:bCs/>
          <w:sz w:val="20"/>
          <w:szCs w:val="20"/>
          <w:lang w:val="es-CR"/>
        </w:rPr>
        <w:t>. Por su parte, la</w:t>
      </w:r>
      <w:r w:rsidRPr="0090649A">
        <w:rPr>
          <w:rFonts w:ascii="Verdana" w:hAnsi="Verdana"/>
          <w:bCs/>
          <w:sz w:val="20"/>
          <w:szCs w:val="20"/>
          <w:lang w:val="es-CR"/>
        </w:rPr>
        <w:t>s representantes de las víctimas han manifestado su desacuerdo con la posición de Honduras por considerar que el Estado está en capacidad de reintegrarles en sus puestos y no lo hace por falta de voluntad política</w:t>
      </w:r>
      <w:r w:rsidR="005F3051" w:rsidRPr="0090649A">
        <w:rPr>
          <w:rFonts w:ascii="Verdana" w:hAnsi="Verdana"/>
          <w:bCs/>
          <w:sz w:val="20"/>
          <w:szCs w:val="20"/>
          <w:lang w:val="es-CR"/>
        </w:rPr>
        <w:t xml:space="preserve"> (</w:t>
      </w:r>
      <w:r w:rsidR="005F3051" w:rsidRPr="0090649A">
        <w:rPr>
          <w:rFonts w:ascii="Verdana" w:hAnsi="Verdana"/>
          <w:bCs/>
          <w:i/>
          <w:sz w:val="20"/>
          <w:szCs w:val="20"/>
          <w:lang w:val="es-CR"/>
        </w:rPr>
        <w:t xml:space="preserve">supra </w:t>
      </w:r>
      <w:r w:rsidR="005F3051" w:rsidRPr="0090649A">
        <w:rPr>
          <w:rFonts w:ascii="Verdana" w:hAnsi="Verdana"/>
          <w:bCs/>
          <w:sz w:val="20"/>
          <w:szCs w:val="20"/>
          <w:lang w:val="es-CR"/>
        </w:rPr>
        <w:t xml:space="preserve">Considerandos </w:t>
      </w:r>
      <w:r w:rsidR="00E14B62" w:rsidRPr="0090649A">
        <w:rPr>
          <w:rFonts w:ascii="Verdana" w:hAnsi="Verdana"/>
          <w:bCs/>
          <w:sz w:val="20"/>
          <w:szCs w:val="20"/>
          <w:lang w:val="es-CR"/>
        </w:rPr>
        <w:t>6, 8 y 11</w:t>
      </w:r>
      <w:r w:rsidR="005F3051" w:rsidRPr="0090649A">
        <w:rPr>
          <w:rFonts w:ascii="Verdana" w:hAnsi="Verdana"/>
          <w:bCs/>
          <w:sz w:val="20"/>
          <w:szCs w:val="20"/>
          <w:lang w:val="es-CR"/>
        </w:rPr>
        <w:t>)</w:t>
      </w:r>
      <w:r w:rsidRPr="0090649A">
        <w:rPr>
          <w:rFonts w:ascii="Verdana" w:hAnsi="Verdana"/>
          <w:bCs/>
          <w:sz w:val="20"/>
          <w:szCs w:val="20"/>
          <w:lang w:val="es-CR"/>
        </w:rPr>
        <w:t>.</w:t>
      </w:r>
      <w:r w:rsidR="005F3051" w:rsidRPr="0090649A">
        <w:rPr>
          <w:rFonts w:ascii="Verdana" w:hAnsi="Verdana"/>
          <w:bCs/>
          <w:sz w:val="20"/>
          <w:szCs w:val="20"/>
          <w:lang w:val="es-CR"/>
        </w:rPr>
        <w:t xml:space="preserve"> </w:t>
      </w:r>
      <w:r w:rsidRPr="0090649A">
        <w:rPr>
          <w:rFonts w:ascii="Verdana" w:hAnsi="Verdana"/>
          <w:bCs/>
          <w:sz w:val="20"/>
          <w:szCs w:val="20"/>
          <w:lang w:val="es-CR"/>
        </w:rPr>
        <w:t>En razón de l</w:t>
      </w:r>
      <w:r w:rsidR="005F3051" w:rsidRPr="0090649A">
        <w:rPr>
          <w:rFonts w:ascii="Verdana" w:hAnsi="Verdana"/>
          <w:bCs/>
          <w:sz w:val="20"/>
          <w:szCs w:val="20"/>
          <w:lang w:val="es-CR"/>
        </w:rPr>
        <w:t xml:space="preserve">a referida controversia, </w:t>
      </w:r>
      <w:r w:rsidR="009A792A" w:rsidRPr="0090649A">
        <w:rPr>
          <w:rFonts w:ascii="Verdana" w:hAnsi="Verdana"/>
          <w:bCs/>
          <w:sz w:val="20"/>
          <w:szCs w:val="20"/>
          <w:lang w:val="es-CR"/>
        </w:rPr>
        <w:t>la Corte estimó necesario realizar</w:t>
      </w:r>
      <w:r w:rsidR="005F3051" w:rsidRPr="0090649A">
        <w:rPr>
          <w:rFonts w:ascii="Verdana" w:hAnsi="Verdana"/>
          <w:bCs/>
          <w:sz w:val="20"/>
          <w:szCs w:val="20"/>
          <w:lang w:val="es-CR"/>
        </w:rPr>
        <w:t xml:space="preserve"> una audiencia privada </w:t>
      </w:r>
      <w:r w:rsidRPr="0090649A">
        <w:rPr>
          <w:rFonts w:ascii="Verdana" w:hAnsi="Verdana"/>
          <w:bCs/>
          <w:sz w:val="20"/>
          <w:szCs w:val="20"/>
          <w:lang w:val="es-CR"/>
        </w:rPr>
        <w:t xml:space="preserve">para poder </w:t>
      </w:r>
      <w:r w:rsidR="007B2FBB" w:rsidRPr="0090649A">
        <w:rPr>
          <w:rFonts w:ascii="Verdana" w:hAnsi="Verdana"/>
          <w:bCs/>
          <w:sz w:val="20"/>
          <w:szCs w:val="20"/>
          <w:lang w:val="es-CR"/>
        </w:rPr>
        <w:t xml:space="preserve">escuchar los puntos de vista </w:t>
      </w:r>
      <w:r w:rsidR="005F3051" w:rsidRPr="0090649A">
        <w:rPr>
          <w:rFonts w:ascii="Verdana" w:hAnsi="Verdana"/>
          <w:bCs/>
          <w:sz w:val="20"/>
          <w:szCs w:val="20"/>
          <w:lang w:val="es-CR"/>
        </w:rPr>
        <w:t xml:space="preserve">de las partes respecto </w:t>
      </w:r>
      <w:r w:rsidR="007B2FBB" w:rsidRPr="0090649A">
        <w:rPr>
          <w:rFonts w:ascii="Verdana" w:hAnsi="Verdana"/>
          <w:bCs/>
          <w:sz w:val="20"/>
          <w:szCs w:val="20"/>
          <w:lang w:val="es-CR"/>
        </w:rPr>
        <w:t xml:space="preserve">a su comprensión sobre lo que implica la reparación ordenada, así como </w:t>
      </w:r>
      <w:r w:rsidR="00D04078" w:rsidRPr="0090649A">
        <w:rPr>
          <w:rFonts w:ascii="Verdana" w:hAnsi="Verdana"/>
          <w:bCs/>
          <w:sz w:val="20"/>
          <w:szCs w:val="20"/>
          <w:lang w:val="es-CR"/>
        </w:rPr>
        <w:t xml:space="preserve">sobre </w:t>
      </w:r>
      <w:r w:rsidR="005F3051" w:rsidRPr="0090649A">
        <w:rPr>
          <w:rFonts w:ascii="Verdana" w:hAnsi="Verdana"/>
          <w:bCs/>
          <w:sz w:val="20"/>
          <w:szCs w:val="20"/>
          <w:lang w:val="es-CR"/>
        </w:rPr>
        <w:t xml:space="preserve">si en el presente caso se está ante </w:t>
      </w:r>
      <w:r w:rsidRPr="0090649A">
        <w:rPr>
          <w:rFonts w:ascii="Verdana" w:hAnsi="Verdana"/>
          <w:bCs/>
          <w:sz w:val="20"/>
          <w:szCs w:val="20"/>
          <w:lang w:val="es-CR"/>
        </w:rPr>
        <w:t xml:space="preserve">una “imposibilidad justificada” para el Estado de </w:t>
      </w:r>
      <w:r w:rsidR="001C3747">
        <w:rPr>
          <w:rFonts w:ascii="Verdana" w:hAnsi="Verdana"/>
          <w:bCs/>
          <w:sz w:val="20"/>
          <w:szCs w:val="20"/>
          <w:lang w:val="es-CR"/>
        </w:rPr>
        <w:t>reincorporar</w:t>
      </w:r>
      <w:r w:rsidRPr="0090649A">
        <w:rPr>
          <w:rFonts w:ascii="Verdana" w:hAnsi="Verdana"/>
          <w:bCs/>
          <w:sz w:val="20"/>
          <w:szCs w:val="20"/>
          <w:lang w:val="es-CR"/>
        </w:rPr>
        <w:t xml:space="preserve"> a los jueces y la magistrada</w:t>
      </w:r>
      <w:r w:rsidR="005F3051" w:rsidRPr="0090649A">
        <w:rPr>
          <w:rFonts w:ascii="Verdana" w:hAnsi="Verdana"/>
          <w:bCs/>
          <w:sz w:val="20"/>
          <w:szCs w:val="20"/>
          <w:lang w:val="es-CR"/>
        </w:rPr>
        <w:t xml:space="preserve"> a puestos en el Poder Judicial (</w:t>
      </w:r>
      <w:r w:rsidR="005F3051" w:rsidRPr="0090649A">
        <w:rPr>
          <w:rFonts w:ascii="Verdana" w:hAnsi="Verdana"/>
          <w:bCs/>
          <w:i/>
          <w:sz w:val="20"/>
          <w:szCs w:val="20"/>
          <w:lang w:val="es-CR"/>
        </w:rPr>
        <w:t xml:space="preserve">supra </w:t>
      </w:r>
      <w:r w:rsidR="005F3051" w:rsidRPr="0090649A">
        <w:rPr>
          <w:rFonts w:ascii="Verdana" w:hAnsi="Verdana"/>
          <w:bCs/>
          <w:sz w:val="20"/>
          <w:szCs w:val="20"/>
          <w:lang w:val="es-CR"/>
        </w:rPr>
        <w:t>Considerando</w:t>
      </w:r>
      <w:r w:rsidR="001C3747">
        <w:rPr>
          <w:rFonts w:ascii="Verdana" w:hAnsi="Verdana"/>
          <w:bCs/>
          <w:sz w:val="20"/>
          <w:szCs w:val="20"/>
          <w:lang w:val="es-CR"/>
        </w:rPr>
        <w:t xml:space="preserve"> 3</w:t>
      </w:r>
      <w:r w:rsidR="005F3051" w:rsidRPr="0090649A">
        <w:rPr>
          <w:rFonts w:ascii="Verdana" w:hAnsi="Verdana"/>
          <w:bCs/>
          <w:sz w:val="20"/>
          <w:szCs w:val="20"/>
          <w:lang w:val="es-CR"/>
        </w:rPr>
        <w:t xml:space="preserve">). </w:t>
      </w:r>
    </w:p>
    <w:p w:rsidR="00DE6218" w:rsidRPr="0090649A" w:rsidRDefault="00DE6218" w:rsidP="00B4241A">
      <w:pPr>
        <w:pStyle w:val="Sombreadovistoso-nfasis3"/>
        <w:tabs>
          <w:tab w:val="left" w:pos="709"/>
        </w:tabs>
        <w:spacing w:after="0" w:line="240" w:lineRule="auto"/>
        <w:ind w:left="0"/>
        <w:contextualSpacing w:val="0"/>
        <w:jc w:val="both"/>
        <w:rPr>
          <w:rFonts w:ascii="Verdana" w:hAnsi="Verdana" w:cs="Arial"/>
          <w:sz w:val="20"/>
          <w:szCs w:val="20"/>
          <w:lang w:val="es-CR"/>
        </w:rPr>
      </w:pPr>
    </w:p>
    <w:p w:rsidR="005C3408" w:rsidRPr="0090649A" w:rsidRDefault="005C3408" w:rsidP="00453D58">
      <w:pPr>
        <w:pStyle w:val="Sombreadovistoso-nfasis3"/>
        <w:numPr>
          <w:ilvl w:val="0"/>
          <w:numId w:val="17"/>
        </w:numPr>
        <w:tabs>
          <w:tab w:val="left" w:pos="709"/>
        </w:tabs>
        <w:spacing w:after="0" w:line="240" w:lineRule="auto"/>
        <w:ind w:left="0" w:firstLine="0"/>
        <w:contextualSpacing w:val="0"/>
        <w:jc w:val="both"/>
        <w:rPr>
          <w:rFonts w:ascii="Verdana" w:hAnsi="Verdana" w:cs="Arial"/>
          <w:sz w:val="20"/>
          <w:szCs w:val="20"/>
          <w:lang w:val="es-CR"/>
        </w:rPr>
      </w:pPr>
      <w:r w:rsidRPr="0090649A">
        <w:rPr>
          <w:rFonts w:ascii="Verdana" w:hAnsi="Verdana" w:cs="Arial"/>
          <w:sz w:val="20"/>
          <w:szCs w:val="20"/>
          <w:lang w:val="es-CR"/>
        </w:rPr>
        <w:t xml:space="preserve">En </w:t>
      </w:r>
      <w:r w:rsidR="004C5A88" w:rsidRPr="0090649A">
        <w:rPr>
          <w:rFonts w:ascii="Verdana" w:hAnsi="Verdana" w:cs="Arial"/>
          <w:sz w:val="20"/>
          <w:szCs w:val="20"/>
          <w:lang w:val="es-CR"/>
        </w:rPr>
        <w:t xml:space="preserve">lo que respecta </w:t>
      </w:r>
      <w:r w:rsidR="006A56BF" w:rsidRPr="0090649A">
        <w:rPr>
          <w:rFonts w:ascii="Verdana" w:hAnsi="Verdana" w:cs="Arial"/>
          <w:sz w:val="20"/>
          <w:szCs w:val="20"/>
          <w:lang w:val="es-CR"/>
        </w:rPr>
        <w:t>a</w:t>
      </w:r>
      <w:r w:rsidR="004C5A88" w:rsidRPr="0090649A">
        <w:rPr>
          <w:rFonts w:ascii="Verdana" w:hAnsi="Verdana" w:cs="Arial"/>
          <w:sz w:val="20"/>
          <w:szCs w:val="20"/>
          <w:lang w:val="es-CR"/>
        </w:rPr>
        <w:t xml:space="preserve"> </w:t>
      </w:r>
      <w:r w:rsidRPr="0090649A">
        <w:rPr>
          <w:rFonts w:ascii="Verdana" w:hAnsi="Verdana" w:cs="Arial"/>
          <w:sz w:val="20"/>
          <w:szCs w:val="20"/>
          <w:lang w:val="es-CR"/>
        </w:rPr>
        <w:t>la víctima Lui</w:t>
      </w:r>
      <w:r w:rsidR="006360DC" w:rsidRPr="0090649A">
        <w:rPr>
          <w:rFonts w:ascii="Verdana" w:hAnsi="Verdana" w:cs="Arial"/>
          <w:sz w:val="20"/>
          <w:szCs w:val="20"/>
          <w:lang w:val="es-CR"/>
        </w:rPr>
        <w:t>s</w:t>
      </w:r>
      <w:r w:rsidRPr="0090649A">
        <w:rPr>
          <w:rFonts w:ascii="Verdana" w:hAnsi="Verdana" w:cs="Arial"/>
          <w:sz w:val="20"/>
          <w:szCs w:val="20"/>
          <w:lang w:val="es-CR"/>
        </w:rPr>
        <w:t xml:space="preserve"> Chévez de la Rocha, la Corte constata que </w:t>
      </w:r>
      <w:r w:rsidR="004C5A88" w:rsidRPr="0090649A">
        <w:rPr>
          <w:rFonts w:ascii="Verdana" w:hAnsi="Verdana" w:cs="Arial"/>
          <w:sz w:val="20"/>
          <w:szCs w:val="20"/>
          <w:lang w:val="es-CR"/>
        </w:rPr>
        <w:t xml:space="preserve">no hay controversia entre las partes </w:t>
      </w:r>
      <w:r w:rsidR="00DE6711">
        <w:rPr>
          <w:rFonts w:ascii="Verdana" w:hAnsi="Verdana" w:cs="Arial"/>
          <w:sz w:val="20"/>
          <w:szCs w:val="20"/>
          <w:lang w:val="es-CR"/>
        </w:rPr>
        <w:t xml:space="preserve">sobre el cumplimiento de la reparación, </w:t>
      </w:r>
      <w:r w:rsidR="004C5A88" w:rsidRPr="0090649A">
        <w:rPr>
          <w:rFonts w:ascii="Verdana" w:hAnsi="Verdana" w:cs="Arial"/>
          <w:sz w:val="20"/>
          <w:szCs w:val="20"/>
          <w:lang w:val="es-CR"/>
        </w:rPr>
        <w:t xml:space="preserve">ya que sus representantes están de acuerdo con que ha sido cumplida y ha sido probado </w:t>
      </w:r>
      <w:r w:rsidR="006A56BF" w:rsidRPr="0090649A">
        <w:rPr>
          <w:rFonts w:ascii="Verdana" w:hAnsi="Verdana" w:cs="Arial"/>
          <w:sz w:val="20"/>
          <w:szCs w:val="20"/>
          <w:lang w:val="es-CR"/>
        </w:rPr>
        <w:t xml:space="preserve">ante este Tribunal </w:t>
      </w:r>
      <w:r w:rsidR="00B574C7" w:rsidRPr="0090649A">
        <w:rPr>
          <w:rFonts w:ascii="Verdana" w:hAnsi="Verdana" w:cs="Arial"/>
          <w:sz w:val="20"/>
          <w:szCs w:val="20"/>
          <w:lang w:val="es-CR"/>
        </w:rPr>
        <w:t xml:space="preserve">que la víctima </w:t>
      </w:r>
      <w:r w:rsidRPr="0090649A">
        <w:rPr>
          <w:rFonts w:ascii="Verdana" w:hAnsi="Verdana" w:cs="Arial"/>
          <w:sz w:val="20"/>
          <w:szCs w:val="20"/>
          <w:lang w:val="es-CR"/>
        </w:rPr>
        <w:t>aceptó recibir la indemnización ofrecida por el Estado</w:t>
      </w:r>
      <w:r w:rsidR="005F3051" w:rsidRPr="0090649A">
        <w:rPr>
          <w:rFonts w:ascii="Verdana" w:hAnsi="Verdana" w:cs="Arial"/>
          <w:sz w:val="20"/>
          <w:szCs w:val="20"/>
          <w:lang w:val="es-CR"/>
        </w:rPr>
        <w:t xml:space="preserve"> en lugar de ser restituid</w:t>
      </w:r>
      <w:r w:rsidR="009A792A" w:rsidRPr="0090649A">
        <w:rPr>
          <w:rFonts w:ascii="Verdana" w:hAnsi="Verdana" w:cs="Arial"/>
          <w:sz w:val="20"/>
          <w:szCs w:val="20"/>
          <w:lang w:val="es-CR"/>
        </w:rPr>
        <w:t>o</w:t>
      </w:r>
      <w:r w:rsidR="00C361CA" w:rsidRPr="0090649A">
        <w:rPr>
          <w:rFonts w:ascii="Verdana" w:hAnsi="Verdana" w:cs="Arial"/>
          <w:sz w:val="20"/>
          <w:szCs w:val="20"/>
          <w:lang w:val="es-CR"/>
        </w:rPr>
        <w:t xml:space="preserve">, y que el pago </w:t>
      </w:r>
      <w:r w:rsidR="004C5A88" w:rsidRPr="0090649A">
        <w:rPr>
          <w:rFonts w:ascii="Verdana" w:hAnsi="Verdana" w:cs="Arial"/>
          <w:sz w:val="20"/>
          <w:szCs w:val="20"/>
          <w:lang w:val="es-CR"/>
        </w:rPr>
        <w:t xml:space="preserve">de la misma se efectuó </w:t>
      </w:r>
      <w:r w:rsidR="003338CD" w:rsidRPr="0090649A">
        <w:rPr>
          <w:rFonts w:ascii="Verdana" w:hAnsi="Verdana" w:cs="Arial"/>
          <w:sz w:val="20"/>
          <w:szCs w:val="20"/>
          <w:lang w:val="es-CR"/>
        </w:rPr>
        <w:t xml:space="preserve">el </w:t>
      </w:r>
      <w:r w:rsidR="00C361CA" w:rsidRPr="0090649A">
        <w:rPr>
          <w:rFonts w:ascii="Verdana" w:hAnsi="Verdana" w:cs="Arial"/>
          <w:sz w:val="20"/>
          <w:szCs w:val="20"/>
          <w:lang w:val="es-CR"/>
        </w:rPr>
        <w:t>28 de noviembre de 2016</w:t>
      </w:r>
      <w:r w:rsidR="001C3747">
        <w:rPr>
          <w:rStyle w:val="Refdenotaalpie"/>
          <w:rFonts w:ascii="Verdana" w:hAnsi="Verdana" w:cs="Arial"/>
          <w:sz w:val="20"/>
          <w:szCs w:val="20"/>
          <w:lang w:val="es-CR"/>
        </w:rPr>
        <w:footnoteReference w:id="26"/>
      </w:r>
      <w:r w:rsidR="00C361CA" w:rsidRPr="0090649A">
        <w:rPr>
          <w:rFonts w:ascii="Verdana" w:hAnsi="Verdana" w:cs="Arial"/>
          <w:sz w:val="20"/>
          <w:szCs w:val="20"/>
          <w:lang w:val="es-CR"/>
        </w:rPr>
        <w:t>.</w:t>
      </w:r>
      <w:r w:rsidRPr="0090649A">
        <w:rPr>
          <w:rFonts w:ascii="Verdana" w:hAnsi="Verdana" w:cs="Arial"/>
          <w:sz w:val="20"/>
          <w:szCs w:val="20"/>
          <w:lang w:val="es-CR"/>
        </w:rPr>
        <w:t xml:space="preserve"> </w:t>
      </w:r>
      <w:r w:rsidR="006A56BF" w:rsidRPr="0090649A">
        <w:rPr>
          <w:rFonts w:ascii="Verdana" w:hAnsi="Verdana"/>
          <w:sz w:val="20"/>
          <w:szCs w:val="20"/>
          <w:lang w:val="es-CR"/>
        </w:rPr>
        <w:t xml:space="preserve">El </w:t>
      </w:r>
      <w:r w:rsidRPr="0090649A">
        <w:rPr>
          <w:rFonts w:ascii="Verdana" w:hAnsi="Verdana" w:cs="Arial"/>
          <w:sz w:val="20"/>
          <w:szCs w:val="20"/>
          <w:lang w:val="es-CR"/>
        </w:rPr>
        <w:t>Tribunal hace notar que</w:t>
      </w:r>
      <w:r w:rsidR="003338CD" w:rsidRPr="0090649A">
        <w:rPr>
          <w:rFonts w:ascii="Verdana" w:hAnsi="Verdana" w:cs="Arial"/>
          <w:sz w:val="20"/>
          <w:szCs w:val="20"/>
          <w:lang w:val="es-CR"/>
        </w:rPr>
        <w:t>, de acuerdo a lo expresado por la víctima,</w:t>
      </w:r>
      <w:r w:rsidRPr="0090649A">
        <w:rPr>
          <w:rFonts w:ascii="Verdana" w:hAnsi="Verdana" w:cs="Arial"/>
          <w:sz w:val="20"/>
          <w:szCs w:val="20"/>
          <w:lang w:val="es-CR"/>
        </w:rPr>
        <w:t xml:space="preserve"> </w:t>
      </w:r>
      <w:r w:rsidR="003338CD" w:rsidRPr="0090649A">
        <w:rPr>
          <w:rFonts w:ascii="Verdana" w:hAnsi="Verdana" w:cs="Arial"/>
          <w:sz w:val="20"/>
          <w:szCs w:val="20"/>
          <w:lang w:val="es-CR"/>
        </w:rPr>
        <w:t xml:space="preserve">sus actuales condiciones de salud y necesidad económica le impiden esperar a que se concrete un reintegro, tomando en </w:t>
      </w:r>
      <w:r w:rsidR="003338CD" w:rsidRPr="0090649A">
        <w:rPr>
          <w:rFonts w:ascii="Verdana" w:hAnsi="Verdana" w:cs="Arial"/>
          <w:sz w:val="20"/>
          <w:szCs w:val="20"/>
          <w:lang w:val="es-CR"/>
        </w:rPr>
        <w:lastRenderedPageBreak/>
        <w:t xml:space="preserve">cuenta </w:t>
      </w:r>
      <w:r w:rsidR="004A2871" w:rsidRPr="0090649A">
        <w:rPr>
          <w:rFonts w:ascii="Verdana" w:hAnsi="Verdana" w:cs="Arial"/>
          <w:sz w:val="20"/>
          <w:szCs w:val="20"/>
          <w:lang w:val="es-CR"/>
        </w:rPr>
        <w:t xml:space="preserve">todos los daños que su destitución </w:t>
      </w:r>
      <w:r w:rsidR="004A2871">
        <w:rPr>
          <w:rFonts w:ascii="Verdana" w:hAnsi="Verdana" w:cs="Arial"/>
          <w:sz w:val="20"/>
          <w:szCs w:val="20"/>
          <w:lang w:val="es-CR"/>
        </w:rPr>
        <w:t>l</w:t>
      </w:r>
      <w:r w:rsidR="004A2871" w:rsidRPr="0090649A">
        <w:rPr>
          <w:rFonts w:ascii="Verdana" w:hAnsi="Verdana" w:cs="Arial"/>
          <w:sz w:val="20"/>
          <w:szCs w:val="20"/>
          <w:lang w:val="es-CR"/>
        </w:rPr>
        <w:t>e ha causado</w:t>
      </w:r>
      <w:r w:rsidR="004A2871">
        <w:rPr>
          <w:rFonts w:ascii="Verdana" w:hAnsi="Verdana" w:cs="Arial"/>
          <w:sz w:val="20"/>
          <w:szCs w:val="20"/>
          <w:lang w:val="es-CR"/>
        </w:rPr>
        <w:t xml:space="preserve"> y </w:t>
      </w:r>
      <w:r w:rsidR="003338CD" w:rsidRPr="0090649A">
        <w:rPr>
          <w:rFonts w:ascii="Verdana" w:hAnsi="Verdana" w:cs="Arial"/>
          <w:sz w:val="20"/>
          <w:szCs w:val="20"/>
          <w:lang w:val="es-CR"/>
        </w:rPr>
        <w:t>que han transcurrido siete años desde la misma</w:t>
      </w:r>
      <w:r w:rsidR="00C06E70" w:rsidRPr="0090649A">
        <w:rPr>
          <w:rStyle w:val="Refdenotaalpie"/>
          <w:rFonts w:ascii="Verdana" w:hAnsi="Verdana" w:cs="Arial"/>
          <w:sz w:val="20"/>
          <w:szCs w:val="20"/>
          <w:lang w:val="es-CR"/>
        </w:rPr>
        <w:footnoteReference w:id="27"/>
      </w:r>
      <w:r w:rsidR="003338CD" w:rsidRPr="0090649A">
        <w:rPr>
          <w:rFonts w:ascii="Verdana" w:hAnsi="Verdana" w:cs="Arial"/>
          <w:sz w:val="20"/>
          <w:szCs w:val="20"/>
          <w:lang w:val="es-CR"/>
        </w:rPr>
        <w:t xml:space="preserve">. </w:t>
      </w:r>
      <w:r w:rsidR="006A56BF" w:rsidRPr="0090649A">
        <w:rPr>
          <w:rFonts w:ascii="Verdana" w:hAnsi="Verdana"/>
          <w:sz w:val="20"/>
          <w:szCs w:val="20"/>
          <w:lang w:val="es-CR"/>
        </w:rPr>
        <w:t>De esta forma, se encuentra justificado que el Estado no procediera a su restitución sino, en su lugar, al pago de la respectiva indemnización.</w:t>
      </w:r>
      <w:r w:rsidR="00041AB3" w:rsidRPr="0090649A">
        <w:rPr>
          <w:rFonts w:ascii="Verdana" w:hAnsi="Verdana" w:cs="Arial"/>
          <w:sz w:val="20"/>
          <w:szCs w:val="20"/>
          <w:lang w:val="es-CR"/>
        </w:rPr>
        <w:t xml:space="preserve"> </w:t>
      </w:r>
      <w:r w:rsidR="00B574C7" w:rsidRPr="0090649A">
        <w:rPr>
          <w:rFonts w:ascii="Verdana" w:hAnsi="Verdana" w:cs="Arial"/>
          <w:sz w:val="20"/>
          <w:szCs w:val="20"/>
          <w:lang w:val="es-CR"/>
        </w:rPr>
        <w:t xml:space="preserve">Por consiguiente, </w:t>
      </w:r>
      <w:r w:rsidRPr="0090649A">
        <w:rPr>
          <w:rFonts w:ascii="Verdana" w:hAnsi="Verdana" w:cs="Arial"/>
          <w:sz w:val="20"/>
          <w:szCs w:val="20"/>
          <w:lang w:val="es-CR"/>
        </w:rPr>
        <w:t>la Corte estima que</w:t>
      </w:r>
      <w:r w:rsidR="005F3051" w:rsidRPr="0090649A">
        <w:rPr>
          <w:rFonts w:ascii="Verdana" w:hAnsi="Verdana" w:cs="Arial"/>
          <w:sz w:val="20"/>
          <w:szCs w:val="20"/>
          <w:lang w:val="es-CR"/>
        </w:rPr>
        <w:t xml:space="preserve"> </w:t>
      </w:r>
      <w:r w:rsidRPr="0090649A">
        <w:rPr>
          <w:rFonts w:ascii="Verdana" w:hAnsi="Verdana" w:cs="Arial"/>
          <w:sz w:val="20"/>
          <w:szCs w:val="20"/>
          <w:lang w:val="es-CR"/>
        </w:rPr>
        <w:t xml:space="preserve">Honduras ha dado cumplimiento </w:t>
      </w:r>
      <w:r w:rsidR="00405591" w:rsidRPr="0090649A">
        <w:rPr>
          <w:rFonts w:ascii="Verdana" w:hAnsi="Verdana" w:cs="Arial"/>
          <w:sz w:val="20"/>
          <w:szCs w:val="20"/>
          <w:lang w:val="es-CR"/>
        </w:rPr>
        <w:t>a la medida ordenada en</w:t>
      </w:r>
      <w:r w:rsidRPr="0090649A">
        <w:rPr>
          <w:rFonts w:ascii="Verdana" w:hAnsi="Verdana"/>
          <w:sz w:val="20"/>
          <w:szCs w:val="20"/>
          <w:lang w:val="es-CR"/>
        </w:rPr>
        <w:t xml:space="preserve"> el párrafo 299 y </w:t>
      </w:r>
      <w:r w:rsidRPr="0090649A">
        <w:rPr>
          <w:rFonts w:ascii="Verdana" w:hAnsi="Verdana" w:cs="Arial"/>
          <w:sz w:val="20"/>
          <w:szCs w:val="20"/>
          <w:lang w:val="es-CR"/>
        </w:rPr>
        <w:t>punto dispositivo décimo sexto de la Sentencia</w:t>
      </w:r>
      <w:r w:rsidRPr="0090649A">
        <w:rPr>
          <w:rFonts w:ascii="Verdana" w:hAnsi="Verdana"/>
          <w:sz w:val="20"/>
          <w:szCs w:val="20"/>
          <w:lang w:val="es-CR"/>
        </w:rPr>
        <w:t xml:space="preserve"> a favor de</w:t>
      </w:r>
      <w:r w:rsidR="004C5A88" w:rsidRPr="0090649A">
        <w:rPr>
          <w:rFonts w:ascii="Verdana" w:hAnsi="Verdana"/>
          <w:sz w:val="20"/>
          <w:szCs w:val="20"/>
          <w:lang w:val="es-CR"/>
        </w:rPr>
        <w:t xml:space="preserve"> la víctima </w:t>
      </w:r>
      <w:r w:rsidR="006360DC" w:rsidRPr="0090649A">
        <w:rPr>
          <w:rFonts w:ascii="Verdana" w:hAnsi="Verdana" w:cs="Arial"/>
          <w:sz w:val="20"/>
          <w:szCs w:val="20"/>
          <w:lang w:val="es-CR"/>
        </w:rPr>
        <w:t>Luis</w:t>
      </w:r>
      <w:r w:rsidR="004C5A88" w:rsidRPr="0090649A">
        <w:rPr>
          <w:rFonts w:ascii="Verdana" w:hAnsi="Verdana" w:cs="Arial"/>
          <w:sz w:val="20"/>
          <w:szCs w:val="20"/>
          <w:lang w:val="es-CR"/>
        </w:rPr>
        <w:t xml:space="preserve"> Chévez de la Rocha</w:t>
      </w:r>
      <w:r w:rsidR="004C5A88" w:rsidRPr="0090649A">
        <w:rPr>
          <w:rFonts w:ascii="Verdana" w:hAnsi="Verdana"/>
          <w:sz w:val="20"/>
          <w:szCs w:val="20"/>
          <w:lang w:val="es-CR"/>
        </w:rPr>
        <w:t xml:space="preserve">, a través del pago de </w:t>
      </w:r>
      <w:r w:rsidR="006360DC" w:rsidRPr="0090649A">
        <w:rPr>
          <w:rFonts w:ascii="Verdana" w:hAnsi="Verdana" w:cs="Arial"/>
          <w:sz w:val="20"/>
          <w:szCs w:val="20"/>
          <w:lang w:val="es-CR"/>
        </w:rPr>
        <w:t xml:space="preserve">la indemnización </w:t>
      </w:r>
      <w:r w:rsidR="00041AB3" w:rsidRPr="0090649A">
        <w:rPr>
          <w:rFonts w:ascii="Verdana" w:hAnsi="Verdana" w:cs="Arial"/>
          <w:sz w:val="20"/>
          <w:szCs w:val="20"/>
          <w:lang w:val="es-CR"/>
        </w:rPr>
        <w:t>fijada en la Sentencia</w:t>
      </w:r>
      <w:r w:rsidR="004F3AD0" w:rsidRPr="0090649A">
        <w:rPr>
          <w:rFonts w:ascii="Verdana" w:hAnsi="Verdana" w:cs="Arial"/>
          <w:sz w:val="20"/>
          <w:szCs w:val="20"/>
          <w:lang w:val="es-CR"/>
        </w:rPr>
        <w:t>.</w:t>
      </w:r>
    </w:p>
    <w:p w:rsidR="005C3408" w:rsidRPr="0090649A" w:rsidRDefault="005C3408" w:rsidP="00B4241A">
      <w:pPr>
        <w:pStyle w:val="Sombreadovistoso-nfasis3"/>
        <w:tabs>
          <w:tab w:val="left" w:pos="709"/>
        </w:tabs>
        <w:spacing w:after="0" w:line="240" w:lineRule="auto"/>
        <w:ind w:left="0"/>
        <w:contextualSpacing w:val="0"/>
        <w:jc w:val="both"/>
        <w:rPr>
          <w:rFonts w:ascii="Verdana" w:hAnsi="Verdana" w:cs="Arial"/>
          <w:sz w:val="20"/>
          <w:szCs w:val="20"/>
          <w:lang w:val="es-CR"/>
        </w:rPr>
      </w:pPr>
    </w:p>
    <w:p w:rsidR="0025592C" w:rsidRPr="0090649A" w:rsidRDefault="005C3408" w:rsidP="00453D58">
      <w:pPr>
        <w:pStyle w:val="Sombreadovistoso-nfasis3"/>
        <w:numPr>
          <w:ilvl w:val="0"/>
          <w:numId w:val="17"/>
        </w:numPr>
        <w:tabs>
          <w:tab w:val="left" w:pos="709"/>
        </w:tabs>
        <w:spacing w:after="0" w:line="240" w:lineRule="auto"/>
        <w:ind w:left="0" w:firstLine="0"/>
        <w:contextualSpacing w:val="0"/>
        <w:jc w:val="both"/>
        <w:rPr>
          <w:rFonts w:ascii="Verdana" w:hAnsi="Verdana" w:cs="Arial"/>
          <w:sz w:val="20"/>
          <w:szCs w:val="20"/>
          <w:lang w:val="es-CR"/>
        </w:rPr>
      </w:pPr>
      <w:r w:rsidRPr="0090649A">
        <w:rPr>
          <w:rFonts w:ascii="Verdana" w:hAnsi="Verdana" w:cs="Arial"/>
          <w:sz w:val="20"/>
          <w:szCs w:val="20"/>
          <w:lang w:val="es-CR"/>
        </w:rPr>
        <w:t xml:space="preserve">En el caso de las víctimas Adán Guillermo López Lone y Tirza del Carmen Flores Lanza, </w:t>
      </w:r>
      <w:r w:rsidR="00E537C7" w:rsidRPr="0090649A">
        <w:rPr>
          <w:rFonts w:ascii="Verdana" w:hAnsi="Verdana" w:cs="Arial"/>
          <w:sz w:val="20"/>
          <w:szCs w:val="20"/>
          <w:lang w:val="es-CR"/>
        </w:rPr>
        <w:t>aun después de la audiencia privada de supervisión de cumplimiento</w:t>
      </w:r>
      <w:r w:rsidR="00D46B83" w:rsidRPr="0090649A">
        <w:rPr>
          <w:rFonts w:ascii="Verdana" w:hAnsi="Verdana" w:cs="Arial"/>
          <w:sz w:val="20"/>
          <w:szCs w:val="20"/>
          <w:lang w:val="es-CR"/>
        </w:rPr>
        <w:t xml:space="preserve"> (</w:t>
      </w:r>
      <w:r w:rsidR="00D46B83" w:rsidRPr="0090649A">
        <w:rPr>
          <w:rFonts w:ascii="Verdana" w:hAnsi="Verdana" w:cs="Arial"/>
          <w:i/>
          <w:sz w:val="20"/>
          <w:szCs w:val="20"/>
          <w:lang w:val="es-CR"/>
        </w:rPr>
        <w:t xml:space="preserve">supra </w:t>
      </w:r>
      <w:r w:rsidR="00D46B83" w:rsidRPr="0090649A">
        <w:rPr>
          <w:rFonts w:ascii="Verdana" w:hAnsi="Verdana" w:cs="Arial"/>
          <w:sz w:val="20"/>
          <w:szCs w:val="20"/>
          <w:lang w:val="es-CR"/>
        </w:rPr>
        <w:t>Considerando</w:t>
      </w:r>
      <w:r w:rsidR="00BB300B">
        <w:rPr>
          <w:rFonts w:ascii="Verdana" w:hAnsi="Verdana" w:cs="Arial"/>
          <w:sz w:val="20"/>
          <w:szCs w:val="20"/>
          <w:lang w:val="es-CR"/>
        </w:rPr>
        <w:t>s</w:t>
      </w:r>
      <w:r w:rsidR="00D46B83" w:rsidRPr="0090649A">
        <w:rPr>
          <w:rFonts w:ascii="Verdana" w:hAnsi="Verdana" w:cs="Arial"/>
          <w:sz w:val="20"/>
          <w:szCs w:val="20"/>
          <w:lang w:val="es-CR"/>
        </w:rPr>
        <w:t xml:space="preserve"> </w:t>
      </w:r>
      <w:r w:rsidR="000F4D3B" w:rsidRPr="0090649A">
        <w:rPr>
          <w:rFonts w:ascii="Verdana" w:hAnsi="Verdana" w:cs="Arial"/>
          <w:sz w:val="20"/>
          <w:szCs w:val="20"/>
          <w:lang w:val="es-CR"/>
        </w:rPr>
        <w:t>8</w:t>
      </w:r>
      <w:r w:rsidR="00BB300B">
        <w:rPr>
          <w:rFonts w:ascii="Verdana" w:hAnsi="Verdana" w:cs="Arial"/>
          <w:sz w:val="20"/>
          <w:szCs w:val="20"/>
          <w:lang w:val="es-CR"/>
        </w:rPr>
        <w:t xml:space="preserve"> y 9</w:t>
      </w:r>
      <w:r w:rsidR="00D46B83" w:rsidRPr="0090649A">
        <w:rPr>
          <w:rFonts w:ascii="Verdana" w:hAnsi="Verdana" w:cs="Arial"/>
          <w:sz w:val="20"/>
          <w:szCs w:val="20"/>
          <w:lang w:val="es-CR"/>
        </w:rPr>
        <w:t>)</w:t>
      </w:r>
      <w:r w:rsidR="004E3321" w:rsidRPr="0090649A">
        <w:rPr>
          <w:rFonts w:ascii="Verdana" w:hAnsi="Verdana" w:cs="Arial"/>
          <w:sz w:val="20"/>
          <w:szCs w:val="20"/>
          <w:lang w:val="es-CR"/>
        </w:rPr>
        <w:t>, el Estado continúa sosteniendo que no puede reincorporarlas</w:t>
      </w:r>
      <w:r w:rsidR="00C00091">
        <w:rPr>
          <w:rFonts w:ascii="Verdana" w:hAnsi="Verdana" w:cs="Arial"/>
          <w:sz w:val="20"/>
          <w:szCs w:val="20"/>
          <w:lang w:val="es-CR"/>
        </w:rPr>
        <w:t xml:space="preserve"> a cargos similares</w:t>
      </w:r>
      <w:r w:rsidR="00A247B9" w:rsidRPr="0090649A">
        <w:rPr>
          <w:rFonts w:ascii="Verdana" w:hAnsi="Verdana"/>
          <w:sz w:val="20"/>
          <w:szCs w:val="20"/>
          <w:lang w:val="es-CR"/>
        </w:rPr>
        <w:t>.</w:t>
      </w:r>
      <w:r w:rsidR="00D46B83" w:rsidRPr="0090649A">
        <w:rPr>
          <w:rFonts w:ascii="Verdana" w:hAnsi="Verdana" w:cs="Arial"/>
          <w:sz w:val="20"/>
          <w:szCs w:val="20"/>
          <w:lang w:val="es-CR"/>
        </w:rPr>
        <w:t xml:space="preserve"> </w:t>
      </w:r>
      <w:r w:rsidR="009F7B70" w:rsidRPr="0090649A">
        <w:rPr>
          <w:rFonts w:ascii="Verdana" w:hAnsi="Verdana" w:cs="Arial"/>
          <w:sz w:val="20"/>
          <w:szCs w:val="20"/>
          <w:lang w:val="es-CR"/>
        </w:rPr>
        <w:t xml:space="preserve">En </w:t>
      </w:r>
      <w:r w:rsidR="00BB300B">
        <w:rPr>
          <w:rFonts w:ascii="Verdana" w:hAnsi="Verdana" w:cs="Arial"/>
          <w:sz w:val="20"/>
          <w:szCs w:val="20"/>
          <w:lang w:val="es-CR"/>
        </w:rPr>
        <w:t>ejercicio</w:t>
      </w:r>
      <w:r w:rsidR="009F7B70" w:rsidRPr="0090649A">
        <w:rPr>
          <w:rFonts w:ascii="Verdana" w:hAnsi="Verdana" w:cs="Arial"/>
          <w:sz w:val="20"/>
          <w:szCs w:val="20"/>
          <w:lang w:val="es-CR"/>
        </w:rPr>
        <w:t xml:space="preserve"> de su facultad de supervisar el cumplimiento de su Sentencia</w:t>
      </w:r>
      <w:r w:rsidR="00C00091">
        <w:rPr>
          <w:rFonts w:ascii="Verdana" w:hAnsi="Verdana" w:cs="Arial"/>
          <w:sz w:val="20"/>
          <w:szCs w:val="20"/>
          <w:lang w:val="es-CR"/>
        </w:rPr>
        <w:t xml:space="preserve"> (</w:t>
      </w:r>
      <w:r w:rsidR="00C00091">
        <w:rPr>
          <w:rFonts w:ascii="Verdana" w:hAnsi="Verdana" w:cs="Arial"/>
          <w:i/>
          <w:sz w:val="20"/>
          <w:szCs w:val="20"/>
          <w:lang w:val="es-CR"/>
        </w:rPr>
        <w:t xml:space="preserve">supra </w:t>
      </w:r>
      <w:r w:rsidR="00C00091">
        <w:rPr>
          <w:rFonts w:ascii="Verdana" w:hAnsi="Verdana" w:cs="Arial"/>
          <w:sz w:val="20"/>
          <w:szCs w:val="20"/>
          <w:lang w:val="es-CR"/>
        </w:rPr>
        <w:t>Considerando 1)</w:t>
      </w:r>
      <w:r w:rsidR="009F7B70" w:rsidRPr="0090649A">
        <w:rPr>
          <w:rFonts w:ascii="Verdana" w:hAnsi="Verdana" w:cs="Arial"/>
          <w:sz w:val="20"/>
          <w:szCs w:val="20"/>
          <w:lang w:val="es-CR"/>
        </w:rPr>
        <w:t>, c</w:t>
      </w:r>
      <w:r w:rsidR="00D46B83" w:rsidRPr="0090649A">
        <w:rPr>
          <w:rFonts w:ascii="Verdana" w:hAnsi="Verdana" w:cs="Arial"/>
          <w:sz w:val="20"/>
          <w:szCs w:val="20"/>
          <w:lang w:val="es-CR"/>
        </w:rPr>
        <w:t xml:space="preserve">orresponde a esta Corte analizar </w:t>
      </w:r>
      <w:r w:rsidR="00524E79" w:rsidRPr="0090649A">
        <w:rPr>
          <w:rFonts w:ascii="Verdana" w:hAnsi="Verdana" w:cs="Arial"/>
          <w:sz w:val="20"/>
          <w:szCs w:val="20"/>
          <w:lang w:val="es-CR"/>
        </w:rPr>
        <w:t xml:space="preserve">la controversia entre las partes </w:t>
      </w:r>
      <w:r w:rsidR="00C00091">
        <w:rPr>
          <w:rFonts w:ascii="Verdana" w:hAnsi="Verdana" w:cs="Arial"/>
          <w:sz w:val="20"/>
          <w:szCs w:val="20"/>
          <w:lang w:val="es-CR"/>
        </w:rPr>
        <w:t>y</w:t>
      </w:r>
      <w:r w:rsidR="00524E79" w:rsidRPr="0090649A">
        <w:rPr>
          <w:rFonts w:ascii="Verdana" w:hAnsi="Verdana" w:cs="Arial"/>
          <w:sz w:val="20"/>
          <w:szCs w:val="20"/>
          <w:lang w:val="es-CR"/>
        </w:rPr>
        <w:t xml:space="preserve"> valorar si efectivamente </w:t>
      </w:r>
      <w:r w:rsidR="00B52625" w:rsidRPr="0090649A">
        <w:rPr>
          <w:rFonts w:ascii="Verdana" w:hAnsi="Verdana" w:cs="Arial"/>
          <w:sz w:val="20"/>
          <w:szCs w:val="20"/>
          <w:lang w:val="es-CR"/>
        </w:rPr>
        <w:t xml:space="preserve">el Estado se encuentra </w:t>
      </w:r>
      <w:r w:rsidR="00524E79" w:rsidRPr="0090649A">
        <w:rPr>
          <w:rFonts w:ascii="Verdana" w:hAnsi="Verdana" w:cs="Arial"/>
          <w:sz w:val="20"/>
          <w:szCs w:val="20"/>
          <w:lang w:val="es-CR"/>
        </w:rPr>
        <w:t>ante una “imposibilidad justificada” de cumplir con la reparación a través de la reincorporación (</w:t>
      </w:r>
      <w:r w:rsidR="00524E79" w:rsidRPr="0090649A">
        <w:rPr>
          <w:rFonts w:ascii="Verdana" w:hAnsi="Verdana" w:cs="Arial"/>
          <w:i/>
          <w:sz w:val="20"/>
          <w:szCs w:val="20"/>
          <w:lang w:val="es-CR"/>
        </w:rPr>
        <w:t>supra</w:t>
      </w:r>
      <w:r w:rsidR="00524E79" w:rsidRPr="0090649A">
        <w:rPr>
          <w:rFonts w:ascii="Verdana" w:hAnsi="Verdana" w:cs="Arial"/>
          <w:sz w:val="20"/>
          <w:szCs w:val="20"/>
          <w:lang w:val="es-CR"/>
        </w:rPr>
        <w:t xml:space="preserve"> Considerando </w:t>
      </w:r>
      <w:r w:rsidR="000F4D3B" w:rsidRPr="0090649A">
        <w:rPr>
          <w:rFonts w:ascii="Verdana" w:hAnsi="Verdana" w:cs="Arial"/>
          <w:sz w:val="20"/>
          <w:szCs w:val="20"/>
          <w:lang w:val="es-CR"/>
        </w:rPr>
        <w:t>3</w:t>
      </w:r>
      <w:r w:rsidR="00524E79" w:rsidRPr="0090649A">
        <w:rPr>
          <w:rFonts w:ascii="Verdana" w:hAnsi="Verdana" w:cs="Arial"/>
          <w:sz w:val="20"/>
          <w:szCs w:val="20"/>
          <w:lang w:val="es-CR"/>
        </w:rPr>
        <w:t>)</w:t>
      </w:r>
      <w:r w:rsidR="00C00091">
        <w:rPr>
          <w:rFonts w:ascii="Verdana" w:hAnsi="Verdana" w:cs="Arial"/>
          <w:sz w:val="20"/>
          <w:szCs w:val="20"/>
          <w:lang w:val="es-CR"/>
        </w:rPr>
        <w:t>, así como</w:t>
      </w:r>
      <w:r w:rsidR="00524E79" w:rsidRPr="0090649A">
        <w:rPr>
          <w:rFonts w:ascii="Verdana" w:hAnsi="Verdana" w:cs="Arial"/>
          <w:sz w:val="20"/>
          <w:szCs w:val="20"/>
          <w:lang w:val="es-CR"/>
        </w:rPr>
        <w:t xml:space="preserve"> determinar si el proceder estatal es acorde o no a lo ordenado por esta Corte. </w:t>
      </w:r>
    </w:p>
    <w:p w:rsidR="0025592C" w:rsidRPr="0090649A" w:rsidRDefault="0025592C" w:rsidP="004F3AD0">
      <w:pPr>
        <w:pStyle w:val="Sombreadovistoso-nfasis3"/>
        <w:tabs>
          <w:tab w:val="left" w:pos="709"/>
        </w:tabs>
        <w:spacing w:after="0" w:line="240" w:lineRule="auto"/>
        <w:ind w:left="0"/>
        <w:contextualSpacing w:val="0"/>
        <w:jc w:val="both"/>
        <w:rPr>
          <w:rFonts w:ascii="Verdana" w:hAnsi="Verdana" w:cs="Arial"/>
          <w:sz w:val="20"/>
          <w:szCs w:val="20"/>
          <w:lang w:val="es-CR"/>
        </w:rPr>
      </w:pPr>
    </w:p>
    <w:p w:rsidR="00833FBD" w:rsidRPr="0090649A" w:rsidRDefault="009F7B70" w:rsidP="00453D58">
      <w:pPr>
        <w:pStyle w:val="Sombreadovistoso-nfasis3"/>
        <w:numPr>
          <w:ilvl w:val="0"/>
          <w:numId w:val="17"/>
        </w:numPr>
        <w:tabs>
          <w:tab w:val="left" w:pos="709"/>
        </w:tabs>
        <w:spacing w:after="0" w:line="240" w:lineRule="auto"/>
        <w:ind w:left="0" w:firstLine="0"/>
        <w:contextualSpacing w:val="0"/>
        <w:jc w:val="both"/>
        <w:rPr>
          <w:rFonts w:ascii="Verdana" w:hAnsi="Verdana" w:cs="Arial"/>
          <w:sz w:val="20"/>
          <w:szCs w:val="20"/>
          <w:lang w:val="es-CR"/>
        </w:rPr>
      </w:pPr>
      <w:r w:rsidRPr="0090649A">
        <w:rPr>
          <w:rFonts w:ascii="Verdana" w:hAnsi="Verdana" w:cs="Arial"/>
          <w:sz w:val="20"/>
          <w:szCs w:val="20"/>
          <w:lang w:val="es-CR"/>
        </w:rPr>
        <w:t>Los dos argumentos del Estado</w:t>
      </w:r>
      <w:r w:rsidR="00BB300B">
        <w:rPr>
          <w:rFonts w:ascii="Verdana" w:hAnsi="Verdana" w:cs="Arial"/>
          <w:sz w:val="20"/>
          <w:szCs w:val="20"/>
          <w:lang w:val="es-CR"/>
        </w:rPr>
        <w:t xml:space="preserve"> para no reincorporar a las referidas víctimas</w:t>
      </w:r>
      <w:r w:rsidRPr="0090649A">
        <w:rPr>
          <w:rFonts w:ascii="Verdana" w:hAnsi="Verdana" w:cs="Arial"/>
          <w:sz w:val="20"/>
          <w:szCs w:val="20"/>
          <w:lang w:val="es-CR"/>
        </w:rPr>
        <w:t xml:space="preserve"> giran en torno a que</w:t>
      </w:r>
      <w:r w:rsidR="00D824D6" w:rsidRPr="0090649A">
        <w:rPr>
          <w:rFonts w:ascii="Verdana" w:hAnsi="Verdana" w:cs="Arial"/>
          <w:sz w:val="20"/>
          <w:szCs w:val="20"/>
          <w:lang w:val="es-CR"/>
        </w:rPr>
        <w:t xml:space="preserve">: i) </w:t>
      </w:r>
      <w:r w:rsidR="00D824D6" w:rsidRPr="0090649A">
        <w:rPr>
          <w:rFonts w:ascii="Verdana" w:hAnsi="Verdana"/>
          <w:sz w:val="20"/>
          <w:szCs w:val="20"/>
          <w:lang w:val="es-CR"/>
        </w:rPr>
        <w:t>los cargos que las víctimas desemp</w:t>
      </w:r>
      <w:r w:rsidR="00B4241A" w:rsidRPr="0090649A">
        <w:rPr>
          <w:rFonts w:ascii="Verdana" w:hAnsi="Verdana"/>
          <w:sz w:val="20"/>
          <w:szCs w:val="20"/>
          <w:lang w:val="es-CR"/>
        </w:rPr>
        <w:t>eñaban al momento de los hechos</w:t>
      </w:r>
      <w:r w:rsidR="00D824D6" w:rsidRPr="0090649A">
        <w:rPr>
          <w:rFonts w:ascii="Verdana" w:hAnsi="Verdana"/>
          <w:sz w:val="20"/>
          <w:szCs w:val="20"/>
          <w:lang w:val="es-CR"/>
        </w:rPr>
        <w:t xml:space="preserve"> fueron ocupados por otros funcionarios que han desarrollado carrera judicial, y ii) </w:t>
      </w:r>
      <w:r w:rsidR="00D824D6" w:rsidRPr="0090649A">
        <w:rPr>
          <w:rFonts w:ascii="Verdana" w:hAnsi="Verdana" w:cs="Arial"/>
          <w:sz w:val="20"/>
          <w:szCs w:val="20"/>
          <w:lang w:val="es-CR"/>
        </w:rPr>
        <w:t>no existen actualmente en el Poder Judicial</w:t>
      </w:r>
      <w:r w:rsidR="00C25806" w:rsidRPr="0090649A">
        <w:rPr>
          <w:rFonts w:ascii="Verdana" w:hAnsi="Verdana" w:cs="Arial"/>
          <w:sz w:val="20"/>
          <w:szCs w:val="20"/>
          <w:lang w:val="es-CR"/>
        </w:rPr>
        <w:t>,</w:t>
      </w:r>
      <w:r w:rsidR="00D824D6" w:rsidRPr="0090649A">
        <w:rPr>
          <w:rFonts w:ascii="Verdana" w:hAnsi="Verdana" w:cs="Arial"/>
          <w:sz w:val="20"/>
          <w:szCs w:val="20"/>
          <w:lang w:val="es-CR"/>
        </w:rPr>
        <w:t xml:space="preserve"> en la ciudad de San Pedro Sula, plazas o cargos similares a los que desempeñaban las víctimas López Lone y Flores Lanza al momento de sus destituciones</w:t>
      </w:r>
      <w:r w:rsidR="00A02382" w:rsidRPr="0090649A">
        <w:rPr>
          <w:rFonts w:ascii="Verdana" w:hAnsi="Verdana" w:cs="Arial"/>
          <w:sz w:val="20"/>
          <w:szCs w:val="20"/>
          <w:lang w:val="es-CR"/>
        </w:rPr>
        <w:t xml:space="preserve"> (</w:t>
      </w:r>
      <w:r w:rsidR="00A02382" w:rsidRPr="0090649A">
        <w:rPr>
          <w:rFonts w:ascii="Verdana" w:hAnsi="Verdana" w:cs="Arial"/>
          <w:i/>
          <w:sz w:val="20"/>
          <w:szCs w:val="20"/>
          <w:lang w:val="es-CR"/>
        </w:rPr>
        <w:t xml:space="preserve">supra </w:t>
      </w:r>
      <w:r w:rsidR="00A02382" w:rsidRPr="0090649A">
        <w:rPr>
          <w:rFonts w:ascii="Verdana" w:hAnsi="Verdana" w:cs="Arial"/>
          <w:sz w:val="20"/>
          <w:szCs w:val="20"/>
          <w:lang w:val="es-CR"/>
        </w:rPr>
        <w:t xml:space="preserve">Considerandos </w:t>
      </w:r>
      <w:r w:rsidR="000F4D3B" w:rsidRPr="0090649A">
        <w:rPr>
          <w:rFonts w:ascii="Verdana" w:hAnsi="Verdana" w:cs="Arial"/>
          <w:sz w:val="20"/>
          <w:szCs w:val="20"/>
          <w:lang w:val="es-CR"/>
        </w:rPr>
        <w:t>4</w:t>
      </w:r>
      <w:r w:rsidR="00A02382" w:rsidRPr="0090649A">
        <w:rPr>
          <w:rFonts w:ascii="Verdana" w:hAnsi="Verdana" w:cs="Arial"/>
          <w:sz w:val="20"/>
          <w:szCs w:val="20"/>
          <w:lang w:val="es-CR"/>
        </w:rPr>
        <w:t xml:space="preserve"> y </w:t>
      </w:r>
      <w:r w:rsidR="000F4D3B" w:rsidRPr="0090649A">
        <w:rPr>
          <w:rFonts w:ascii="Verdana" w:hAnsi="Verdana" w:cs="Arial"/>
          <w:sz w:val="20"/>
          <w:szCs w:val="20"/>
          <w:lang w:val="es-CR"/>
        </w:rPr>
        <w:t>10</w:t>
      </w:r>
      <w:r w:rsidR="00A02382" w:rsidRPr="0090649A">
        <w:rPr>
          <w:rFonts w:ascii="Verdana" w:hAnsi="Verdana" w:cs="Arial"/>
          <w:sz w:val="20"/>
          <w:szCs w:val="20"/>
          <w:lang w:val="es-CR"/>
        </w:rPr>
        <w:t>).</w:t>
      </w:r>
      <w:r w:rsidR="00D824D6" w:rsidRPr="0090649A">
        <w:rPr>
          <w:rFonts w:ascii="Verdana" w:hAnsi="Verdana"/>
          <w:sz w:val="20"/>
          <w:szCs w:val="20"/>
          <w:lang w:val="es-CR"/>
        </w:rPr>
        <w:t xml:space="preserve"> </w:t>
      </w:r>
      <w:r w:rsidR="006718B2" w:rsidRPr="0090649A">
        <w:rPr>
          <w:rFonts w:ascii="Verdana" w:hAnsi="Verdana" w:cs="Arial"/>
          <w:sz w:val="20"/>
          <w:szCs w:val="20"/>
          <w:lang w:val="es-CR"/>
        </w:rPr>
        <w:t xml:space="preserve">El </w:t>
      </w:r>
      <w:r w:rsidR="00D824D6" w:rsidRPr="0090649A">
        <w:rPr>
          <w:rFonts w:ascii="Verdana" w:hAnsi="Verdana"/>
          <w:sz w:val="20"/>
          <w:szCs w:val="20"/>
          <w:lang w:val="es-CR"/>
        </w:rPr>
        <w:t>primer argumento</w:t>
      </w:r>
      <w:r w:rsidR="006718B2" w:rsidRPr="0090649A">
        <w:rPr>
          <w:rFonts w:ascii="Verdana" w:hAnsi="Verdana"/>
          <w:sz w:val="20"/>
          <w:szCs w:val="20"/>
          <w:lang w:val="es-CR"/>
        </w:rPr>
        <w:t xml:space="preserve"> es completamente improcedente puesto </w:t>
      </w:r>
      <w:r w:rsidR="00D824D6" w:rsidRPr="0090649A">
        <w:rPr>
          <w:rFonts w:ascii="Verdana" w:hAnsi="Verdana"/>
          <w:sz w:val="20"/>
          <w:szCs w:val="20"/>
          <w:lang w:val="es-CR"/>
        </w:rPr>
        <w:t>que en la Sentencia n</w:t>
      </w:r>
      <w:r w:rsidR="006718B2" w:rsidRPr="0090649A">
        <w:rPr>
          <w:rFonts w:ascii="Verdana" w:hAnsi="Verdana"/>
          <w:sz w:val="20"/>
          <w:szCs w:val="20"/>
          <w:lang w:val="es-CR"/>
        </w:rPr>
        <w:t>i</w:t>
      </w:r>
      <w:r w:rsidR="00D824D6" w:rsidRPr="0090649A">
        <w:rPr>
          <w:rFonts w:ascii="Verdana" w:hAnsi="Verdana"/>
          <w:sz w:val="20"/>
          <w:szCs w:val="20"/>
          <w:lang w:val="es-CR"/>
        </w:rPr>
        <w:t xml:space="preserve"> s</w:t>
      </w:r>
      <w:r w:rsidR="006718B2" w:rsidRPr="0090649A">
        <w:rPr>
          <w:rFonts w:ascii="Verdana" w:hAnsi="Verdana"/>
          <w:sz w:val="20"/>
          <w:szCs w:val="20"/>
          <w:lang w:val="es-CR"/>
        </w:rPr>
        <w:t xml:space="preserve">iquiera se </w:t>
      </w:r>
      <w:r w:rsidR="00D824D6" w:rsidRPr="0090649A">
        <w:rPr>
          <w:rFonts w:ascii="Verdana" w:hAnsi="Verdana"/>
          <w:sz w:val="20"/>
          <w:szCs w:val="20"/>
          <w:lang w:val="es-CR"/>
        </w:rPr>
        <w:t xml:space="preserve">ordenó reintegrar a las víctimas a los mismos puestos que ocupaban al momento de los hechos, sino que </w:t>
      </w:r>
      <w:r w:rsidR="006718B2" w:rsidRPr="0090649A">
        <w:rPr>
          <w:rFonts w:ascii="Verdana" w:hAnsi="Verdana"/>
          <w:sz w:val="20"/>
          <w:szCs w:val="20"/>
          <w:lang w:val="es-CR"/>
        </w:rPr>
        <w:t xml:space="preserve">se </w:t>
      </w:r>
      <w:r w:rsidR="00D824D6" w:rsidRPr="0090649A">
        <w:rPr>
          <w:rFonts w:ascii="Verdana" w:hAnsi="Verdana"/>
          <w:sz w:val="20"/>
          <w:szCs w:val="20"/>
          <w:lang w:val="es-CR"/>
        </w:rPr>
        <w:t>estableció que debían ser “</w:t>
      </w:r>
      <w:r w:rsidR="00D824D6" w:rsidRPr="0090649A">
        <w:rPr>
          <w:rFonts w:ascii="Verdana" w:hAnsi="Verdana" w:cs="Arial"/>
          <w:sz w:val="20"/>
          <w:szCs w:val="20"/>
          <w:lang w:val="es-CR"/>
        </w:rPr>
        <w:t>cargos similares a los que desempeñaban” (</w:t>
      </w:r>
      <w:r w:rsidR="00D824D6" w:rsidRPr="0090649A">
        <w:rPr>
          <w:rFonts w:ascii="Verdana" w:hAnsi="Verdana" w:cs="Arial"/>
          <w:i/>
          <w:sz w:val="20"/>
          <w:szCs w:val="20"/>
          <w:lang w:val="es-CR"/>
        </w:rPr>
        <w:t xml:space="preserve">supra </w:t>
      </w:r>
      <w:r w:rsidR="00D824D6" w:rsidRPr="0090649A">
        <w:rPr>
          <w:rFonts w:ascii="Verdana" w:hAnsi="Verdana" w:cs="Arial"/>
          <w:sz w:val="20"/>
          <w:szCs w:val="20"/>
          <w:lang w:val="es-CR"/>
        </w:rPr>
        <w:t xml:space="preserve">Considerando </w:t>
      </w:r>
      <w:r w:rsidR="000F4D3B" w:rsidRPr="0090649A">
        <w:rPr>
          <w:rFonts w:ascii="Verdana" w:hAnsi="Verdana" w:cs="Arial"/>
          <w:sz w:val="20"/>
          <w:szCs w:val="20"/>
          <w:lang w:val="es-CR"/>
        </w:rPr>
        <w:t>3</w:t>
      </w:r>
      <w:r w:rsidR="00D824D6" w:rsidRPr="0090649A">
        <w:rPr>
          <w:rFonts w:ascii="Verdana" w:hAnsi="Verdana" w:cs="Arial"/>
          <w:sz w:val="20"/>
          <w:szCs w:val="20"/>
          <w:lang w:val="es-CR"/>
        </w:rPr>
        <w:t xml:space="preserve">). </w:t>
      </w:r>
      <w:r w:rsidR="00833FBD" w:rsidRPr="0090649A">
        <w:rPr>
          <w:rFonts w:ascii="Verdana" w:hAnsi="Verdana" w:cs="Arial"/>
          <w:sz w:val="20"/>
          <w:szCs w:val="20"/>
          <w:lang w:val="es-CR"/>
        </w:rPr>
        <w:t xml:space="preserve">Respecto al segundo argumento del Estado, las representantes </w:t>
      </w:r>
      <w:r w:rsidR="00E07225" w:rsidRPr="0090649A">
        <w:rPr>
          <w:rFonts w:ascii="Verdana" w:hAnsi="Verdana" w:cs="Arial"/>
          <w:sz w:val="20"/>
          <w:szCs w:val="20"/>
          <w:lang w:val="es-CR"/>
        </w:rPr>
        <w:t xml:space="preserve">de las </w:t>
      </w:r>
      <w:r w:rsidR="00A02382" w:rsidRPr="0090649A">
        <w:rPr>
          <w:rFonts w:ascii="Verdana" w:hAnsi="Verdana" w:cs="Arial"/>
          <w:sz w:val="20"/>
          <w:szCs w:val="20"/>
          <w:lang w:val="es-CR"/>
        </w:rPr>
        <w:t>víctimas</w:t>
      </w:r>
      <w:r w:rsidR="00E07225" w:rsidRPr="0090649A">
        <w:rPr>
          <w:rFonts w:ascii="Verdana" w:hAnsi="Verdana" w:cs="Arial"/>
          <w:sz w:val="20"/>
          <w:szCs w:val="20"/>
          <w:lang w:val="es-CR"/>
        </w:rPr>
        <w:t xml:space="preserve"> </w:t>
      </w:r>
      <w:r w:rsidR="00833FBD" w:rsidRPr="0090649A">
        <w:rPr>
          <w:rFonts w:ascii="Verdana" w:hAnsi="Verdana" w:cs="Arial"/>
          <w:sz w:val="20"/>
          <w:szCs w:val="20"/>
          <w:lang w:val="es-CR"/>
        </w:rPr>
        <w:t xml:space="preserve">han presentado alegatos </w:t>
      </w:r>
      <w:r w:rsidR="00E07225" w:rsidRPr="0090649A">
        <w:rPr>
          <w:rFonts w:ascii="Verdana" w:hAnsi="Verdana" w:cs="Arial"/>
          <w:sz w:val="20"/>
          <w:szCs w:val="20"/>
          <w:lang w:val="es-CR"/>
        </w:rPr>
        <w:t>y soporte documental que buscan refutarlo</w:t>
      </w:r>
      <w:r w:rsidR="00D0509D" w:rsidRPr="0090649A">
        <w:rPr>
          <w:rFonts w:ascii="Verdana" w:hAnsi="Verdana" w:cs="Arial"/>
          <w:sz w:val="20"/>
          <w:szCs w:val="20"/>
          <w:lang w:val="es-CR"/>
        </w:rPr>
        <w:t xml:space="preserve"> </w:t>
      </w:r>
      <w:r w:rsidR="00247196" w:rsidRPr="0090649A">
        <w:rPr>
          <w:rFonts w:ascii="Verdana" w:hAnsi="Verdana" w:cs="Arial"/>
          <w:sz w:val="20"/>
          <w:szCs w:val="20"/>
          <w:lang w:val="es-CR"/>
        </w:rPr>
        <w:t xml:space="preserve">en el sentido </w:t>
      </w:r>
      <w:r w:rsidR="00C25806" w:rsidRPr="0090649A">
        <w:rPr>
          <w:rFonts w:ascii="Verdana" w:hAnsi="Verdana" w:cs="Arial"/>
          <w:sz w:val="20"/>
          <w:szCs w:val="20"/>
          <w:lang w:val="es-CR"/>
        </w:rPr>
        <w:t xml:space="preserve">de que el Estado </w:t>
      </w:r>
      <w:r w:rsidR="00247196" w:rsidRPr="0090649A">
        <w:rPr>
          <w:rFonts w:ascii="Verdana" w:hAnsi="Verdana" w:cs="Arial"/>
          <w:sz w:val="20"/>
          <w:szCs w:val="20"/>
          <w:lang w:val="es-CR"/>
        </w:rPr>
        <w:t>ha contado y cuenta con la capacidad para reponer a las víctimas</w:t>
      </w:r>
      <w:r w:rsidR="00914EC6">
        <w:rPr>
          <w:rFonts w:ascii="Verdana" w:hAnsi="Verdana" w:cs="Arial"/>
          <w:sz w:val="20"/>
          <w:szCs w:val="20"/>
          <w:lang w:val="es-CR"/>
        </w:rPr>
        <w:t xml:space="preserve"> en cargos similares</w:t>
      </w:r>
      <w:r w:rsidR="000978BB" w:rsidRPr="0090649A">
        <w:rPr>
          <w:rStyle w:val="Refdenotaalpie"/>
          <w:rFonts w:ascii="Verdana" w:hAnsi="Verdana" w:cs="Arial"/>
          <w:sz w:val="20"/>
          <w:szCs w:val="20"/>
          <w:lang w:val="es-CR"/>
        </w:rPr>
        <w:footnoteReference w:id="28"/>
      </w:r>
      <w:r w:rsidR="00247196" w:rsidRPr="0090649A">
        <w:rPr>
          <w:rFonts w:ascii="Verdana" w:hAnsi="Verdana" w:cs="Arial"/>
          <w:sz w:val="20"/>
          <w:szCs w:val="20"/>
          <w:lang w:val="es-CR"/>
        </w:rPr>
        <w:t xml:space="preserve"> </w:t>
      </w:r>
      <w:r w:rsidR="00D0509D" w:rsidRPr="0090649A">
        <w:rPr>
          <w:rFonts w:ascii="Verdana" w:hAnsi="Verdana" w:cs="Arial"/>
          <w:sz w:val="20"/>
          <w:szCs w:val="20"/>
          <w:lang w:val="es-CR"/>
        </w:rPr>
        <w:t>(</w:t>
      </w:r>
      <w:r w:rsidR="00D0509D" w:rsidRPr="0090649A">
        <w:rPr>
          <w:rFonts w:ascii="Verdana" w:hAnsi="Verdana" w:cs="Arial"/>
          <w:i/>
          <w:sz w:val="20"/>
          <w:szCs w:val="20"/>
          <w:lang w:val="es-CR"/>
        </w:rPr>
        <w:t>supra</w:t>
      </w:r>
      <w:r w:rsidR="00D0509D" w:rsidRPr="0090649A">
        <w:rPr>
          <w:rFonts w:ascii="Verdana" w:hAnsi="Verdana" w:cs="Arial"/>
          <w:sz w:val="20"/>
          <w:szCs w:val="20"/>
          <w:lang w:val="es-CR"/>
        </w:rPr>
        <w:t xml:space="preserve"> Considerandos </w:t>
      </w:r>
      <w:r w:rsidR="000F4D3B" w:rsidRPr="0090649A">
        <w:rPr>
          <w:rFonts w:ascii="Verdana" w:hAnsi="Verdana" w:cs="Arial"/>
          <w:sz w:val="20"/>
          <w:szCs w:val="20"/>
          <w:lang w:val="es-CR"/>
        </w:rPr>
        <w:t>6, 8 y 11</w:t>
      </w:r>
      <w:r w:rsidR="00D0509D" w:rsidRPr="0090649A">
        <w:rPr>
          <w:rFonts w:ascii="Verdana" w:hAnsi="Verdana" w:cs="Arial"/>
          <w:sz w:val="20"/>
          <w:szCs w:val="20"/>
          <w:lang w:val="es-CR"/>
        </w:rPr>
        <w:t>)</w:t>
      </w:r>
      <w:r w:rsidR="00E07225" w:rsidRPr="0090649A">
        <w:rPr>
          <w:rFonts w:ascii="Verdana" w:hAnsi="Verdana" w:cs="Arial"/>
          <w:sz w:val="20"/>
          <w:szCs w:val="20"/>
          <w:lang w:val="es-CR"/>
        </w:rPr>
        <w:t xml:space="preserve">. </w:t>
      </w:r>
    </w:p>
    <w:p w:rsidR="00D824D6" w:rsidRPr="0090649A" w:rsidRDefault="00D824D6" w:rsidP="00B4241A">
      <w:pPr>
        <w:pStyle w:val="Sombreadovistoso-nfasis3"/>
        <w:tabs>
          <w:tab w:val="left" w:pos="709"/>
        </w:tabs>
        <w:spacing w:after="0" w:line="240" w:lineRule="auto"/>
        <w:ind w:left="0"/>
        <w:contextualSpacing w:val="0"/>
        <w:jc w:val="both"/>
        <w:rPr>
          <w:rFonts w:ascii="Verdana" w:hAnsi="Verdana" w:cs="Arial"/>
          <w:sz w:val="20"/>
          <w:szCs w:val="20"/>
          <w:lang w:val="es-CR"/>
        </w:rPr>
      </w:pPr>
    </w:p>
    <w:p w:rsidR="00247196" w:rsidRPr="0090649A" w:rsidRDefault="00247196" w:rsidP="00453D58">
      <w:pPr>
        <w:numPr>
          <w:ilvl w:val="0"/>
          <w:numId w:val="17"/>
        </w:numPr>
        <w:tabs>
          <w:tab w:val="left" w:pos="709"/>
        </w:tabs>
        <w:spacing w:after="0" w:line="240" w:lineRule="auto"/>
        <w:ind w:left="0" w:firstLine="0"/>
        <w:jc w:val="both"/>
        <w:rPr>
          <w:rFonts w:ascii="Verdana" w:hAnsi="Verdana" w:cs="Arial"/>
          <w:sz w:val="20"/>
          <w:szCs w:val="20"/>
          <w:lang w:val="es-CR"/>
        </w:rPr>
      </w:pPr>
      <w:r w:rsidRPr="0090649A">
        <w:rPr>
          <w:rFonts w:ascii="Verdana" w:hAnsi="Verdana" w:cs="Arial"/>
          <w:sz w:val="20"/>
          <w:szCs w:val="20"/>
          <w:lang w:val="es-CR"/>
        </w:rPr>
        <w:t xml:space="preserve">Previo a analizar tales posiciones de las partes sobre el segundo argumento, la Corte destaca que los puestos que ocupaban las víctimas López Lone y Flores Lanza al momento de las violaciones eran, respectivamente, los </w:t>
      </w:r>
      <w:r w:rsidRPr="0090649A">
        <w:rPr>
          <w:rFonts w:ascii="Verdana" w:hAnsi="Verdana"/>
          <w:sz w:val="20"/>
          <w:szCs w:val="20"/>
          <w:lang w:val="es-CR"/>
        </w:rPr>
        <w:t>de juez</w:t>
      </w:r>
      <w:r w:rsidR="00914EC6">
        <w:rPr>
          <w:rFonts w:ascii="Verdana" w:hAnsi="Verdana"/>
          <w:sz w:val="20"/>
          <w:szCs w:val="20"/>
          <w:lang w:val="es-CR"/>
        </w:rPr>
        <w:t xml:space="preserve"> penal</w:t>
      </w:r>
      <w:r w:rsidRPr="0090649A">
        <w:rPr>
          <w:rFonts w:ascii="Verdana" w:hAnsi="Verdana"/>
          <w:sz w:val="20"/>
          <w:szCs w:val="20"/>
          <w:lang w:val="es-CR"/>
        </w:rPr>
        <w:t xml:space="preserve"> de </w:t>
      </w:r>
      <w:r w:rsidR="00914EC6">
        <w:rPr>
          <w:rFonts w:ascii="Verdana" w:hAnsi="Verdana"/>
          <w:sz w:val="20"/>
          <w:szCs w:val="20"/>
          <w:lang w:val="es-CR"/>
        </w:rPr>
        <w:t>T</w:t>
      </w:r>
      <w:r w:rsidR="00914EC6" w:rsidRPr="0090649A">
        <w:rPr>
          <w:rFonts w:ascii="Verdana" w:hAnsi="Verdana"/>
          <w:sz w:val="20"/>
          <w:szCs w:val="20"/>
          <w:lang w:val="es-CR"/>
        </w:rPr>
        <w:t xml:space="preserve">ribunal </w:t>
      </w:r>
      <w:r w:rsidR="004153D2" w:rsidRPr="0090649A">
        <w:rPr>
          <w:rFonts w:ascii="Verdana" w:hAnsi="Verdana"/>
          <w:sz w:val="20"/>
          <w:szCs w:val="20"/>
          <w:lang w:val="es-CR"/>
        </w:rPr>
        <w:t xml:space="preserve">de </w:t>
      </w:r>
      <w:r w:rsidR="00914EC6">
        <w:rPr>
          <w:rFonts w:ascii="Verdana" w:hAnsi="Verdana"/>
          <w:sz w:val="20"/>
          <w:szCs w:val="20"/>
          <w:lang w:val="es-CR"/>
        </w:rPr>
        <w:t>S</w:t>
      </w:r>
      <w:r w:rsidR="00914EC6" w:rsidRPr="0090649A">
        <w:rPr>
          <w:rFonts w:ascii="Verdana" w:hAnsi="Verdana"/>
          <w:sz w:val="20"/>
          <w:szCs w:val="20"/>
          <w:lang w:val="es-CR"/>
        </w:rPr>
        <w:t xml:space="preserve">entencia </w:t>
      </w:r>
      <w:r w:rsidRPr="0090649A">
        <w:rPr>
          <w:rFonts w:ascii="Verdana" w:hAnsi="Verdana"/>
          <w:sz w:val="20"/>
          <w:szCs w:val="20"/>
          <w:lang w:val="es-CR"/>
        </w:rPr>
        <w:t>y de magistrada de la Corte de Apelaciones</w:t>
      </w:r>
      <w:r w:rsidRPr="0090649A">
        <w:rPr>
          <w:rFonts w:ascii="Verdana" w:hAnsi="Verdana" w:cs="Arial"/>
          <w:sz w:val="20"/>
          <w:szCs w:val="20"/>
          <w:lang w:val="es-CR"/>
        </w:rPr>
        <w:t xml:space="preserve"> en lo Penal, ambos en la ciudad de San Pedro Sula, Departamento de Cortés. Ello implicaba que no revistiera un gran nivel de complejidad para el Poder Judicial de Honduras identificar</w:t>
      </w:r>
      <w:r w:rsidR="00846C37">
        <w:rPr>
          <w:rFonts w:ascii="Verdana" w:hAnsi="Verdana" w:cs="Arial"/>
          <w:sz w:val="20"/>
          <w:szCs w:val="20"/>
          <w:lang w:val="es-CR"/>
        </w:rPr>
        <w:t>,</w:t>
      </w:r>
      <w:r w:rsidRPr="0090649A">
        <w:rPr>
          <w:rFonts w:ascii="Verdana" w:hAnsi="Verdana" w:cs="Arial"/>
          <w:sz w:val="20"/>
          <w:szCs w:val="20"/>
          <w:lang w:val="es-CR"/>
        </w:rPr>
        <w:t xml:space="preserve"> en el plazo de un año</w:t>
      </w:r>
      <w:r w:rsidR="00846C37">
        <w:rPr>
          <w:rFonts w:ascii="Verdana" w:hAnsi="Verdana" w:cs="Arial"/>
          <w:sz w:val="20"/>
          <w:szCs w:val="20"/>
          <w:lang w:val="es-CR"/>
        </w:rPr>
        <w:t>,</w:t>
      </w:r>
      <w:r w:rsidRPr="0090649A">
        <w:rPr>
          <w:rFonts w:ascii="Verdana" w:hAnsi="Verdana" w:cs="Arial"/>
          <w:sz w:val="20"/>
          <w:szCs w:val="20"/>
          <w:lang w:val="es-CR"/>
        </w:rPr>
        <w:t xml:space="preserve"> </w:t>
      </w:r>
      <w:r w:rsidR="00F22EB3" w:rsidRPr="0090649A">
        <w:rPr>
          <w:rFonts w:ascii="Verdana" w:hAnsi="Verdana" w:cs="Arial"/>
          <w:sz w:val="20"/>
          <w:szCs w:val="20"/>
          <w:lang w:val="es-CR"/>
        </w:rPr>
        <w:t xml:space="preserve">dos </w:t>
      </w:r>
      <w:r w:rsidRPr="0090649A">
        <w:rPr>
          <w:rFonts w:ascii="Verdana" w:hAnsi="Verdana" w:cs="Arial"/>
          <w:sz w:val="20"/>
          <w:szCs w:val="20"/>
          <w:lang w:val="es-CR"/>
        </w:rPr>
        <w:t xml:space="preserve">puestos similares que pudieran ofrecer a las víctimas para considerar su reposición. Las víctimas no integraban tribunales de una jerarquía para cuyo nombramiento se requiriera de un procedimiento en </w:t>
      </w:r>
      <w:r w:rsidR="00DF1EF0">
        <w:rPr>
          <w:rFonts w:ascii="Verdana" w:hAnsi="Verdana" w:cs="Arial"/>
          <w:sz w:val="20"/>
          <w:szCs w:val="20"/>
          <w:lang w:val="es-CR"/>
        </w:rPr>
        <w:t xml:space="preserve">el </w:t>
      </w:r>
      <w:r w:rsidRPr="0090649A">
        <w:rPr>
          <w:rFonts w:ascii="Verdana" w:hAnsi="Verdana" w:cs="Arial"/>
          <w:sz w:val="20"/>
          <w:szCs w:val="20"/>
          <w:lang w:val="es-CR"/>
        </w:rPr>
        <w:t>que participaran otros poderes del Estado, así como tampoco integraban una jurisdicción que hubiere sido objeto de alguna reestructuración o modificación en su conformación o similar.</w:t>
      </w:r>
      <w:r w:rsidR="00516A40" w:rsidRPr="0090649A">
        <w:rPr>
          <w:rFonts w:ascii="Verdana" w:hAnsi="Verdana" w:cs="Arial"/>
          <w:sz w:val="20"/>
          <w:szCs w:val="20"/>
          <w:lang w:val="es-CR"/>
        </w:rPr>
        <w:t xml:space="preserve"> </w:t>
      </w:r>
      <w:r w:rsidRPr="0090649A">
        <w:rPr>
          <w:rFonts w:ascii="Verdana" w:hAnsi="Verdana" w:cs="Arial"/>
          <w:sz w:val="20"/>
          <w:szCs w:val="20"/>
          <w:lang w:val="es-CR"/>
        </w:rPr>
        <w:t>Si la Corte Interamericana hubiere considerado que había un alto nivel de complejidad o una imposibilidad</w:t>
      </w:r>
      <w:r w:rsidR="00516A40" w:rsidRPr="0090649A">
        <w:rPr>
          <w:rFonts w:ascii="Verdana" w:hAnsi="Verdana" w:cs="Arial"/>
          <w:sz w:val="20"/>
          <w:szCs w:val="20"/>
          <w:lang w:val="es-CR"/>
        </w:rPr>
        <w:t xml:space="preserve"> de ordenar al Estado </w:t>
      </w:r>
      <w:r w:rsidR="00E1423C">
        <w:rPr>
          <w:rFonts w:ascii="Verdana" w:hAnsi="Verdana" w:cs="Arial"/>
          <w:sz w:val="20"/>
          <w:szCs w:val="20"/>
          <w:lang w:val="es-CR"/>
        </w:rPr>
        <w:t>la reincorporación</w:t>
      </w:r>
      <w:r w:rsidRPr="0090649A">
        <w:rPr>
          <w:rFonts w:ascii="Verdana" w:hAnsi="Verdana" w:cs="Arial"/>
          <w:sz w:val="20"/>
          <w:szCs w:val="20"/>
          <w:lang w:val="es-CR"/>
        </w:rPr>
        <w:t xml:space="preserve"> </w:t>
      </w:r>
      <w:r w:rsidR="00E1423C">
        <w:rPr>
          <w:rFonts w:ascii="Verdana" w:hAnsi="Verdana" w:cs="Arial"/>
          <w:sz w:val="20"/>
          <w:szCs w:val="20"/>
          <w:lang w:val="es-CR"/>
        </w:rPr>
        <w:t>de</w:t>
      </w:r>
      <w:r w:rsidRPr="0090649A">
        <w:rPr>
          <w:rFonts w:ascii="Verdana" w:hAnsi="Verdana" w:cs="Arial"/>
          <w:sz w:val="20"/>
          <w:szCs w:val="20"/>
          <w:lang w:val="es-CR"/>
        </w:rPr>
        <w:t xml:space="preserve"> las víctimas, habría ordenado directamente una indemnización en lugar de</w:t>
      </w:r>
      <w:r w:rsidR="00E1423C">
        <w:rPr>
          <w:rFonts w:ascii="Verdana" w:hAnsi="Verdana" w:cs="Arial"/>
          <w:sz w:val="20"/>
          <w:szCs w:val="20"/>
          <w:lang w:val="es-CR"/>
        </w:rPr>
        <w:t xml:space="preserve"> </w:t>
      </w:r>
      <w:r w:rsidRPr="0090649A">
        <w:rPr>
          <w:rFonts w:ascii="Verdana" w:hAnsi="Verdana" w:cs="Arial"/>
          <w:sz w:val="20"/>
          <w:szCs w:val="20"/>
          <w:lang w:val="es-CR"/>
        </w:rPr>
        <w:t>l</w:t>
      </w:r>
      <w:r w:rsidR="00E1423C">
        <w:rPr>
          <w:rFonts w:ascii="Verdana" w:hAnsi="Verdana" w:cs="Arial"/>
          <w:sz w:val="20"/>
          <w:szCs w:val="20"/>
          <w:lang w:val="es-CR"/>
        </w:rPr>
        <w:t>a</w:t>
      </w:r>
      <w:r w:rsidRPr="0090649A">
        <w:rPr>
          <w:rFonts w:ascii="Verdana" w:hAnsi="Verdana" w:cs="Arial"/>
          <w:sz w:val="20"/>
          <w:szCs w:val="20"/>
          <w:lang w:val="es-CR"/>
        </w:rPr>
        <w:t xml:space="preserve"> rein</w:t>
      </w:r>
      <w:r w:rsidR="00E1423C">
        <w:rPr>
          <w:rFonts w:ascii="Verdana" w:hAnsi="Verdana" w:cs="Arial"/>
          <w:sz w:val="20"/>
          <w:szCs w:val="20"/>
          <w:lang w:val="es-CR"/>
        </w:rPr>
        <w:t>corporación</w:t>
      </w:r>
      <w:r w:rsidRPr="0090649A">
        <w:rPr>
          <w:rFonts w:ascii="Verdana" w:hAnsi="Verdana" w:cs="Arial"/>
          <w:sz w:val="20"/>
          <w:szCs w:val="20"/>
          <w:lang w:val="es-CR"/>
        </w:rPr>
        <w:t xml:space="preserve">, como lo ha hecho </w:t>
      </w:r>
      <w:r w:rsidR="00DF1EF0">
        <w:rPr>
          <w:rFonts w:ascii="Verdana" w:hAnsi="Verdana" w:cs="Arial"/>
          <w:sz w:val="20"/>
          <w:szCs w:val="20"/>
          <w:lang w:val="es-CR"/>
        </w:rPr>
        <w:t>anteriormente</w:t>
      </w:r>
      <w:r w:rsidRPr="0090649A">
        <w:rPr>
          <w:rStyle w:val="Refdenotaalpie"/>
          <w:rFonts w:ascii="Verdana" w:hAnsi="Verdana" w:cs="Arial"/>
          <w:sz w:val="20"/>
          <w:szCs w:val="20"/>
          <w:lang w:val="es-CR"/>
        </w:rPr>
        <w:footnoteReference w:id="29"/>
      </w:r>
      <w:r w:rsidRPr="0090649A">
        <w:rPr>
          <w:rFonts w:ascii="Verdana" w:hAnsi="Verdana" w:cs="Arial"/>
          <w:sz w:val="20"/>
          <w:szCs w:val="20"/>
          <w:lang w:val="es-CR"/>
        </w:rPr>
        <w:t xml:space="preserve">, pero claramente eso no sucede en el presente </w:t>
      </w:r>
      <w:r w:rsidR="00E1423C">
        <w:rPr>
          <w:rFonts w:ascii="Verdana" w:hAnsi="Verdana" w:cs="Arial"/>
          <w:sz w:val="20"/>
          <w:szCs w:val="20"/>
          <w:lang w:val="es-CR"/>
        </w:rPr>
        <w:t>caso</w:t>
      </w:r>
      <w:r w:rsidRPr="0090649A">
        <w:rPr>
          <w:rFonts w:ascii="Verdana" w:hAnsi="Verdana" w:cs="Arial"/>
          <w:sz w:val="20"/>
          <w:szCs w:val="20"/>
          <w:lang w:val="es-CR"/>
        </w:rPr>
        <w:t xml:space="preserve">. </w:t>
      </w:r>
    </w:p>
    <w:p w:rsidR="00247196" w:rsidRPr="0090649A" w:rsidRDefault="00247196" w:rsidP="00247196">
      <w:pPr>
        <w:tabs>
          <w:tab w:val="left" w:pos="709"/>
        </w:tabs>
        <w:spacing w:after="0" w:line="240" w:lineRule="auto"/>
        <w:jc w:val="both"/>
        <w:rPr>
          <w:rFonts w:ascii="Verdana" w:hAnsi="Verdana" w:cs="Arial"/>
          <w:sz w:val="20"/>
          <w:szCs w:val="20"/>
          <w:lang w:val="es-CR"/>
        </w:rPr>
      </w:pPr>
    </w:p>
    <w:p w:rsidR="00D0509D" w:rsidRPr="0090649A" w:rsidRDefault="00516A40" w:rsidP="00453D58">
      <w:pPr>
        <w:numPr>
          <w:ilvl w:val="0"/>
          <w:numId w:val="17"/>
        </w:numPr>
        <w:tabs>
          <w:tab w:val="left" w:pos="709"/>
        </w:tabs>
        <w:spacing w:after="0" w:line="240" w:lineRule="auto"/>
        <w:ind w:left="0" w:firstLine="0"/>
        <w:jc w:val="both"/>
        <w:rPr>
          <w:rFonts w:ascii="Verdana" w:hAnsi="Verdana" w:cs="Arial"/>
          <w:sz w:val="20"/>
          <w:szCs w:val="20"/>
          <w:lang w:val="es-CR"/>
        </w:rPr>
      </w:pPr>
      <w:r w:rsidRPr="0090649A">
        <w:rPr>
          <w:rFonts w:ascii="Verdana" w:hAnsi="Verdana"/>
          <w:sz w:val="20"/>
          <w:szCs w:val="20"/>
          <w:lang w:val="es-CR"/>
        </w:rPr>
        <w:t>Con base en la información aportada por las partes</w:t>
      </w:r>
      <w:r w:rsidRPr="0090649A">
        <w:rPr>
          <w:rStyle w:val="Refdenotaalpie"/>
          <w:rFonts w:ascii="Verdana" w:hAnsi="Verdana"/>
          <w:sz w:val="20"/>
          <w:szCs w:val="20"/>
          <w:lang w:val="es-CR"/>
        </w:rPr>
        <w:footnoteReference w:id="30"/>
      </w:r>
      <w:r w:rsidR="00B753DB" w:rsidRPr="0090649A">
        <w:rPr>
          <w:rFonts w:ascii="Verdana" w:hAnsi="Verdana"/>
          <w:sz w:val="20"/>
          <w:szCs w:val="20"/>
          <w:lang w:val="es-CR"/>
        </w:rPr>
        <w:t>, el Tribunal constata que</w:t>
      </w:r>
      <w:r w:rsidRPr="0090649A">
        <w:rPr>
          <w:rFonts w:ascii="Verdana" w:hAnsi="Verdana"/>
          <w:sz w:val="20"/>
          <w:szCs w:val="20"/>
          <w:lang w:val="es-CR"/>
        </w:rPr>
        <w:t xml:space="preserve"> </w:t>
      </w:r>
      <w:r w:rsidRPr="0090649A">
        <w:rPr>
          <w:rFonts w:ascii="Verdana" w:hAnsi="Verdana" w:cs="Arial"/>
          <w:sz w:val="20"/>
          <w:szCs w:val="20"/>
          <w:lang w:val="es-CR"/>
        </w:rPr>
        <w:t>desde que la Sentencia fue notificada a Honduras</w:t>
      </w:r>
      <w:r w:rsidR="00E1423C">
        <w:rPr>
          <w:rFonts w:ascii="Verdana" w:hAnsi="Verdana" w:cs="Arial"/>
          <w:sz w:val="20"/>
          <w:szCs w:val="20"/>
          <w:lang w:val="es-CR"/>
        </w:rPr>
        <w:t xml:space="preserve"> en noviembre de 2015</w:t>
      </w:r>
      <w:r w:rsidRPr="0090649A">
        <w:rPr>
          <w:rFonts w:ascii="Verdana" w:hAnsi="Verdana" w:cs="Arial"/>
          <w:sz w:val="20"/>
          <w:szCs w:val="20"/>
          <w:lang w:val="es-CR"/>
        </w:rPr>
        <w:t>, han existido plazas vacantes o se han creado plazas en el Poder Judicial que no han sido ofrecidas a las víctimas para su consideración</w:t>
      </w:r>
      <w:r w:rsidRPr="0090649A">
        <w:rPr>
          <w:rFonts w:ascii="Verdana" w:hAnsi="Verdana"/>
          <w:sz w:val="20"/>
          <w:szCs w:val="20"/>
          <w:lang w:val="es-CR"/>
        </w:rPr>
        <w:t>. La Corte destaca que c</w:t>
      </w:r>
      <w:r w:rsidR="00D0509D" w:rsidRPr="0090649A">
        <w:rPr>
          <w:rFonts w:ascii="Verdana" w:hAnsi="Verdana"/>
          <w:sz w:val="20"/>
          <w:szCs w:val="20"/>
          <w:lang w:val="es-CR"/>
        </w:rPr>
        <w:t xml:space="preserve">ada vez que </w:t>
      </w:r>
      <w:r w:rsidRPr="0090649A">
        <w:rPr>
          <w:rFonts w:ascii="Verdana" w:hAnsi="Verdana"/>
          <w:sz w:val="20"/>
          <w:szCs w:val="20"/>
          <w:lang w:val="es-CR"/>
        </w:rPr>
        <w:t xml:space="preserve">el Estado </w:t>
      </w:r>
      <w:r w:rsidR="00D0509D" w:rsidRPr="0090649A">
        <w:rPr>
          <w:rFonts w:ascii="Verdana" w:hAnsi="Verdana"/>
          <w:sz w:val="20"/>
          <w:szCs w:val="20"/>
          <w:lang w:val="es-CR"/>
        </w:rPr>
        <w:t>ha afirmado que no cuenta con cargos “acordes” a los que desempeñaban las víctimas</w:t>
      </w:r>
      <w:r w:rsidR="00666E0D">
        <w:rPr>
          <w:rFonts w:ascii="Verdana" w:hAnsi="Verdana"/>
          <w:sz w:val="20"/>
          <w:szCs w:val="20"/>
          <w:lang w:val="es-CR"/>
        </w:rPr>
        <w:t xml:space="preserve"> (</w:t>
      </w:r>
      <w:r w:rsidR="00666E0D">
        <w:rPr>
          <w:rFonts w:ascii="Verdana" w:hAnsi="Verdana"/>
          <w:i/>
          <w:sz w:val="20"/>
          <w:szCs w:val="20"/>
          <w:lang w:val="es-CR"/>
        </w:rPr>
        <w:t xml:space="preserve">supra </w:t>
      </w:r>
      <w:r w:rsidR="00666E0D">
        <w:rPr>
          <w:rFonts w:ascii="Verdana" w:hAnsi="Verdana"/>
          <w:sz w:val="20"/>
          <w:szCs w:val="20"/>
          <w:lang w:val="es-CR"/>
        </w:rPr>
        <w:t>Considerandos 4 y 10)</w:t>
      </w:r>
      <w:r w:rsidR="00D0509D" w:rsidRPr="0090649A">
        <w:rPr>
          <w:rFonts w:ascii="Verdana" w:hAnsi="Verdana"/>
          <w:sz w:val="20"/>
          <w:szCs w:val="20"/>
          <w:lang w:val="es-CR"/>
        </w:rPr>
        <w:t xml:space="preserve"> no ha explicado qué entiende por </w:t>
      </w:r>
      <w:r w:rsidR="00666E0D">
        <w:rPr>
          <w:rFonts w:ascii="Verdana" w:hAnsi="Verdana"/>
          <w:sz w:val="20"/>
          <w:szCs w:val="20"/>
          <w:lang w:val="es-CR"/>
        </w:rPr>
        <w:t>“</w:t>
      </w:r>
      <w:r w:rsidR="00D0509D" w:rsidRPr="0090649A">
        <w:rPr>
          <w:rFonts w:ascii="Verdana" w:hAnsi="Verdana"/>
          <w:sz w:val="20"/>
          <w:szCs w:val="20"/>
          <w:lang w:val="es-CR"/>
        </w:rPr>
        <w:t>cargo</w:t>
      </w:r>
      <w:r w:rsidR="00666E0D">
        <w:rPr>
          <w:rFonts w:ascii="Verdana" w:hAnsi="Verdana"/>
          <w:sz w:val="20"/>
          <w:szCs w:val="20"/>
          <w:lang w:val="es-CR"/>
        </w:rPr>
        <w:t>s</w:t>
      </w:r>
      <w:r w:rsidR="00D0509D" w:rsidRPr="0090649A">
        <w:rPr>
          <w:rFonts w:ascii="Verdana" w:hAnsi="Verdana"/>
          <w:sz w:val="20"/>
          <w:szCs w:val="20"/>
          <w:lang w:val="es-CR"/>
        </w:rPr>
        <w:t xml:space="preserve"> similar</w:t>
      </w:r>
      <w:r w:rsidR="00666E0D">
        <w:rPr>
          <w:rFonts w:ascii="Verdana" w:hAnsi="Verdana"/>
          <w:sz w:val="20"/>
          <w:szCs w:val="20"/>
          <w:lang w:val="es-CR"/>
        </w:rPr>
        <w:t>es” (</w:t>
      </w:r>
      <w:r w:rsidR="00666E0D">
        <w:rPr>
          <w:rFonts w:ascii="Verdana" w:hAnsi="Verdana"/>
          <w:i/>
          <w:sz w:val="20"/>
          <w:szCs w:val="20"/>
          <w:lang w:val="es-CR"/>
        </w:rPr>
        <w:t xml:space="preserve">supra </w:t>
      </w:r>
      <w:r w:rsidR="00666E0D">
        <w:rPr>
          <w:rFonts w:ascii="Verdana" w:hAnsi="Verdana"/>
          <w:sz w:val="20"/>
          <w:szCs w:val="20"/>
          <w:lang w:val="es-CR"/>
        </w:rPr>
        <w:t>Considerando 3)</w:t>
      </w:r>
      <w:r w:rsidR="00D0509D" w:rsidRPr="0090649A">
        <w:rPr>
          <w:rFonts w:ascii="Verdana" w:hAnsi="Verdana"/>
          <w:sz w:val="20"/>
          <w:szCs w:val="20"/>
          <w:lang w:val="es-CR"/>
        </w:rPr>
        <w:t xml:space="preserve">. </w:t>
      </w:r>
      <w:r w:rsidR="00247196" w:rsidRPr="0090649A">
        <w:rPr>
          <w:rFonts w:ascii="Verdana" w:hAnsi="Verdana"/>
          <w:sz w:val="20"/>
          <w:szCs w:val="20"/>
          <w:lang w:val="es-CR"/>
        </w:rPr>
        <w:t>Los</w:t>
      </w:r>
      <w:r w:rsidR="00D0509D" w:rsidRPr="0090649A">
        <w:rPr>
          <w:rFonts w:ascii="Verdana" w:hAnsi="Verdana"/>
          <w:sz w:val="20"/>
          <w:szCs w:val="20"/>
          <w:lang w:val="es-CR"/>
        </w:rPr>
        <w:t xml:space="preserve"> únic</w:t>
      </w:r>
      <w:r w:rsidR="00247196" w:rsidRPr="0090649A">
        <w:rPr>
          <w:rFonts w:ascii="Verdana" w:hAnsi="Verdana"/>
          <w:sz w:val="20"/>
          <w:szCs w:val="20"/>
          <w:lang w:val="es-CR"/>
        </w:rPr>
        <w:t xml:space="preserve">os </w:t>
      </w:r>
      <w:r w:rsidR="00D0509D" w:rsidRPr="0090649A">
        <w:rPr>
          <w:rFonts w:ascii="Verdana" w:hAnsi="Verdana"/>
          <w:sz w:val="20"/>
          <w:szCs w:val="20"/>
          <w:lang w:val="es-CR"/>
        </w:rPr>
        <w:t>documentos aportados en sustento de esa afirmación</w:t>
      </w:r>
      <w:r w:rsidR="00F22EB3" w:rsidRPr="0090649A">
        <w:rPr>
          <w:rFonts w:ascii="Verdana" w:hAnsi="Verdana"/>
          <w:sz w:val="20"/>
          <w:szCs w:val="20"/>
          <w:lang w:val="es-CR"/>
        </w:rPr>
        <w:t xml:space="preserve"> son</w:t>
      </w:r>
      <w:r w:rsidR="00247196" w:rsidRPr="0090649A">
        <w:rPr>
          <w:rFonts w:ascii="Verdana" w:hAnsi="Verdana"/>
          <w:sz w:val="20"/>
          <w:szCs w:val="20"/>
          <w:lang w:val="es-CR"/>
        </w:rPr>
        <w:t xml:space="preserve"> la “Opinión” suscrita el 24 de febrero de 2017 por el Director de Administración de Personal de la Carrera Judicial del Poder Judicial hondureño, en la que afirma que </w:t>
      </w:r>
      <w:r w:rsidR="00DF1EF0">
        <w:rPr>
          <w:rFonts w:ascii="Verdana" w:hAnsi="Verdana"/>
          <w:sz w:val="20"/>
          <w:szCs w:val="20"/>
          <w:lang w:val="es-CR"/>
        </w:rPr>
        <w:t>“es materialmente imposible la reincorporación”</w:t>
      </w:r>
      <w:r w:rsidR="00247196" w:rsidRPr="0090649A">
        <w:rPr>
          <w:rFonts w:ascii="Verdana" w:hAnsi="Verdana"/>
          <w:sz w:val="20"/>
          <w:szCs w:val="20"/>
          <w:lang w:val="es-CR"/>
        </w:rPr>
        <w:t xml:space="preserve"> al Poder Judicial de las víctimas, así como un oficio de la Dirección de Administración de Personal con información respecto de las </w:t>
      </w:r>
      <w:r w:rsidR="00DF1EF0">
        <w:rPr>
          <w:rFonts w:ascii="Verdana" w:hAnsi="Verdana"/>
          <w:sz w:val="20"/>
          <w:szCs w:val="20"/>
          <w:lang w:val="es-CR"/>
        </w:rPr>
        <w:t>“</w:t>
      </w:r>
      <w:r w:rsidR="00247196" w:rsidRPr="0090649A">
        <w:rPr>
          <w:rFonts w:ascii="Verdana" w:hAnsi="Verdana"/>
          <w:sz w:val="20"/>
          <w:szCs w:val="20"/>
          <w:lang w:val="es-CR"/>
        </w:rPr>
        <w:t>plazas vacantes permanentes</w:t>
      </w:r>
      <w:r w:rsidR="00DF1EF0">
        <w:rPr>
          <w:rFonts w:ascii="Verdana" w:hAnsi="Verdana"/>
          <w:sz w:val="20"/>
          <w:szCs w:val="20"/>
          <w:lang w:val="es-CR"/>
        </w:rPr>
        <w:t>”</w:t>
      </w:r>
      <w:r w:rsidR="00247196" w:rsidRPr="0090649A">
        <w:rPr>
          <w:rFonts w:ascii="Verdana" w:hAnsi="Verdana"/>
          <w:sz w:val="20"/>
          <w:szCs w:val="20"/>
          <w:lang w:val="es-CR"/>
        </w:rPr>
        <w:t xml:space="preserve"> existentes al 24 de febrero de 2017</w:t>
      </w:r>
      <w:r w:rsidR="008B4DF1" w:rsidRPr="0090649A">
        <w:rPr>
          <w:rStyle w:val="Refdenotaalpie"/>
          <w:rFonts w:ascii="Verdana" w:hAnsi="Verdana"/>
          <w:sz w:val="20"/>
          <w:szCs w:val="20"/>
          <w:lang w:val="es-CR"/>
        </w:rPr>
        <w:footnoteReference w:id="31"/>
      </w:r>
      <w:r w:rsidR="00247196" w:rsidRPr="0090649A">
        <w:rPr>
          <w:rFonts w:ascii="Verdana" w:hAnsi="Verdana"/>
          <w:sz w:val="20"/>
          <w:szCs w:val="20"/>
          <w:lang w:val="es-CR"/>
        </w:rPr>
        <w:t xml:space="preserve">. </w:t>
      </w:r>
      <w:r w:rsidR="00F22EB3" w:rsidRPr="0090649A">
        <w:rPr>
          <w:rFonts w:ascii="Verdana" w:hAnsi="Verdana"/>
          <w:sz w:val="20"/>
          <w:szCs w:val="20"/>
          <w:lang w:val="es-CR"/>
        </w:rPr>
        <w:t>El Estado no ha proporcionado documento ni explicación alguna que realice un análisis comparativo entre las condiciones de los cargos que ocupaban las dos víctimas</w:t>
      </w:r>
      <w:r w:rsidR="00D0509D" w:rsidRPr="0090649A">
        <w:rPr>
          <w:rFonts w:ascii="Verdana" w:hAnsi="Verdana"/>
          <w:sz w:val="20"/>
          <w:szCs w:val="20"/>
          <w:lang w:val="es-CR"/>
        </w:rPr>
        <w:t xml:space="preserve"> </w:t>
      </w:r>
      <w:r w:rsidR="00F22EB3" w:rsidRPr="0090649A">
        <w:rPr>
          <w:rFonts w:ascii="Verdana" w:hAnsi="Verdana"/>
          <w:sz w:val="20"/>
          <w:szCs w:val="20"/>
          <w:lang w:val="es-CR"/>
        </w:rPr>
        <w:t>con las de las plazas vacantes</w:t>
      </w:r>
      <w:r w:rsidR="00C25806" w:rsidRPr="0090649A">
        <w:rPr>
          <w:rFonts w:ascii="Verdana" w:hAnsi="Verdana"/>
          <w:sz w:val="20"/>
          <w:szCs w:val="20"/>
          <w:lang w:val="es-CR"/>
        </w:rPr>
        <w:t xml:space="preserve">, de manera que </w:t>
      </w:r>
      <w:r w:rsidR="00F22EB3" w:rsidRPr="0090649A">
        <w:rPr>
          <w:rFonts w:ascii="Verdana" w:hAnsi="Verdana"/>
          <w:sz w:val="20"/>
          <w:szCs w:val="20"/>
          <w:lang w:val="es-CR"/>
        </w:rPr>
        <w:t xml:space="preserve">permita entender por qué ninguna de estas últimas puede ser ofrecida a las víctimas para su consideración. </w:t>
      </w:r>
      <w:r w:rsidR="00D0509D" w:rsidRPr="0090649A">
        <w:rPr>
          <w:rFonts w:ascii="Verdana" w:hAnsi="Verdana"/>
          <w:sz w:val="20"/>
          <w:szCs w:val="20"/>
          <w:lang w:val="es-CR"/>
        </w:rPr>
        <w:t>Honduras</w:t>
      </w:r>
      <w:r w:rsidR="00F22EB3" w:rsidRPr="0090649A">
        <w:rPr>
          <w:rFonts w:ascii="Verdana" w:hAnsi="Verdana"/>
          <w:sz w:val="20"/>
          <w:szCs w:val="20"/>
          <w:lang w:val="es-CR"/>
        </w:rPr>
        <w:t xml:space="preserve"> tampoco refutó la información brindada por </w:t>
      </w:r>
      <w:r w:rsidR="008D6DFB" w:rsidRPr="0090649A">
        <w:rPr>
          <w:rFonts w:ascii="Verdana" w:hAnsi="Verdana"/>
          <w:sz w:val="20"/>
          <w:szCs w:val="20"/>
          <w:lang w:val="es-CR"/>
        </w:rPr>
        <w:t>las representantes</w:t>
      </w:r>
      <w:r w:rsidR="00F22EB3" w:rsidRPr="0090649A">
        <w:rPr>
          <w:rFonts w:ascii="Verdana" w:hAnsi="Verdana"/>
          <w:sz w:val="20"/>
          <w:szCs w:val="20"/>
          <w:lang w:val="es-CR"/>
        </w:rPr>
        <w:t xml:space="preserve"> de las víctimas</w:t>
      </w:r>
      <w:r w:rsidR="00DF1EF0">
        <w:rPr>
          <w:rStyle w:val="Refdenotaalpie"/>
          <w:rFonts w:ascii="Verdana" w:hAnsi="Verdana"/>
          <w:sz w:val="20"/>
          <w:szCs w:val="20"/>
          <w:lang w:val="es-CR"/>
        </w:rPr>
        <w:footnoteReference w:id="32"/>
      </w:r>
      <w:r w:rsidR="00F22EB3" w:rsidRPr="0090649A">
        <w:rPr>
          <w:rFonts w:ascii="Verdana" w:hAnsi="Verdana"/>
          <w:sz w:val="20"/>
          <w:szCs w:val="20"/>
          <w:lang w:val="es-CR"/>
        </w:rPr>
        <w:t xml:space="preserve"> </w:t>
      </w:r>
      <w:r w:rsidR="00493B0E" w:rsidRPr="0090649A">
        <w:rPr>
          <w:rFonts w:ascii="Verdana" w:hAnsi="Verdana"/>
          <w:sz w:val="20"/>
          <w:szCs w:val="20"/>
          <w:lang w:val="es-CR"/>
        </w:rPr>
        <w:t>respecto a que algunas de las plazas vacantes corresponden a la ciudad de San Pedro Sula y podrían haber sido ofrecidas al señor López Lone</w:t>
      </w:r>
      <w:r w:rsidR="00D0509D" w:rsidRPr="0090649A">
        <w:rPr>
          <w:rFonts w:ascii="Verdana" w:hAnsi="Verdana"/>
          <w:sz w:val="20"/>
          <w:szCs w:val="20"/>
          <w:lang w:val="es-CR"/>
        </w:rPr>
        <w:t xml:space="preserve">. </w:t>
      </w:r>
    </w:p>
    <w:p w:rsidR="00D0509D" w:rsidRPr="0090649A" w:rsidRDefault="00D0509D" w:rsidP="00B4241A">
      <w:pPr>
        <w:pStyle w:val="Sombreadovistoso-nfasis3"/>
        <w:tabs>
          <w:tab w:val="left" w:pos="709"/>
        </w:tabs>
        <w:spacing w:after="0" w:line="240" w:lineRule="auto"/>
        <w:ind w:left="0"/>
        <w:contextualSpacing w:val="0"/>
        <w:jc w:val="both"/>
        <w:rPr>
          <w:rFonts w:ascii="Verdana" w:hAnsi="Verdana" w:cs="Arial"/>
          <w:sz w:val="20"/>
          <w:szCs w:val="20"/>
          <w:lang w:val="es-CR"/>
        </w:rPr>
      </w:pPr>
    </w:p>
    <w:p w:rsidR="00B102F6" w:rsidRPr="0090649A" w:rsidRDefault="00BD4214" w:rsidP="00453D58">
      <w:pPr>
        <w:numPr>
          <w:ilvl w:val="0"/>
          <w:numId w:val="17"/>
        </w:numPr>
        <w:tabs>
          <w:tab w:val="left" w:pos="709"/>
        </w:tabs>
        <w:spacing w:after="0" w:line="240" w:lineRule="auto"/>
        <w:ind w:left="0" w:firstLine="0"/>
        <w:jc w:val="both"/>
        <w:rPr>
          <w:rFonts w:ascii="Verdana" w:hAnsi="Verdana" w:cs="Arial"/>
          <w:sz w:val="20"/>
          <w:szCs w:val="20"/>
          <w:lang w:val="es-CR"/>
        </w:rPr>
      </w:pPr>
      <w:r w:rsidRPr="0090649A">
        <w:rPr>
          <w:rFonts w:ascii="Verdana" w:hAnsi="Verdana"/>
          <w:sz w:val="20"/>
          <w:szCs w:val="20"/>
          <w:lang w:val="es-CR"/>
        </w:rPr>
        <w:t xml:space="preserve">Asimismo, </w:t>
      </w:r>
      <w:r w:rsidR="009F6F1B" w:rsidRPr="0090649A">
        <w:rPr>
          <w:rFonts w:ascii="Verdana" w:hAnsi="Verdana" w:cs="Arial"/>
          <w:sz w:val="20"/>
          <w:szCs w:val="20"/>
          <w:lang w:val="es-CR"/>
        </w:rPr>
        <w:t xml:space="preserve">el </w:t>
      </w:r>
      <w:r w:rsidR="009315EB" w:rsidRPr="0090649A">
        <w:rPr>
          <w:rFonts w:ascii="Verdana" w:hAnsi="Verdana" w:cs="Arial"/>
          <w:sz w:val="20"/>
          <w:szCs w:val="20"/>
          <w:lang w:val="es-CR"/>
        </w:rPr>
        <w:t>Tribunal constata que en el Poder Judicial hondureño se están llevando a cabo tres</w:t>
      </w:r>
      <w:r w:rsidR="00ED7A85" w:rsidRPr="0090649A">
        <w:rPr>
          <w:rFonts w:ascii="Verdana" w:hAnsi="Verdana" w:cs="Arial"/>
          <w:sz w:val="20"/>
          <w:szCs w:val="20"/>
          <w:lang w:val="es-CR"/>
        </w:rPr>
        <w:t xml:space="preserve"> </w:t>
      </w:r>
      <w:r w:rsidR="00ED7A85" w:rsidRPr="0090649A">
        <w:rPr>
          <w:rFonts w:ascii="Verdana" w:hAnsi="Verdana"/>
          <w:sz w:val="20"/>
          <w:szCs w:val="20"/>
          <w:lang w:val="es-CR"/>
        </w:rPr>
        <w:t>proceso</w:t>
      </w:r>
      <w:r w:rsidR="009315EB" w:rsidRPr="0090649A">
        <w:rPr>
          <w:rFonts w:ascii="Verdana" w:hAnsi="Verdana"/>
          <w:sz w:val="20"/>
          <w:szCs w:val="20"/>
          <w:lang w:val="es-CR"/>
        </w:rPr>
        <w:t>s</w:t>
      </w:r>
      <w:r w:rsidR="00ED7A85" w:rsidRPr="0090649A">
        <w:rPr>
          <w:rFonts w:ascii="Verdana" w:hAnsi="Verdana"/>
          <w:sz w:val="20"/>
          <w:szCs w:val="20"/>
          <w:lang w:val="es-CR"/>
        </w:rPr>
        <w:t xml:space="preserve"> interno</w:t>
      </w:r>
      <w:r w:rsidR="009315EB" w:rsidRPr="0090649A">
        <w:rPr>
          <w:rFonts w:ascii="Verdana" w:hAnsi="Verdana"/>
          <w:sz w:val="20"/>
          <w:szCs w:val="20"/>
          <w:lang w:val="es-CR"/>
        </w:rPr>
        <w:t>s</w:t>
      </w:r>
      <w:r w:rsidR="00ED7A85" w:rsidRPr="0090649A">
        <w:rPr>
          <w:rFonts w:ascii="Verdana" w:hAnsi="Verdana"/>
          <w:sz w:val="20"/>
          <w:szCs w:val="20"/>
          <w:lang w:val="es-CR"/>
        </w:rPr>
        <w:t xml:space="preserve"> que estaría</w:t>
      </w:r>
      <w:r w:rsidR="009315EB" w:rsidRPr="0090649A">
        <w:rPr>
          <w:rFonts w:ascii="Verdana" w:hAnsi="Verdana"/>
          <w:sz w:val="20"/>
          <w:szCs w:val="20"/>
          <w:lang w:val="es-CR"/>
        </w:rPr>
        <w:t>n</w:t>
      </w:r>
      <w:r w:rsidR="00ED7A85" w:rsidRPr="0090649A">
        <w:rPr>
          <w:rFonts w:ascii="Verdana" w:hAnsi="Verdana"/>
          <w:sz w:val="20"/>
          <w:szCs w:val="20"/>
          <w:lang w:val="es-CR"/>
        </w:rPr>
        <w:t xml:space="preserve"> abriendo la posibilidad de creación de plazas a corto y mediano plazo</w:t>
      </w:r>
      <w:r w:rsidR="00CA180E" w:rsidRPr="0090649A">
        <w:rPr>
          <w:rFonts w:ascii="Verdana" w:hAnsi="Verdana"/>
          <w:sz w:val="20"/>
          <w:szCs w:val="20"/>
          <w:lang w:val="es-CR"/>
        </w:rPr>
        <w:t>:</w:t>
      </w:r>
      <w:r w:rsidR="009315EB" w:rsidRPr="0090649A">
        <w:rPr>
          <w:rFonts w:ascii="Verdana" w:hAnsi="Verdana"/>
          <w:sz w:val="20"/>
          <w:szCs w:val="20"/>
          <w:lang w:val="es-CR"/>
        </w:rPr>
        <w:t xml:space="preserve"> </w:t>
      </w:r>
      <w:r w:rsidR="00CA180E" w:rsidRPr="0090649A">
        <w:rPr>
          <w:rFonts w:ascii="Verdana" w:hAnsi="Verdana"/>
          <w:sz w:val="20"/>
          <w:szCs w:val="20"/>
          <w:lang w:val="es-CR"/>
        </w:rPr>
        <w:t>i)</w:t>
      </w:r>
      <w:r w:rsidRPr="0090649A">
        <w:rPr>
          <w:rFonts w:ascii="Verdana" w:hAnsi="Verdana"/>
          <w:sz w:val="20"/>
          <w:szCs w:val="20"/>
          <w:lang w:val="es-CR"/>
        </w:rPr>
        <w:t xml:space="preserve"> el Poder Judicial de Honduras tiene previsto en su “Plan Operativo Anual” correspondiente al 2017, la </w:t>
      </w:r>
      <w:r w:rsidR="009315EB" w:rsidRPr="0090649A">
        <w:rPr>
          <w:rFonts w:ascii="Verdana" w:hAnsi="Verdana"/>
          <w:sz w:val="20"/>
          <w:szCs w:val="20"/>
          <w:lang w:val="es-CR"/>
        </w:rPr>
        <w:t>meta de implementar</w:t>
      </w:r>
      <w:r w:rsidRPr="0090649A">
        <w:rPr>
          <w:rFonts w:ascii="Verdana" w:hAnsi="Verdana"/>
          <w:sz w:val="20"/>
          <w:szCs w:val="20"/>
          <w:lang w:val="es-CR"/>
        </w:rPr>
        <w:t xml:space="preserve"> </w:t>
      </w:r>
      <w:r w:rsidR="00DF1EF0">
        <w:rPr>
          <w:rFonts w:ascii="Verdana" w:hAnsi="Verdana"/>
          <w:sz w:val="20"/>
          <w:szCs w:val="20"/>
          <w:lang w:val="es-CR"/>
        </w:rPr>
        <w:t>19</w:t>
      </w:r>
      <w:r w:rsidR="00DF1EF0" w:rsidRPr="0090649A">
        <w:rPr>
          <w:rFonts w:ascii="Verdana" w:hAnsi="Verdana"/>
          <w:sz w:val="20"/>
          <w:szCs w:val="20"/>
          <w:lang w:val="es-CR"/>
        </w:rPr>
        <w:t xml:space="preserve"> </w:t>
      </w:r>
      <w:r w:rsidRPr="0090649A">
        <w:rPr>
          <w:rFonts w:ascii="Verdana" w:hAnsi="Verdana"/>
          <w:sz w:val="20"/>
          <w:szCs w:val="20"/>
          <w:lang w:val="es-CR"/>
        </w:rPr>
        <w:t>juzgados de distintas materias en varias ciudades del país, 2 tribunales de sentencia en la ciudad de Tegucigalpa, 3 cortes de apelaciones en diversas ciudades</w:t>
      </w:r>
      <w:r w:rsidR="00DF1EF0">
        <w:rPr>
          <w:rFonts w:ascii="Verdana" w:hAnsi="Verdana"/>
          <w:sz w:val="20"/>
          <w:szCs w:val="20"/>
          <w:lang w:val="es-CR"/>
        </w:rPr>
        <w:t>, 1 corte de apelaciones con jurisdicción nacional</w:t>
      </w:r>
      <w:r w:rsidRPr="0090649A">
        <w:rPr>
          <w:rFonts w:ascii="Verdana" w:hAnsi="Verdana"/>
          <w:sz w:val="20"/>
          <w:szCs w:val="20"/>
          <w:lang w:val="es-CR"/>
        </w:rPr>
        <w:t xml:space="preserve"> y 1 nueva sala para los tribunales de sentencia de 5 ciudades del país</w:t>
      </w:r>
      <w:r w:rsidRPr="0090649A">
        <w:rPr>
          <w:rStyle w:val="Refdenotaalpie"/>
          <w:rFonts w:ascii="Verdana" w:hAnsi="Verdana"/>
          <w:sz w:val="20"/>
          <w:szCs w:val="20"/>
          <w:lang w:val="es-CR"/>
        </w:rPr>
        <w:footnoteReference w:id="33"/>
      </w:r>
      <w:r w:rsidR="00CA180E" w:rsidRPr="0090649A">
        <w:rPr>
          <w:rFonts w:ascii="Verdana" w:hAnsi="Verdana"/>
          <w:sz w:val="20"/>
          <w:szCs w:val="20"/>
          <w:lang w:val="es-CR"/>
        </w:rPr>
        <w:t>;</w:t>
      </w:r>
      <w:r w:rsidR="009315EB" w:rsidRPr="0090649A">
        <w:rPr>
          <w:rFonts w:ascii="Verdana" w:hAnsi="Verdana"/>
          <w:sz w:val="20"/>
          <w:szCs w:val="20"/>
          <w:lang w:val="es-CR"/>
        </w:rPr>
        <w:t xml:space="preserve"> </w:t>
      </w:r>
      <w:r w:rsidR="00CA180E" w:rsidRPr="0090649A">
        <w:rPr>
          <w:rFonts w:ascii="Verdana" w:hAnsi="Verdana"/>
          <w:sz w:val="20"/>
          <w:szCs w:val="20"/>
          <w:lang w:val="es-CR"/>
        </w:rPr>
        <w:t xml:space="preserve">ii) </w:t>
      </w:r>
      <w:r w:rsidR="009315EB" w:rsidRPr="0090649A">
        <w:rPr>
          <w:rFonts w:ascii="Verdana" w:hAnsi="Verdana"/>
          <w:sz w:val="20"/>
          <w:szCs w:val="20"/>
          <w:lang w:val="es-CR"/>
        </w:rPr>
        <w:t xml:space="preserve">el “Plan Nacional de erradicación de la mora judicial” </w:t>
      </w:r>
      <w:r w:rsidR="00064F95" w:rsidRPr="0090649A">
        <w:rPr>
          <w:rFonts w:ascii="Verdana" w:hAnsi="Verdana"/>
          <w:sz w:val="20"/>
          <w:szCs w:val="20"/>
          <w:lang w:val="es-CR"/>
        </w:rPr>
        <w:t xml:space="preserve">plantea realizar “los procesos de selección y nombramiento </w:t>
      </w:r>
      <w:r w:rsidR="00064F95" w:rsidRPr="0090649A">
        <w:rPr>
          <w:rFonts w:ascii="Verdana" w:hAnsi="Verdana"/>
          <w:sz w:val="20"/>
          <w:szCs w:val="20"/>
          <w:lang w:val="es-CR"/>
        </w:rPr>
        <w:lastRenderedPageBreak/>
        <w:t>de los Jueces y Magistrados que han surgido en las nuevas legislaciones”</w:t>
      </w:r>
      <w:r w:rsidR="00064F95" w:rsidRPr="0090649A">
        <w:rPr>
          <w:rStyle w:val="Refdenotaalpie"/>
          <w:rFonts w:ascii="Verdana" w:hAnsi="Verdana"/>
          <w:sz w:val="20"/>
          <w:szCs w:val="20"/>
          <w:lang w:val="es-CR"/>
        </w:rPr>
        <w:footnoteReference w:id="34"/>
      </w:r>
      <w:r w:rsidR="00064F95" w:rsidRPr="0090649A">
        <w:rPr>
          <w:rFonts w:ascii="Verdana" w:hAnsi="Verdana"/>
          <w:sz w:val="20"/>
          <w:szCs w:val="20"/>
          <w:lang w:val="es-CR"/>
        </w:rPr>
        <w:t>, así como “</w:t>
      </w:r>
      <w:r w:rsidR="00A7130F">
        <w:rPr>
          <w:rFonts w:ascii="Verdana" w:hAnsi="Verdana"/>
          <w:sz w:val="20"/>
          <w:szCs w:val="20"/>
          <w:lang w:val="es-CR"/>
        </w:rPr>
        <w:t>[</w:t>
      </w:r>
      <w:r w:rsidR="00064F95" w:rsidRPr="0090649A">
        <w:rPr>
          <w:rFonts w:ascii="Verdana" w:hAnsi="Verdana"/>
          <w:sz w:val="20"/>
          <w:szCs w:val="20"/>
          <w:lang w:val="es-CR"/>
        </w:rPr>
        <w:t>n</w:t>
      </w:r>
      <w:r w:rsidR="00A7130F">
        <w:rPr>
          <w:rFonts w:ascii="Verdana" w:hAnsi="Verdana"/>
          <w:sz w:val="20"/>
          <w:szCs w:val="20"/>
          <w:lang w:val="es-CR"/>
        </w:rPr>
        <w:t>]</w:t>
      </w:r>
      <w:r w:rsidR="00064F95" w:rsidRPr="0090649A">
        <w:rPr>
          <w:rFonts w:ascii="Verdana" w:hAnsi="Verdana"/>
          <w:sz w:val="20"/>
          <w:szCs w:val="20"/>
          <w:lang w:val="es-CR"/>
        </w:rPr>
        <w:t>ombrar en las plazas que se encuentran vacantes personas que hayan aprobado previamente un proceso de selección</w:t>
      </w:r>
      <w:r w:rsidR="00A7130F">
        <w:rPr>
          <w:rFonts w:ascii="Verdana" w:hAnsi="Verdana"/>
          <w:sz w:val="20"/>
          <w:szCs w:val="20"/>
          <w:lang w:val="es-CR"/>
        </w:rPr>
        <w:t>, salvo casos excepcionales debidamente justificados</w:t>
      </w:r>
      <w:r w:rsidR="00064F95" w:rsidRPr="0090649A">
        <w:rPr>
          <w:rFonts w:ascii="Verdana" w:hAnsi="Verdana"/>
          <w:sz w:val="20"/>
          <w:szCs w:val="20"/>
          <w:lang w:val="es-CR"/>
        </w:rPr>
        <w:t>”</w:t>
      </w:r>
      <w:r w:rsidR="00CA180E" w:rsidRPr="0090649A">
        <w:rPr>
          <w:rFonts w:ascii="Verdana" w:hAnsi="Verdana"/>
          <w:sz w:val="20"/>
          <w:szCs w:val="20"/>
          <w:lang w:val="es-CR"/>
        </w:rPr>
        <w:t>, y iii) la creación de “la jurisdicción nacional anticorrupción”</w:t>
      </w:r>
      <w:r w:rsidR="00A7130F">
        <w:rPr>
          <w:rStyle w:val="Refdenotaalpie"/>
          <w:rFonts w:ascii="Verdana" w:hAnsi="Verdana"/>
          <w:sz w:val="20"/>
          <w:szCs w:val="20"/>
          <w:lang w:val="es-CR"/>
        </w:rPr>
        <w:footnoteReference w:id="35"/>
      </w:r>
      <w:r w:rsidR="00CA180E" w:rsidRPr="0090649A">
        <w:rPr>
          <w:rFonts w:ascii="Verdana" w:hAnsi="Verdana"/>
          <w:sz w:val="20"/>
          <w:szCs w:val="20"/>
          <w:lang w:val="es-CR"/>
        </w:rPr>
        <w:t xml:space="preserve">. </w:t>
      </w:r>
      <w:r w:rsidR="00B102F6" w:rsidRPr="0090649A">
        <w:rPr>
          <w:rFonts w:ascii="Verdana" w:hAnsi="Verdana"/>
          <w:sz w:val="20"/>
          <w:szCs w:val="20"/>
          <w:lang w:val="es-CR"/>
        </w:rPr>
        <w:t xml:space="preserve">Estas medidas tomadas por el Estado para </w:t>
      </w:r>
      <w:r w:rsidR="00CA180E" w:rsidRPr="0090649A">
        <w:rPr>
          <w:rFonts w:ascii="Verdana" w:hAnsi="Verdana"/>
          <w:sz w:val="20"/>
          <w:szCs w:val="20"/>
          <w:lang w:val="es-CR"/>
        </w:rPr>
        <w:t xml:space="preserve">el nombramiento y </w:t>
      </w:r>
      <w:r w:rsidR="00B102F6" w:rsidRPr="0090649A">
        <w:rPr>
          <w:rFonts w:ascii="Verdana" w:hAnsi="Verdana"/>
          <w:sz w:val="20"/>
          <w:szCs w:val="20"/>
          <w:lang w:val="es-CR"/>
        </w:rPr>
        <w:t>creación de plazas de jueces y magistrados</w:t>
      </w:r>
      <w:r w:rsidR="00CA180E" w:rsidRPr="0090649A">
        <w:rPr>
          <w:rFonts w:ascii="Verdana" w:hAnsi="Verdana"/>
          <w:sz w:val="20"/>
          <w:szCs w:val="20"/>
          <w:lang w:val="es-CR"/>
        </w:rPr>
        <w:t xml:space="preserve"> en diversos juzgados y tribunales</w:t>
      </w:r>
      <w:r w:rsidR="00B102F6" w:rsidRPr="0090649A">
        <w:rPr>
          <w:rFonts w:ascii="Verdana" w:hAnsi="Verdana"/>
          <w:sz w:val="20"/>
          <w:szCs w:val="20"/>
          <w:lang w:val="es-CR"/>
        </w:rPr>
        <w:t xml:space="preserve"> también ha</w:t>
      </w:r>
      <w:r w:rsidR="00A7130F">
        <w:rPr>
          <w:rFonts w:ascii="Verdana" w:hAnsi="Verdana"/>
          <w:sz w:val="20"/>
          <w:szCs w:val="20"/>
          <w:lang w:val="es-CR"/>
        </w:rPr>
        <w:t>n</w:t>
      </w:r>
      <w:r w:rsidR="00B102F6" w:rsidRPr="0090649A">
        <w:rPr>
          <w:rFonts w:ascii="Verdana" w:hAnsi="Verdana"/>
          <w:sz w:val="20"/>
          <w:szCs w:val="20"/>
          <w:lang w:val="es-CR"/>
        </w:rPr>
        <w:t xml:space="preserve"> sido documentadas en notas de prensa de medios hondureños aportadas por las representantes</w:t>
      </w:r>
      <w:r w:rsidR="00B102F6" w:rsidRPr="0090649A">
        <w:rPr>
          <w:rStyle w:val="Refdenotaalpie"/>
          <w:rFonts w:ascii="Verdana" w:hAnsi="Verdana"/>
          <w:sz w:val="20"/>
          <w:szCs w:val="20"/>
          <w:lang w:val="es-CR"/>
        </w:rPr>
        <w:footnoteReference w:id="36"/>
      </w:r>
      <w:r w:rsidR="00B102F6" w:rsidRPr="0090649A">
        <w:rPr>
          <w:rFonts w:ascii="Verdana" w:hAnsi="Verdana"/>
          <w:sz w:val="20"/>
          <w:szCs w:val="20"/>
          <w:lang w:val="es-CR"/>
        </w:rPr>
        <w:t xml:space="preserve">. </w:t>
      </w:r>
      <w:r w:rsidR="00C04C6D" w:rsidRPr="0090649A">
        <w:rPr>
          <w:rFonts w:ascii="Verdana" w:hAnsi="Verdana"/>
          <w:sz w:val="20"/>
          <w:szCs w:val="20"/>
          <w:lang w:val="es-CR"/>
        </w:rPr>
        <w:t>E</w:t>
      </w:r>
      <w:r w:rsidR="00CA180E" w:rsidRPr="0090649A">
        <w:rPr>
          <w:rFonts w:ascii="Verdana" w:hAnsi="Verdana"/>
          <w:sz w:val="20"/>
          <w:szCs w:val="20"/>
          <w:lang w:val="es-CR"/>
        </w:rPr>
        <w:t xml:space="preserve">stos datos no </w:t>
      </w:r>
      <w:r w:rsidR="00B974DB" w:rsidRPr="0090649A">
        <w:rPr>
          <w:rFonts w:ascii="Verdana" w:hAnsi="Verdana"/>
          <w:sz w:val="20"/>
          <w:szCs w:val="20"/>
          <w:lang w:val="es-CR"/>
        </w:rPr>
        <w:t>fue</w:t>
      </w:r>
      <w:r w:rsidR="00CA180E" w:rsidRPr="0090649A">
        <w:rPr>
          <w:rFonts w:ascii="Verdana" w:hAnsi="Verdana"/>
          <w:sz w:val="20"/>
          <w:szCs w:val="20"/>
          <w:lang w:val="es-CR"/>
        </w:rPr>
        <w:t>ron controvertidos</w:t>
      </w:r>
      <w:r w:rsidR="00B974DB" w:rsidRPr="0090649A">
        <w:rPr>
          <w:rFonts w:ascii="Verdana" w:hAnsi="Verdana"/>
          <w:sz w:val="20"/>
          <w:szCs w:val="20"/>
          <w:lang w:val="es-CR"/>
        </w:rPr>
        <w:t xml:space="preserve"> por el Estado</w:t>
      </w:r>
      <w:r w:rsidR="00C04C6D" w:rsidRPr="0090649A">
        <w:rPr>
          <w:rFonts w:ascii="Verdana" w:hAnsi="Verdana"/>
          <w:sz w:val="20"/>
          <w:szCs w:val="20"/>
          <w:lang w:val="es-CR"/>
        </w:rPr>
        <w:t xml:space="preserve">. </w:t>
      </w:r>
    </w:p>
    <w:p w:rsidR="009676A6" w:rsidRPr="0090649A" w:rsidRDefault="009676A6" w:rsidP="009676A6">
      <w:pPr>
        <w:tabs>
          <w:tab w:val="left" w:pos="709"/>
        </w:tabs>
        <w:spacing w:after="0" w:line="240" w:lineRule="auto"/>
        <w:jc w:val="both"/>
        <w:rPr>
          <w:rFonts w:ascii="Verdana" w:hAnsi="Verdana" w:cs="Arial"/>
          <w:sz w:val="20"/>
          <w:szCs w:val="20"/>
          <w:lang w:val="es-CR"/>
        </w:rPr>
      </w:pPr>
    </w:p>
    <w:p w:rsidR="00C7601C" w:rsidRPr="0090649A" w:rsidRDefault="00C7601C" w:rsidP="00453D58">
      <w:pPr>
        <w:pStyle w:val="Sombreadovistoso-nfasis3"/>
        <w:numPr>
          <w:ilvl w:val="0"/>
          <w:numId w:val="17"/>
        </w:numPr>
        <w:tabs>
          <w:tab w:val="left" w:pos="709"/>
        </w:tabs>
        <w:spacing w:after="0" w:line="240" w:lineRule="auto"/>
        <w:ind w:left="0" w:firstLine="0"/>
        <w:contextualSpacing w:val="0"/>
        <w:jc w:val="both"/>
        <w:rPr>
          <w:rFonts w:ascii="Verdana" w:hAnsi="Verdana" w:cs="Arial"/>
          <w:sz w:val="20"/>
          <w:szCs w:val="20"/>
          <w:lang w:val="es-CR"/>
        </w:rPr>
      </w:pPr>
      <w:r w:rsidRPr="0090649A">
        <w:rPr>
          <w:rFonts w:ascii="Verdana" w:hAnsi="Verdana"/>
          <w:sz w:val="20"/>
          <w:szCs w:val="20"/>
          <w:lang w:val="es-CR"/>
        </w:rPr>
        <w:t>No obstante lo anterior</w:t>
      </w:r>
      <w:r w:rsidR="00C04C6D" w:rsidRPr="0090649A">
        <w:rPr>
          <w:rFonts w:ascii="Verdana" w:hAnsi="Verdana"/>
          <w:sz w:val="20"/>
          <w:szCs w:val="20"/>
          <w:lang w:val="es-CR"/>
        </w:rPr>
        <w:t xml:space="preserve">, Honduras consideró que las víctimas no pueden ser reincorporadas a través de dos de los referidos procesos </w:t>
      </w:r>
      <w:r w:rsidRPr="0090649A">
        <w:rPr>
          <w:rFonts w:ascii="Verdana" w:hAnsi="Verdana"/>
          <w:sz w:val="20"/>
          <w:szCs w:val="20"/>
          <w:lang w:val="es-CR"/>
        </w:rPr>
        <w:t xml:space="preserve">internos porque: i) </w:t>
      </w:r>
      <w:r w:rsidR="00C04C6D" w:rsidRPr="0090649A">
        <w:rPr>
          <w:rFonts w:ascii="Verdana" w:hAnsi="Verdana"/>
          <w:sz w:val="20"/>
          <w:szCs w:val="20"/>
          <w:lang w:val="es-CR"/>
        </w:rPr>
        <w:t xml:space="preserve">el “Plan Nacional de erradicación de la mora judicial” se está desarrollando </w:t>
      </w:r>
      <w:r w:rsidR="00666E0D">
        <w:rPr>
          <w:rFonts w:ascii="Verdana" w:hAnsi="Verdana"/>
          <w:sz w:val="20"/>
          <w:szCs w:val="20"/>
          <w:lang w:val="es-CR"/>
        </w:rPr>
        <w:t>“</w:t>
      </w:r>
      <w:r w:rsidR="00666E0D" w:rsidRPr="00666E0D">
        <w:rPr>
          <w:rFonts w:ascii="Verdana" w:hAnsi="Verdana"/>
          <w:sz w:val="20"/>
          <w:szCs w:val="20"/>
          <w:lang w:val="es-CR"/>
        </w:rPr>
        <w:t>partiendo de la utilización del personal que labora en el Poder Judicial”</w:t>
      </w:r>
      <w:r w:rsidRPr="0090649A">
        <w:rPr>
          <w:rFonts w:ascii="Verdana" w:hAnsi="Verdana"/>
          <w:sz w:val="20"/>
          <w:szCs w:val="20"/>
          <w:lang w:val="es-CR"/>
        </w:rPr>
        <w:t>,</w:t>
      </w:r>
      <w:r w:rsidR="00C04C6D" w:rsidRPr="0090649A">
        <w:rPr>
          <w:rFonts w:ascii="Verdana" w:hAnsi="Verdana"/>
          <w:sz w:val="20"/>
          <w:szCs w:val="20"/>
          <w:lang w:val="es-CR"/>
        </w:rPr>
        <w:t xml:space="preserve"> y </w:t>
      </w:r>
      <w:r w:rsidRPr="0090649A">
        <w:rPr>
          <w:rFonts w:ascii="Verdana" w:hAnsi="Verdana"/>
          <w:sz w:val="20"/>
          <w:szCs w:val="20"/>
          <w:lang w:val="es-CR"/>
        </w:rPr>
        <w:t>ii)</w:t>
      </w:r>
      <w:r w:rsidR="00C04C6D" w:rsidRPr="0090649A">
        <w:rPr>
          <w:rFonts w:ascii="Verdana" w:hAnsi="Verdana"/>
          <w:sz w:val="20"/>
          <w:szCs w:val="20"/>
          <w:lang w:val="es-CR"/>
        </w:rPr>
        <w:t xml:space="preserve"> la jurisdicción especializada en materia de corrupción está siendo integrada por jueces y magistrados que presentaron un examen de oposición para ser parte de la misma</w:t>
      </w:r>
      <w:r w:rsidRPr="0090649A">
        <w:rPr>
          <w:rStyle w:val="Refdenotaalpie"/>
          <w:rFonts w:ascii="Verdana" w:hAnsi="Verdana"/>
          <w:sz w:val="20"/>
          <w:szCs w:val="20"/>
          <w:lang w:val="es-CR"/>
        </w:rPr>
        <w:footnoteReference w:id="37"/>
      </w:r>
      <w:r w:rsidR="00C04C6D" w:rsidRPr="0090649A">
        <w:rPr>
          <w:rFonts w:ascii="Verdana" w:hAnsi="Verdana"/>
          <w:sz w:val="20"/>
          <w:szCs w:val="20"/>
          <w:lang w:val="es-CR"/>
        </w:rPr>
        <w:t>.</w:t>
      </w:r>
      <w:r w:rsidRPr="0090649A">
        <w:rPr>
          <w:rFonts w:ascii="Verdana" w:hAnsi="Verdana"/>
          <w:sz w:val="20"/>
          <w:szCs w:val="20"/>
          <w:lang w:val="es-CR"/>
        </w:rPr>
        <w:t xml:space="preserve"> </w:t>
      </w:r>
      <w:r w:rsidR="007D6AD7" w:rsidRPr="0090649A">
        <w:rPr>
          <w:rFonts w:ascii="Verdana" w:hAnsi="Verdana"/>
          <w:sz w:val="20"/>
          <w:szCs w:val="20"/>
          <w:lang w:val="es-CR"/>
        </w:rPr>
        <w:t>Al r</w:t>
      </w:r>
      <w:r w:rsidR="00B70BF1" w:rsidRPr="0090649A">
        <w:rPr>
          <w:rFonts w:ascii="Verdana" w:hAnsi="Verdana"/>
          <w:sz w:val="20"/>
          <w:szCs w:val="20"/>
          <w:lang w:val="es-CR"/>
        </w:rPr>
        <w:t>especto</w:t>
      </w:r>
      <w:r w:rsidRPr="0090649A">
        <w:rPr>
          <w:rFonts w:ascii="Verdana" w:hAnsi="Verdana"/>
          <w:sz w:val="20"/>
          <w:szCs w:val="20"/>
          <w:lang w:val="es-CR"/>
        </w:rPr>
        <w:t xml:space="preserve">, el Tribunal recuerda al Estado que las víctimas de este caso serían </w:t>
      </w:r>
      <w:r w:rsidR="006A08C8" w:rsidRPr="0090649A">
        <w:rPr>
          <w:rFonts w:ascii="Verdana" w:hAnsi="Verdana"/>
          <w:sz w:val="20"/>
          <w:szCs w:val="20"/>
          <w:lang w:val="es-CR"/>
        </w:rPr>
        <w:t>funcionaria</w:t>
      </w:r>
      <w:r w:rsidRPr="0090649A">
        <w:rPr>
          <w:rFonts w:ascii="Verdana" w:hAnsi="Verdana"/>
          <w:sz w:val="20"/>
          <w:szCs w:val="20"/>
          <w:lang w:val="es-CR"/>
        </w:rPr>
        <w:t>s del Poder Judicial y, por tanto, elegibles para participar del</w:t>
      </w:r>
      <w:r w:rsidR="00B70BF1" w:rsidRPr="0090649A">
        <w:rPr>
          <w:rFonts w:ascii="Verdana" w:hAnsi="Verdana"/>
          <w:sz w:val="20"/>
          <w:szCs w:val="20"/>
          <w:lang w:val="es-CR"/>
        </w:rPr>
        <w:t xml:space="preserve"> </w:t>
      </w:r>
      <w:r w:rsidRPr="0090649A">
        <w:rPr>
          <w:rFonts w:ascii="Verdana" w:hAnsi="Verdana"/>
          <w:sz w:val="20"/>
          <w:szCs w:val="20"/>
          <w:lang w:val="es-CR"/>
        </w:rPr>
        <w:t>referido p</w:t>
      </w:r>
      <w:r w:rsidR="00C04C6D" w:rsidRPr="0090649A">
        <w:rPr>
          <w:rFonts w:ascii="Verdana" w:hAnsi="Verdana"/>
          <w:sz w:val="20"/>
          <w:szCs w:val="20"/>
          <w:lang w:val="es-CR"/>
        </w:rPr>
        <w:t>lan de erradicación de la mora judicial,</w:t>
      </w:r>
      <w:r w:rsidRPr="0090649A">
        <w:rPr>
          <w:rFonts w:ascii="Verdana" w:hAnsi="Verdana"/>
          <w:sz w:val="20"/>
          <w:szCs w:val="20"/>
          <w:lang w:val="es-CR"/>
        </w:rPr>
        <w:t xml:space="preserve"> si no hubieren sido separadas de sus puestos en </w:t>
      </w:r>
      <w:r w:rsidR="00A7130F">
        <w:rPr>
          <w:rFonts w:ascii="Verdana" w:hAnsi="Verdana"/>
          <w:sz w:val="20"/>
          <w:szCs w:val="20"/>
          <w:lang w:val="es-CR"/>
        </w:rPr>
        <w:t>dicha</w:t>
      </w:r>
      <w:r w:rsidR="00A7130F" w:rsidRPr="0090649A">
        <w:rPr>
          <w:rFonts w:ascii="Verdana" w:hAnsi="Verdana"/>
          <w:sz w:val="20"/>
          <w:szCs w:val="20"/>
          <w:lang w:val="es-CR"/>
        </w:rPr>
        <w:t xml:space="preserve"> </w:t>
      </w:r>
      <w:r w:rsidR="006A08C8" w:rsidRPr="0090649A">
        <w:rPr>
          <w:rFonts w:ascii="Verdana" w:hAnsi="Verdana"/>
          <w:sz w:val="20"/>
          <w:szCs w:val="20"/>
          <w:lang w:val="es-CR"/>
        </w:rPr>
        <w:t>institución</w:t>
      </w:r>
      <w:r w:rsidRPr="0090649A">
        <w:rPr>
          <w:rFonts w:ascii="Verdana" w:hAnsi="Verdana"/>
          <w:sz w:val="20"/>
          <w:szCs w:val="20"/>
          <w:lang w:val="es-CR"/>
        </w:rPr>
        <w:t xml:space="preserve"> mediante procesos disciplinarios que vulneraron sus derechos humanos.</w:t>
      </w:r>
      <w:r w:rsidR="006A08C8" w:rsidRPr="0090649A">
        <w:rPr>
          <w:rFonts w:ascii="Verdana" w:hAnsi="Verdana"/>
          <w:sz w:val="20"/>
          <w:szCs w:val="20"/>
          <w:lang w:val="es-CR"/>
        </w:rPr>
        <w:t xml:space="preserve"> </w:t>
      </w:r>
      <w:r w:rsidR="007D6AD7" w:rsidRPr="0090649A">
        <w:rPr>
          <w:rFonts w:ascii="Verdana" w:hAnsi="Verdana"/>
          <w:sz w:val="20"/>
          <w:szCs w:val="20"/>
          <w:lang w:val="es-CR"/>
        </w:rPr>
        <w:t>Adicionalmente</w:t>
      </w:r>
      <w:r w:rsidR="006A08C8" w:rsidRPr="0090649A">
        <w:rPr>
          <w:rFonts w:ascii="Verdana" w:hAnsi="Verdana"/>
          <w:sz w:val="20"/>
          <w:szCs w:val="20"/>
          <w:lang w:val="es-CR"/>
        </w:rPr>
        <w:t>,</w:t>
      </w:r>
      <w:r w:rsidRPr="0090649A">
        <w:rPr>
          <w:rFonts w:ascii="Verdana" w:hAnsi="Verdana"/>
          <w:sz w:val="20"/>
          <w:szCs w:val="20"/>
          <w:lang w:val="es-CR"/>
        </w:rPr>
        <w:t xml:space="preserve"> </w:t>
      </w:r>
      <w:r w:rsidR="006A08C8" w:rsidRPr="0090649A">
        <w:rPr>
          <w:rFonts w:ascii="Verdana" w:hAnsi="Verdana"/>
          <w:sz w:val="20"/>
          <w:szCs w:val="20"/>
          <w:lang w:val="es-CR"/>
        </w:rPr>
        <w:t>r</w:t>
      </w:r>
      <w:r w:rsidRPr="0090649A">
        <w:rPr>
          <w:rFonts w:ascii="Verdana" w:hAnsi="Verdana"/>
          <w:sz w:val="20"/>
          <w:szCs w:val="20"/>
          <w:lang w:val="es-CR"/>
        </w:rPr>
        <w:t>especto a la segunda objeción,</w:t>
      </w:r>
      <w:r w:rsidR="00B70BF1" w:rsidRPr="0090649A">
        <w:rPr>
          <w:rFonts w:ascii="Verdana" w:hAnsi="Verdana"/>
          <w:sz w:val="20"/>
          <w:szCs w:val="20"/>
          <w:lang w:val="es-CR"/>
        </w:rPr>
        <w:t xml:space="preserve"> la Corte considera que </w:t>
      </w:r>
      <w:r w:rsidRPr="0090649A">
        <w:rPr>
          <w:rFonts w:ascii="Verdana" w:hAnsi="Verdana"/>
          <w:sz w:val="20"/>
          <w:szCs w:val="20"/>
          <w:lang w:val="es-CR"/>
        </w:rPr>
        <w:t>de existir</w:t>
      </w:r>
      <w:r w:rsidR="00B70BF1" w:rsidRPr="0090649A">
        <w:rPr>
          <w:rFonts w:ascii="Verdana" w:hAnsi="Verdana"/>
          <w:sz w:val="20"/>
          <w:szCs w:val="20"/>
          <w:lang w:val="es-CR"/>
        </w:rPr>
        <w:t xml:space="preserve"> </w:t>
      </w:r>
      <w:r w:rsidR="00252B6A" w:rsidRPr="0090649A">
        <w:rPr>
          <w:rFonts w:ascii="Verdana" w:hAnsi="Verdana"/>
          <w:sz w:val="20"/>
          <w:szCs w:val="20"/>
          <w:lang w:val="es-CR"/>
        </w:rPr>
        <w:t xml:space="preserve">plazas que, por </w:t>
      </w:r>
      <w:r w:rsidR="00B70BF1" w:rsidRPr="0090649A">
        <w:rPr>
          <w:rFonts w:ascii="Verdana" w:hAnsi="Verdana"/>
          <w:sz w:val="20"/>
          <w:szCs w:val="20"/>
          <w:lang w:val="es-CR"/>
        </w:rPr>
        <w:t>motivos de especialidad</w:t>
      </w:r>
      <w:r w:rsidR="00252B6A" w:rsidRPr="0090649A">
        <w:rPr>
          <w:rFonts w:ascii="Verdana" w:hAnsi="Verdana"/>
          <w:sz w:val="20"/>
          <w:szCs w:val="20"/>
          <w:lang w:val="es-CR"/>
        </w:rPr>
        <w:t>, requieran seguir un concurso como mecanismo de acceso al cargo</w:t>
      </w:r>
      <w:r w:rsidR="00B70BF1" w:rsidRPr="0090649A">
        <w:rPr>
          <w:rFonts w:ascii="Verdana" w:hAnsi="Verdana"/>
          <w:sz w:val="20"/>
          <w:szCs w:val="20"/>
          <w:lang w:val="es-CR"/>
        </w:rPr>
        <w:t xml:space="preserve">, el Estado </w:t>
      </w:r>
      <w:r w:rsidR="00252B6A" w:rsidRPr="0090649A">
        <w:rPr>
          <w:rFonts w:ascii="Verdana" w:hAnsi="Verdana"/>
          <w:sz w:val="20"/>
          <w:szCs w:val="20"/>
          <w:lang w:val="es-CR"/>
        </w:rPr>
        <w:t xml:space="preserve">debe hacer un esfuerzo por comunicar a las víctimas de la existencia de cualquier </w:t>
      </w:r>
      <w:r w:rsidR="00FF47B3" w:rsidRPr="0090649A">
        <w:rPr>
          <w:rFonts w:ascii="Verdana" w:hAnsi="Verdana"/>
          <w:sz w:val="20"/>
          <w:szCs w:val="20"/>
          <w:lang w:val="es-CR"/>
        </w:rPr>
        <w:t>examen de oposición</w:t>
      </w:r>
      <w:r w:rsidR="00252B6A" w:rsidRPr="0090649A">
        <w:rPr>
          <w:rFonts w:ascii="Verdana" w:hAnsi="Verdana"/>
          <w:sz w:val="20"/>
          <w:szCs w:val="20"/>
          <w:lang w:val="es-CR"/>
        </w:rPr>
        <w:t xml:space="preserve"> o concurso en el cual puedan participar. </w:t>
      </w:r>
    </w:p>
    <w:p w:rsidR="00C7601C" w:rsidRPr="0090649A" w:rsidRDefault="00C7601C" w:rsidP="00C7601C">
      <w:pPr>
        <w:tabs>
          <w:tab w:val="left" w:pos="709"/>
        </w:tabs>
        <w:spacing w:after="0" w:line="240" w:lineRule="auto"/>
        <w:jc w:val="both"/>
        <w:rPr>
          <w:rFonts w:ascii="Verdana" w:hAnsi="Verdana" w:cs="Arial"/>
          <w:sz w:val="20"/>
          <w:szCs w:val="20"/>
          <w:lang w:val="es-CR"/>
        </w:rPr>
      </w:pPr>
    </w:p>
    <w:p w:rsidR="008E0B6E" w:rsidRPr="002C0D35" w:rsidRDefault="00240B3F" w:rsidP="00453D58">
      <w:pPr>
        <w:pStyle w:val="Sombreadovistoso-nfasis3"/>
        <w:numPr>
          <w:ilvl w:val="0"/>
          <w:numId w:val="17"/>
        </w:numPr>
        <w:tabs>
          <w:tab w:val="left" w:pos="709"/>
        </w:tabs>
        <w:spacing w:after="0" w:line="240" w:lineRule="auto"/>
        <w:ind w:left="0" w:firstLine="0"/>
        <w:contextualSpacing w:val="0"/>
        <w:jc w:val="both"/>
        <w:rPr>
          <w:rFonts w:ascii="Verdana" w:hAnsi="Verdana" w:cs="Arial"/>
          <w:sz w:val="20"/>
          <w:szCs w:val="20"/>
          <w:lang w:val="es-CR"/>
        </w:rPr>
      </w:pPr>
      <w:r w:rsidRPr="0090649A">
        <w:rPr>
          <w:rFonts w:ascii="Verdana" w:hAnsi="Verdana" w:cs="Arial"/>
          <w:sz w:val="20"/>
          <w:szCs w:val="20"/>
          <w:lang w:val="es-CR"/>
        </w:rPr>
        <w:t>Después de considerar</w:t>
      </w:r>
      <w:r w:rsidR="00407688" w:rsidRPr="0090649A">
        <w:rPr>
          <w:rFonts w:ascii="Verdana" w:hAnsi="Verdana" w:cs="Arial"/>
          <w:sz w:val="20"/>
          <w:szCs w:val="20"/>
          <w:lang w:val="es-CR"/>
        </w:rPr>
        <w:t xml:space="preserve"> todos los argumentos expuestos por Honduras para no reincorporar a las víctimas</w:t>
      </w:r>
      <w:r w:rsidR="002E78F4" w:rsidRPr="0090649A">
        <w:rPr>
          <w:rFonts w:ascii="Verdana" w:hAnsi="Verdana" w:cs="Arial"/>
          <w:sz w:val="20"/>
          <w:szCs w:val="20"/>
          <w:lang w:val="es-CR"/>
        </w:rPr>
        <w:t>, l</w:t>
      </w:r>
      <w:r w:rsidR="00B70BF1" w:rsidRPr="0090649A">
        <w:rPr>
          <w:rFonts w:ascii="Verdana" w:hAnsi="Verdana" w:cs="Arial"/>
          <w:sz w:val="20"/>
          <w:szCs w:val="20"/>
          <w:lang w:val="es-CR"/>
        </w:rPr>
        <w:t>a Corte coincide con la Comisión en que una “imposibilidad justificada”</w:t>
      </w:r>
      <w:r w:rsidR="0019103F" w:rsidRPr="0090649A">
        <w:rPr>
          <w:rFonts w:ascii="Verdana" w:hAnsi="Verdana" w:cs="Arial"/>
          <w:sz w:val="20"/>
          <w:szCs w:val="20"/>
          <w:lang w:val="es-CR"/>
        </w:rPr>
        <w:t>,</w:t>
      </w:r>
      <w:r w:rsidR="00B70BF1" w:rsidRPr="0090649A">
        <w:rPr>
          <w:rFonts w:ascii="Verdana" w:hAnsi="Verdana" w:cs="Arial"/>
          <w:sz w:val="20"/>
          <w:szCs w:val="20"/>
          <w:lang w:val="es-CR"/>
        </w:rPr>
        <w:t xml:space="preserve"> </w:t>
      </w:r>
      <w:r w:rsidR="0019103F" w:rsidRPr="0090649A">
        <w:rPr>
          <w:rFonts w:ascii="Verdana" w:hAnsi="Verdana" w:cs="Arial"/>
          <w:sz w:val="20"/>
          <w:szCs w:val="20"/>
          <w:lang w:val="es-CR"/>
        </w:rPr>
        <w:t xml:space="preserve">a la que se refiere el párrafo 299 de la Sentencia </w:t>
      </w:r>
      <w:r w:rsidR="00526001" w:rsidRPr="0090649A">
        <w:rPr>
          <w:rFonts w:ascii="Verdana" w:hAnsi="Verdana" w:cs="Arial"/>
          <w:sz w:val="20"/>
          <w:szCs w:val="20"/>
          <w:lang w:val="es-CR"/>
        </w:rPr>
        <w:t>(</w:t>
      </w:r>
      <w:r w:rsidR="00526001" w:rsidRPr="0090649A">
        <w:rPr>
          <w:rFonts w:ascii="Verdana" w:hAnsi="Verdana" w:cs="Arial"/>
          <w:i/>
          <w:sz w:val="20"/>
          <w:szCs w:val="20"/>
          <w:lang w:val="es-CR"/>
        </w:rPr>
        <w:t xml:space="preserve">supra </w:t>
      </w:r>
      <w:r w:rsidR="00526001" w:rsidRPr="0090649A">
        <w:rPr>
          <w:rFonts w:ascii="Verdana" w:hAnsi="Verdana" w:cs="Arial"/>
          <w:sz w:val="20"/>
          <w:szCs w:val="20"/>
          <w:lang w:val="es-CR"/>
        </w:rPr>
        <w:t xml:space="preserve">Considerando </w:t>
      </w:r>
      <w:r w:rsidR="0019103F" w:rsidRPr="0090649A">
        <w:rPr>
          <w:rFonts w:ascii="Verdana" w:hAnsi="Verdana" w:cs="Arial"/>
          <w:sz w:val="20"/>
          <w:szCs w:val="20"/>
          <w:lang w:val="es-CR"/>
        </w:rPr>
        <w:t>3</w:t>
      </w:r>
      <w:r w:rsidR="00526001" w:rsidRPr="0090649A">
        <w:rPr>
          <w:rFonts w:ascii="Verdana" w:hAnsi="Verdana" w:cs="Arial"/>
          <w:sz w:val="20"/>
          <w:szCs w:val="20"/>
          <w:lang w:val="es-CR"/>
        </w:rPr>
        <w:t>)</w:t>
      </w:r>
      <w:r w:rsidR="0019103F" w:rsidRPr="0090649A">
        <w:rPr>
          <w:rFonts w:ascii="Verdana" w:hAnsi="Verdana" w:cs="Arial"/>
          <w:sz w:val="20"/>
          <w:szCs w:val="20"/>
          <w:lang w:val="es-CR"/>
        </w:rPr>
        <w:t>,</w:t>
      </w:r>
      <w:r w:rsidR="00526001" w:rsidRPr="0090649A">
        <w:rPr>
          <w:rFonts w:ascii="Verdana" w:hAnsi="Verdana" w:cs="Arial"/>
          <w:sz w:val="20"/>
          <w:szCs w:val="20"/>
          <w:lang w:val="es-CR"/>
        </w:rPr>
        <w:t xml:space="preserve"> </w:t>
      </w:r>
      <w:r w:rsidR="00B70BF1" w:rsidRPr="0090649A">
        <w:rPr>
          <w:rFonts w:ascii="Verdana" w:hAnsi="Verdana" w:cs="Arial"/>
          <w:sz w:val="20"/>
          <w:szCs w:val="20"/>
          <w:lang w:val="es-CR"/>
        </w:rPr>
        <w:t xml:space="preserve">implica que el Estado debe demostrar que ha buscado de forma exhaustiva dar cumplimiento a través de todos los medios disponibles a su alcance para, en este caso, lograr </w:t>
      </w:r>
      <w:r w:rsidR="006C568D">
        <w:rPr>
          <w:rFonts w:ascii="Verdana" w:hAnsi="Verdana" w:cs="Arial"/>
          <w:sz w:val="20"/>
          <w:szCs w:val="20"/>
          <w:lang w:val="es-CR"/>
        </w:rPr>
        <w:t>la reincorporación</w:t>
      </w:r>
      <w:r w:rsidR="00B70BF1" w:rsidRPr="0090649A">
        <w:rPr>
          <w:rFonts w:ascii="Verdana" w:hAnsi="Verdana" w:cs="Arial"/>
          <w:sz w:val="20"/>
          <w:szCs w:val="20"/>
          <w:lang w:val="es-CR"/>
        </w:rPr>
        <w:t xml:space="preserve"> de las víctimas en los términos establecidos en el fallo. Asimismo, una </w:t>
      </w:r>
      <w:r w:rsidR="0019103F" w:rsidRPr="0090649A">
        <w:rPr>
          <w:rFonts w:ascii="Verdana" w:hAnsi="Verdana" w:cs="Arial"/>
          <w:sz w:val="20"/>
          <w:szCs w:val="20"/>
          <w:lang w:val="es-CR"/>
        </w:rPr>
        <w:t>“</w:t>
      </w:r>
      <w:r w:rsidR="00B70BF1" w:rsidRPr="0090649A">
        <w:rPr>
          <w:rFonts w:ascii="Verdana" w:hAnsi="Verdana" w:cs="Arial"/>
          <w:sz w:val="20"/>
          <w:szCs w:val="20"/>
          <w:lang w:val="es-CR"/>
        </w:rPr>
        <w:t>imposibilidad justificada</w:t>
      </w:r>
      <w:r w:rsidR="0019103F" w:rsidRPr="0090649A">
        <w:rPr>
          <w:rFonts w:ascii="Verdana" w:hAnsi="Verdana" w:cs="Arial"/>
          <w:sz w:val="20"/>
          <w:szCs w:val="20"/>
          <w:lang w:val="es-CR"/>
        </w:rPr>
        <w:t>”</w:t>
      </w:r>
      <w:r w:rsidR="00B70BF1" w:rsidRPr="0090649A">
        <w:rPr>
          <w:rFonts w:ascii="Verdana" w:hAnsi="Verdana" w:cs="Arial"/>
          <w:sz w:val="20"/>
          <w:szCs w:val="20"/>
          <w:lang w:val="es-CR"/>
        </w:rPr>
        <w:t xml:space="preserve"> debe tratarse de una imposibilidad objetiva</w:t>
      </w:r>
      <w:r w:rsidR="003D180E" w:rsidRPr="0090649A">
        <w:rPr>
          <w:rStyle w:val="Refdenotaalpie"/>
          <w:rFonts w:ascii="Verdana" w:hAnsi="Verdana"/>
          <w:sz w:val="20"/>
          <w:szCs w:val="20"/>
          <w:lang w:val="es-CR"/>
        </w:rPr>
        <w:footnoteReference w:id="38"/>
      </w:r>
      <w:r w:rsidR="00B70BF1" w:rsidRPr="0090649A">
        <w:rPr>
          <w:rFonts w:ascii="Verdana" w:hAnsi="Verdana" w:cs="Arial"/>
          <w:sz w:val="20"/>
          <w:szCs w:val="20"/>
          <w:lang w:val="es-CR"/>
        </w:rPr>
        <w:t xml:space="preserve">, es decir, que no puede depender únicamente de la voluntad de quien tiene que ejecutar la medida. </w:t>
      </w:r>
      <w:r w:rsidR="00C7601C" w:rsidRPr="0090649A">
        <w:rPr>
          <w:rFonts w:ascii="Verdana" w:hAnsi="Verdana" w:cs="Arial"/>
          <w:sz w:val="20"/>
          <w:szCs w:val="20"/>
          <w:lang w:val="es-CR"/>
        </w:rPr>
        <w:t xml:space="preserve">Por </w:t>
      </w:r>
      <w:r w:rsidR="0044251A" w:rsidRPr="0090649A">
        <w:rPr>
          <w:rFonts w:ascii="Verdana" w:hAnsi="Verdana" w:cs="Arial"/>
          <w:sz w:val="20"/>
          <w:szCs w:val="20"/>
          <w:lang w:val="es-CR"/>
        </w:rPr>
        <w:lastRenderedPageBreak/>
        <w:t>tanto</w:t>
      </w:r>
      <w:r w:rsidR="00B70BF1" w:rsidRPr="0090649A">
        <w:rPr>
          <w:rFonts w:ascii="Verdana" w:hAnsi="Verdana" w:cs="Arial"/>
          <w:sz w:val="20"/>
          <w:szCs w:val="20"/>
          <w:lang w:val="es-CR"/>
        </w:rPr>
        <w:t xml:space="preserve">, la Corte considera </w:t>
      </w:r>
      <w:r w:rsidR="00B70BF1" w:rsidRPr="002C0D35">
        <w:rPr>
          <w:rFonts w:ascii="Verdana" w:hAnsi="Verdana" w:cs="Arial"/>
          <w:sz w:val="20"/>
          <w:szCs w:val="20"/>
          <w:lang w:val="es-CR"/>
        </w:rPr>
        <w:t xml:space="preserve">que </w:t>
      </w:r>
      <w:r w:rsidR="00C7601C" w:rsidRPr="002C0D35">
        <w:rPr>
          <w:rFonts w:ascii="Verdana" w:hAnsi="Verdana" w:cs="Arial"/>
          <w:sz w:val="20"/>
          <w:szCs w:val="20"/>
          <w:lang w:val="es-CR"/>
        </w:rPr>
        <w:t>en el presente caso</w:t>
      </w:r>
      <w:r w:rsidR="006C568D" w:rsidRPr="002C0D35">
        <w:rPr>
          <w:rFonts w:ascii="Verdana" w:hAnsi="Verdana" w:cs="Arial"/>
          <w:sz w:val="20"/>
          <w:szCs w:val="20"/>
          <w:lang w:val="es-CR"/>
        </w:rPr>
        <w:t xml:space="preserve"> no</w:t>
      </w:r>
      <w:r w:rsidR="00C7601C" w:rsidRPr="002C0D35">
        <w:rPr>
          <w:rFonts w:ascii="Verdana" w:hAnsi="Verdana" w:cs="Arial"/>
          <w:sz w:val="20"/>
          <w:szCs w:val="20"/>
          <w:lang w:val="es-CR"/>
        </w:rPr>
        <w:t xml:space="preserve"> </w:t>
      </w:r>
      <w:r w:rsidR="00B70BF1" w:rsidRPr="002C0D35">
        <w:rPr>
          <w:rFonts w:ascii="Verdana" w:hAnsi="Verdana" w:cs="Arial"/>
          <w:sz w:val="20"/>
          <w:szCs w:val="20"/>
          <w:lang w:val="es-CR"/>
        </w:rPr>
        <w:t>exist</w:t>
      </w:r>
      <w:r w:rsidR="006C568D" w:rsidRPr="002C0D35">
        <w:rPr>
          <w:rFonts w:ascii="Verdana" w:hAnsi="Verdana" w:cs="Arial"/>
          <w:sz w:val="20"/>
          <w:szCs w:val="20"/>
          <w:lang w:val="es-CR"/>
        </w:rPr>
        <w:t>e</w:t>
      </w:r>
      <w:r w:rsidR="00B70BF1" w:rsidRPr="002C0D35">
        <w:rPr>
          <w:rFonts w:ascii="Verdana" w:hAnsi="Verdana" w:cs="Arial"/>
          <w:sz w:val="20"/>
          <w:szCs w:val="20"/>
          <w:lang w:val="es-CR"/>
        </w:rPr>
        <w:t xml:space="preserve"> una imposibilidad justificada para </w:t>
      </w:r>
      <w:r w:rsidR="0034469B" w:rsidRPr="002C0D35">
        <w:rPr>
          <w:rFonts w:ascii="Verdana" w:hAnsi="Verdana" w:cs="Arial"/>
          <w:sz w:val="20"/>
          <w:szCs w:val="20"/>
          <w:lang w:val="es-CR"/>
        </w:rPr>
        <w:t>reincorporar</w:t>
      </w:r>
      <w:r w:rsidR="00B70BF1" w:rsidRPr="002C0D35">
        <w:rPr>
          <w:rFonts w:ascii="Verdana" w:hAnsi="Verdana" w:cs="Arial"/>
          <w:sz w:val="20"/>
          <w:szCs w:val="20"/>
          <w:lang w:val="es-CR"/>
        </w:rPr>
        <w:t xml:space="preserve"> a las víctimas en los términos señalados en la Sentencia, así como tampoco</w:t>
      </w:r>
      <w:r w:rsidR="0034469B" w:rsidRPr="002C0D35">
        <w:rPr>
          <w:rFonts w:ascii="Verdana" w:hAnsi="Verdana" w:cs="Arial"/>
          <w:sz w:val="20"/>
          <w:szCs w:val="20"/>
          <w:lang w:val="es-CR"/>
        </w:rPr>
        <w:t xml:space="preserve"> Honduras</w:t>
      </w:r>
      <w:r w:rsidR="00B70BF1" w:rsidRPr="002C0D35">
        <w:rPr>
          <w:rFonts w:ascii="Verdana" w:hAnsi="Verdana" w:cs="Arial"/>
          <w:sz w:val="20"/>
          <w:szCs w:val="20"/>
          <w:lang w:val="es-CR"/>
        </w:rPr>
        <w:t xml:space="preserve"> ha demostrado que haya agotado todas las alternativas posibles para dar cumplimiento </w:t>
      </w:r>
      <w:r w:rsidR="0034469B" w:rsidRPr="002C0D35">
        <w:rPr>
          <w:rFonts w:ascii="Verdana" w:hAnsi="Verdana" w:cs="Arial"/>
          <w:sz w:val="20"/>
          <w:szCs w:val="20"/>
          <w:lang w:val="es-CR"/>
        </w:rPr>
        <w:t>a esa medida de reparación</w:t>
      </w:r>
      <w:r w:rsidR="00FB6538" w:rsidRPr="002C0D35">
        <w:rPr>
          <w:rFonts w:ascii="Verdana" w:hAnsi="Verdana" w:cs="Arial"/>
          <w:sz w:val="20"/>
          <w:szCs w:val="20"/>
          <w:lang w:val="es-CR"/>
        </w:rPr>
        <w:t>.</w:t>
      </w:r>
      <w:r w:rsidR="000A7CCA" w:rsidRPr="002C0D35">
        <w:rPr>
          <w:rFonts w:ascii="Verdana" w:hAnsi="Verdana" w:cs="Arial"/>
          <w:sz w:val="20"/>
          <w:szCs w:val="20"/>
          <w:lang w:val="es-CR"/>
        </w:rPr>
        <w:t xml:space="preserve"> </w:t>
      </w:r>
      <w:r w:rsidR="000A7CCA" w:rsidRPr="002C0D35">
        <w:rPr>
          <w:rFonts w:ascii="Verdana" w:hAnsi="Verdana"/>
          <w:sz w:val="20"/>
          <w:szCs w:val="20"/>
          <w:lang w:val="es-CR"/>
        </w:rPr>
        <w:t xml:space="preserve">El Tribunal encuentra que, en el presente caso, el único motivo que </w:t>
      </w:r>
      <w:r w:rsidR="0034469B" w:rsidRPr="002C0D35">
        <w:rPr>
          <w:rFonts w:ascii="Verdana" w:hAnsi="Verdana"/>
          <w:sz w:val="20"/>
          <w:szCs w:val="20"/>
          <w:lang w:val="es-CR"/>
        </w:rPr>
        <w:t xml:space="preserve">actualmente </w:t>
      </w:r>
      <w:r w:rsidR="000A7CCA" w:rsidRPr="002C0D35">
        <w:rPr>
          <w:rFonts w:ascii="Verdana" w:hAnsi="Verdana"/>
          <w:sz w:val="20"/>
          <w:szCs w:val="20"/>
          <w:lang w:val="es-CR"/>
        </w:rPr>
        <w:t xml:space="preserve">justificaría la no </w:t>
      </w:r>
      <w:r w:rsidR="0034469B" w:rsidRPr="002C0D35">
        <w:rPr>
          <w:rFonts w:ascii="Verdana" w:hAnsi="Verdana"/>
          <w:sz w:val="20"/>
          <w:szCs w:val="20"/>
          <w:lang w:val="es-CR"/>
        </w:rPr>
        <w:t>reincorporación</w:t>
      </w:r>
      <w:r w:rsidR="000A7CCA" w:rsidRPr="002C0D35">
        <w:rPr>
          <w:rFonts w:ascii="Verdana" w:hAnsi="Verdana"/>
          <w:sz w:val="20"/>
          <w:szCs w:val="20"/>
          <w:lang w:val="es-CR"/>
        </w:rPr>
        <w:t xml:space="preserve"> es porque las víctimas prefieran la indemnización por no </w:t>
      </w:r>
      <w:r w:rsidR="0034469B" w:rsidRPr="002C0D35">
        <w:rPr>
          <w:rFonts w:ascii="Verdana" w:hAnsi="Verdana"/>
          <w:sz w:val="20"/>
          <w:szCs w:val="20"/>
          <w:lang w:val="es-CR"/>
        </w:rPr>
        <w:t>reincorporación.</w:t>
      </w:r>
      <w:r w:rsidR="000A7CCA" w:rsidRPr="002C0D35">
        <w:rPr>
          <w:rFonts w:ascii="Verdana" w:hAnsi="Verdana"/>
          <w:sz w:val="20"/>
          <w:szCs w:val="20"/>
          <w:lang w:val="es-CR"/>
        </w:rPr>
        <w:t xml:space="preserve"> </w:t>
      </w:r>
    </w:p>
    <w:p w:rsidR="008E0B6E" w:rsidRPr="0090649A" w:rsidRDefault="008E0B6E" w:rsidP="008E0B6E">
      <w:pPr>
        <w:pStyle w:val="Sombreadovistoso-nfasis3"/>
        <w:tabs>
          <w:tab w:val="left" w:pos="709"/>
        </w:tabs>
        <w:spacing w:after="0" w:line="240" w:lineRule="auto"/>
        <w:ind w:left="0"/>
        <w:contextualSpacing w:val="0"/>
        <w:jc w:val="both"/>
        <w:rPr>
          <w:rFonts w:ascii="Verdana" w:hAnsi="Verdana" w:cs="Arial"/>
          <w:sz w:val="20"/>
          <w:szCs w:val="20"/>
          <w:lang w:val="es-CR"/>
        </w:rPr>
      </w:pPr>
    </w:p>
    <w:p w:rsidR="00F7463D" w:rsidRPr="0090649A" w:rsidRDefault="005473C1" w:rsidP="00453D58">
      <w:pPr>
        <w:numPr>
          <w:ilvl w:val="0"/>
          <w:numId w:val="17"/>
        </w:numPr>
        <w:tabs>
          <w:tab w:val="left" w:pos="709"/>
        </w:tabs>
        <w:spacing w:after="0" w:line="240" w:lineRule="auto"/>
        <w:ind w:left="0" w:firstLine="0"/>
        <w:jc w:val="both"/>
        <w:rPr>
          <w:rFonts w:ascii="Verdana" w:hAnsi="Verdana" w:cs="Arial"/>
          <w:sz w:val="20"/>
          <w:szCs w:val="20"/>
          <w:lang w:val="es-CR"/>
        </w:rPr>
      </w:pPr>
      <w:r w:rsidRPr="0090649A">
        <w:rPr>
          <w:rFonts w:ascii="Verdana" w:hAnsi="Verdana"/>
          <w:sz w:val="20"/>
          <w:lang w:val="es-CR"/>
        </w:rPr>
        <w:t>La Corte</w:t>
      </w:r>
      <w:r w:rsidR="004263A0" w:rsidRPr="0090649A">
        <w:rPr>
          <w:rFonts w:ascii="Verdana" w:hAnsi="Verdana"/>
          <w:sz w:val="20"/>
          <w:lang w:val="es-CR"/>
        </w:rPr>
        <w:t xml:space="preserve"> resalta que l</w:t>
      </w:r>
      <w:r w:rsidR="00FC2703" w:rsidRPr="0090649A">
        <w:rPr>
          <w:rFonts w:ascii="Verdana" w:hAnsi="Verdana"/>
          <w:sz w:val="20"/>
          <w:lang w:val="es-CR"/>
        </w:rPr>
        <w:t>a demora en el cumplimiento de esta medida tiene un particular impacto negativo, considerando que el paso del tiempo sin que se reincorpore a las víctimas</w:t>
      </w:r>
      <w:r w:rsidR="004860A4" w:rsidRPr="0090649A">
        <w:rPr>
          <w:rFonts w:ascii="Verdana" w:hAnsi="Verdana"/>
          <w:sz w:val="20"/>
          <w:lang w:val="es-CR"/>
        </w:rPr>
        <w:t xml:space="preserve"> les perjudica por no ser restituidas </w:t>
      </w:r>
      <w:r w:rsidR="0019287E" w:rsidRPr="0090649A">
        <w:rPr>
          <w:rFonts w:ascii="Verdana" w:hAnsi="Verdana"/>
          <w:sz w:val="20"/>
          <w:szCs w:val="20"/>
          <w:lang w:val="es-CR"/>
        </w:rPr>
        <w:t xml:space="preserve">en el goce de </w:t>
      </w:r>
      <w:r w:rsidR="00B60682" w:rsidRPr="0090649A">
        <w:rPr>
          <w:rFonts w:ascii="Verdana" w:hAnsi="Verdana"/>
          <w:sz w:val="20"/>
          <w:szCs w:val="20"/>
          <w:lang w:val="es-CR"/>
        </w:rPr>
        <w:t>los</w:t>
      </w:r>
      <w:r w:rsidR="0019287E" w:rsidRPr="0090649A">
        <w:rPr>
          <w:rFonts w:ascii="Verdana" w:hAnsi="Verdana"/>
          <w:sz w:val="20"/>
          <w:szCs w:val="20"/>
          <w:lang w:val="es-CR"/>
        </w:rPr>
        <w:t xml:space="preserve"> derechos</w:t>
      </w:r>
      <w:r w:rsidR="00B60682" w:rsidRPr="0090649A">
        <w:rPr>
          <w:rFonts w:ascii="Verdana" w:hAnsi="Verdana"/>
          <w:sz w:val="20"/>
          <w:szCs w:val="20"/>
          <w:lang w:val="es-CR"/>
        </w:rPr>
        <w:t xml:space="preserve"> que les fueron violados</w:t>
      </w:r>
      <w:r w:rsidR="004860A4" w:rsidRPr="0090649A">
        <w:rPr>
          <w:rFonts w:ascii="Verdana" w:hAnsi="Verdana"/>
          <w:sz w:val="20"/>
          <w:szCs w:val="20"/>
          <w:lang w:val="es-CR"/>
        </w:rPr>
        <w:t xml:space="preserve"> y</w:t>
      </w:r>
      <w:r w:rsidR="005164A2" w:rsidRPr="0090649A">
        <w:rPr>
          <w:rFonts w:ascii="Verdana" w:hAnsi="Verdana"/>
          <w:sz w:val="20"/>
          <w:szCs w:val="20"/>
          <w:lang w:val="es-CR"/>
        </w:rPr>
        <w:t>, además,</w:t>
      </w:r>
      <w:r w:rsidR="004263A0" w:rsidRPr="0090649A">
        <w:rPr>
          <w:rFonts w:ascii="Verdana" w:hAnsi="Verdana"/>
          <w:sz w:val="20"/>
          <w:szCs w:val="20"/>
          <w:lang w:val="es-CR"/>
        </w:rPr>
        <w:t xml:space="preserve"> </w:t>
      </w:r>
      <w:r w:rsidR="005164A2" w:rsidRPr="0090649A">
        <w:rPr>
          <w:rFonts w:ascii="Verdana" w:hAnsi="Verdana"/>
          <w:sz w:val="20"/>
          <w:szCs w:val="20"/>
          <w:lang w:val="es-CR"/>
        </w:rPr>
        <w:t>a</w:t>
      </w:r>
      <w:r w:rsidR="004860A4" w:rsidRPr="0090649A">
        <w:rPr>
          <w:rFonts w:ascii="Verdana" w:hAnsi="Verdana"/>
          <w:sz w:val="20"/>
          <w:szCs w:val="20"/>
          <w:lang w:val="es-CR"/>
        </w:rPr>
        <w:t>fecta la</w:t>
      </w:r>
      <w:r w:rsidR="00F34668" w:rsidRPr="0090649A">
        <w:rPr>
          <w:rFonts w:ascii="Verdana" w:hAnsi="Verdana"/>
          <w:sz w:val="20"/>
          <w:szCs w:val="20"/>
          <w:lang w:val="es-CR"/>
        </w:rPr>
        <w:t xml:space="preserve"> garantía de inamovilidad que es inherente a la independencia judicial. En este sentido, las víctimas Adán Guillermo López Lone y Tirza del Carmen Flores Lanza indicaron que la referida reparación “es la medida idónea para fortalecer la independencia en el ejercicio de la jurisdicción, ya que los jueces y juezas recibirán el mensaje de que su inamovilidad está protegida contra destituciones arbitrarias”</w:t>
      </w:r>
      <w:r w:rsidR="0019666C">
        <w:rPr>
          <w:rStyle w:val="Refdenotaalpie"/>
          <w:rFonts w:ascii="Verdana" w:hAnsi="Verdana"/>
          <w:sz w:val="20"/>
          <w:szCs w:val="20"/>
          <w:lang w:val="es-CR"/>
        </w:rPr>
        <w:footnoteReference w:id="39"/>
      </w:r>
      <w:r w:rsidR="00F34668" w:rsidRPr="0090649A">
        <w:rPr>
          <w:rFonts w:ascii="Verdana" w:hAnsi="Verdana"/>
          <w:sz w:val="20"/>
          <w:szCs w:val="20"/>
          <w:lang w:val="es-CR"/>
        </w:rPr>
        <w:t xml:space="preserve">. Es decir, </w:t>
      </w:r>
      <w:r w:rsidR="00DF57BA" w:rsidRPr="0090649A">
        <w:rPr>
          <w:rFonts w:ascii="Verdana" w:hAnsi="Verdana"/>
          <w:sz w:val="20"/>
          <w:szCs w:val="20"/>
          <w:lang w:val="es-CR"/>
        </w:rPr>
        <w:t xml:space="preserve">la presente medida de reparación </w:t>
      </w:r>
      <w:r w:rsidR="00B60682" w:rsidRPr="0090649A">
        <w:rPr>
          <w:rFonts w:ascii="Verdana" w:hAnsi="Verdana"/>
          <w:sz w:val="20"/>
          <w:szCs w:val="20"/>
          <w:lang w:val="es-CR"/>
        </w:rPr>
        <w:t>cuenta con</w:t>
      </w:r>
      <w:r w:rsidR="00DF57BA" w:rsidRPr="0090649A">
        <w:rPr>
          <w:rFonts w:ascii="Verdana" w:hAnsi="Verdana"/>
          <w:sz w:val="20"/>
          <w:szCs w:val="20"/>
          <w:lang w:val="es-CR"/>
        </w:rPr>
        <w:t xml:space="preserve"> un componente</w:t>
      </w:r>
      <w:r w:rsidR="00B60682" w:rsidRPr="0090649A">
        <w:rPr>
          <w:rFonts w:ascii="Verdana" w:hAnsi="Verdana"/>
          <w:sz w:val="20"/>
          <w:szCs w:val="20"/>
          <w:lang w:val="es-CR"/>
        </w:rPr>
        <w:t xml:space="preserve"> fundamental, que es el</w:t>
      </w:r>
      <w:r w:rsidR="00DF57BA" w:rsidRPr="0090649A">
        <w:rPr>
          <w:rFonts w:ascii="Verdana" w:hAnsi="Verdana"/>
          <w:sz w:val="20"/>
          <w:szCs w:val="20"/>
          <w:lang w:val="es-CR"/>
        </w:rPr>
        <w:t xml:space="preserve"> relativo a re</w:t>
      </w:r>
      <w:r w:rsidR="007D6C38" w:rsidRPr="0090649A">
        <w:rPr>
          <w:rFonts w:ascii="Verdana" w:hAnsi="Verdana"/>
          <w:sz w:val="20"/>
          <w:szCs w:val="20"/>
          <w:lang w:val="es-CR"/>
        </w:rPr>
        <w:t>stituir a las víctimas del caso,</w:t>
      </w:r>
      <w:r w:rsidR="00DF57BA" w:rsidRPr="0090649A">
        <w:rPr>
          <w:rFonts w:ascii="Verdana" w:hAnsi="Verdana"/>
          <w:sz w:val="20"/>
          <w:szCs w:val="20"/>
          <w:lang w:val="es-CR"/>
        </w:rPr>
        <w:t xml:space="preserve"> pero tambi</w:t>
      </w:r>
      <w:r w:rsidR="0019287E" w:rsidRPr="0090649A">
        <w:rPr>
          <w:rFonts w:ascii="Verdana" w:hAnsi="Verdana"/>
          <w:sz w:val="20"/>
          <w:szCs w:val="20"/>
          <w:lang w:val="es-CR"/>
        </w:rPr>
        <w:t xml:space="preserve">én </w:t>
      </w:r>
      <w:r w:rsidR="0019666C">
        <w:rPr>
          <w:rFonts w:ascii="Verdana" w:hAnsi="Verdana"/>
          <w:sz w:val="20"/>
          <w:szCs w:val="20"/>
          <w:lang w:val="es-CR"/>
        </w:rPr>
        <w:t>tiene</w:t>
      </w:r>
      <w:r w:rsidR="00B60682" w:rsidRPr="0090649A">
        <w:rPr>
          <w:rFonts w:ascii="Verdana" w:hAnsi="Verdana"/>
          <w:sz w:val="20"/>
          <w:szCs w:val="20"/>
          <w:lang w:val="es-CR"/>
        </w:rPr>
        <w:t xml:space="preserve"> </w:t>
      </w:r>
      <w:r w:rsidR="0019287E" w:rsidRPr="0090649A">
        <w:rPr>
          <w:rFonts w:ascii="Verdana" w:hAnsi="Verdana"/>
          <w:sz w:val="20"/>
          <w:szCs w:val="20"/>
          <w:lang w:val="es-CR"/>
        </w:rPr>
        <w:t>un componente institucional</w:t>
      </w:r>
      <w:r w:rsidR="00B60682" w:rsidRPr="0090649A">
        <w:rPr>
          <w:rFonts w:ascii="Verdana" w:hAnsi="Verdana"/>
          <w:sz w:val="20"/>
          <w:szCs w:val="20"/>
          <w:lang w:val="es-CR"/>
        </w:rPr>
        <w:t xml:space="preserve"> de </w:t>
      </w:r>
      <w:r w:rsidR="007F3FF1" w:rsidRPr="0090649A">
        <w:rPr>
          <w:rFonts w:ascii="Verdana" w:hAnsi="Verdana"/>
          <w:sz w:val="20"/>
          <w:szCs w:val="20"/>
          <w:lang w:val="es-CR"/>
        </w:rPr>
        <w:t>gran</w:t>
      </w:r>
      <w:r w:rsidR="00B60682" w:rsidRPr="0090649A">
        <w:rPr>
          <w:rFonts w:ascii="Verdana" w:hAnsi="Verdana"/>
          <w:sz w:val="20"/>
          <w:szCs w:val="20"/>
          <w:lang w:val="es-CR"/>
        </w:rPr>
        <w:t xml:space="preserve"> importancia</w:t>
      </w:r>
      <w:r w:rsidR="00DF57BA" w:rsidRPr="0090649A">
        <w:rPr>
          <w:rFonts w:ascii="Verdana" w:hAnsi="Verdana"/>
          <w:sz w:val="20"/>
          <w:szCs w:val="20"/>
          <w:lang w:val="es-CR"/>
        </w:rPr>
        <w:t xml:space="preserve"> que </w:t>
      </w:r>
      <w:r w:rsidR="00DC576A" w:rsidRPr="0090649A">
        <w:rPr>
          <w:rFonts w:ascii="Verdana" w:hAnsi="Verdana"/>
          <w:sz w:val="20"/>
          <w:szCs w:val="20"/>
          <w:lang w:val="es-CR"/>
        </w:rPr>
        <w:t>contribuye</w:t>
      </w:r>
      <w:r w:rsidR="00DF57BA" w:rsidRPr="0090649A">
        <w:rPr>
          <w:rFonts w:ascii="Verdana" w:hAnsi="Verdana"/>
          <w:sz w:val="20"/>
          <w:szCs w:val="20"/>
          <w:lang w:val="es-CR"/>
        </w:rPr>
        <w:t xml:space="preserve"> </w:t>
      </w:r>
      <w:r w:rsidR="00DC576A" w:rsidRPr="0090649A">
        <w:rPr>
          <w:rFonts w:ascii="Verdana" w:hAnsi="Verdana"/>
          <w:sz w:val="20"/>
          <w:szCs w:val="20"/>
          <w:lang w:val="es-CR"/>
        </w:rPr>
        <w:t>a</w:t>
      </w:r>
      <w:r w:rsidR="00DF57BA" w:rsidRPr="0090649A">
        <w:rPr>
          <w:rFonts w:ascii="Verdana" w:hAnsi="Verdana"/>
          <w:sz w:val="20"/>
          <w:szCs w:val="20"/>
          <w:lang w:val="es-CR"/>
        </w:rPr>
        <w:t>l fortalecimiento de la independencia judicial en Honduras.</w:t>
      </w:r>
      <w:r w:rsidR="000C6429" w:rsidRPr="0090649A">
        <w:rPr>
          <w:rFonts w:ascii="Verdana" w:hAnsi="Verdana"/>
          <w:sz w:val="20"/>
          <w:szCs w:val="20"/>
          <w:lang w:val="es-CR"/>
        </w:rPr>
        <w:t xml:space="preserve"> </w:t>
      </w:r>
      <w:r w:rsidR="00F7463D" w:rsidRPr="0090649A">
        <w:rPr>
          <w:rFonts w:ascii="Verdana" w:hAnsi="Verdana"/>
          <w:sz w:val="20"/>
          <w:szCs w:val="20"/>
          <w:lang w:val="es-CR"/>
        </w:rPr>
        <w:t xml:space="preserve">De lo contrario, </w:t>
      </w:r>
      <w:r w:rsidR="007D6C38" w:rsidRPr="0090649A">
        <w:rPr>
          <w:rFonts w:ascii="Verdana" w:hAnsi="Verdana"/>
          <w:sz w:val="20"/>
          <w:szCs w:val="20"/>
          <w:lang w:val="es-CR"/>
        </w:rPr>
        <w:t xml:space="preserve">los Estados pueden separar a los jueces de sus cargos de manera arbitraria, bajo la consideración que únicamente </w:t>
      </w:r>
      <w:r w:rsidR="00BB7292">
        <w:rPr>
          <w:rFonts w:ascii="Verdana" w:hAnsi="Verdana"/>
          <w:sz w:val="20"/>
          <w:szCs w:val="20"/>
          <w:lang w:val="es-CR"/>
        </w:rPr>
        <w:t>tendrán que pagar</w:t>
      </w:r>
      <w:r w:rsidR="00BB7292" w:rsidRPr="0090649A">
        <w:rPr>
          <w:rFonts w:ascii="Verdana" w:hAnsi="Verdana"/>
          <w:sz w:val="20"/>
          <w:szCs w:val="20"/>
          <w:lang w:val="es-CR"/>
        </w:rPr>
        <w:t xml:space="preserve"> </w:t>
      </w:r>
      <w:r w:rsidR="007D6C38" w:rsidRPr="0090649A">
        <w:rPr>
          <w:rFonts w:ascii="Verdana" w:hAnsi="Verdana"/>
          <w:sz w:val="20"/>
          <w:szCs w:val="20"/>
          <w:lang w:val="es-CR"/>
        </w:rPr>
        <w:t xml:space="preserve">una </w:t>
      </w:r>
      <w:r w:rsidR="00BB7292">
        <w:rPr>
          <w:rFonts w:ascii="Verdana" w:hAnsi="Verdana"/>
          <w:sz w:val="20"/>
          <w:szCs w:val="20"/>
          <w:lang w:val="es-CR"/>
        </w:rPr>
        <w:t>indemnización</w:t>
      </w:r>
      <w:r w:rsidR="00BB7292" w:rsidRPr="0090649A">
        <w:rPr>
          <w:rFonts w:ascii="Verdana" w:hAnsi="Verdana"/>
          <w:sz w:val="20"/>
          <w:szCs w:val="20"/>
          <w:lang w:val="es-CR"/>
        </w:rPr>
        <w:t xml:space="preserve"> </w:t>
      </w:r>
      <w:r w:rsidR="001E76D9">
        <w:rPr>
          <w:rFonts w:ascii="Verdana" w:hAnsi="Verdana"/>
          <w:sz w:val="20"/>
          <w:szCs w:val="20"/>
          <w:lang w:val="es-CR"/>
        </w:rPr>
        <w:t>pecuniaria</w:t>
      </w:r>
      <w:r w:rsidR="007D6C38" w:rsidRPr="0090649A">
        <w:rPr>
          <w:rFonts w:ascii="Verdana" w:hAnsi="Verdana"/>
          <w:sz w:val="20"/>
          <w:szCs w:val="20"/>
          <w:lang w:val="es-CR"/>
        </w:rPr>
        <w:t xml:space="preserve"> por ello</w:t>
      </w:r>
      <w:r w:rsidR="00F7463D" w:rsidRPr="0090649A">
        <w:rPr>
          <w:rStyle w:val="Refdenotaalpie"/>
          <w:rFonts w:ascii="Verdana" w:hAnsi="Verdana"/>
          <w:sz w:val="20"/>
          <w:szCs w:val="20"/>
          <w:lang w:val="es-CR"/>
        </w:rPr>
        <w:footnoteReference w:id="40"/>
      </w:r>
      <w:r w:rsidR="00F7463D" w:rsidRPr="0090649A">
        <w:rPr>
          <w:rFonts w:ascii="Verdana" w:hAnsi="Verdana"/>
          <w:sz w:val="20"/>
          <w:szCs w:val="20"/>
          <w:lang w:val="es-CR"/>
        </w:rPr>
        <w:t>.</w:t>
      </w:r>
      <w:r w:rsidR="00F7463D" w:rsidRPr="0090649A">
        <w:rPr>
          <w:rFonts w:ascii="Verdana" w:hAnsi="Verdana"/>
          <w:sz w:val="16"/>
          <w:szCs w:val="16"/>
          <w:lang w:val="es-CR"/>
        </w:rPr>
        <w:t xml:space="preserve"> </w:t>
      </w:r>
    </w:p>
    <w:p w:rsidR="00207954" w:rsidRPr="0090649A" w:rsidRDefault="00207954" w:rsidP="00207954">
      <w:pPr>
        <w:pStyle w:val="Sombreadovistoso-nfasis3"/>
        <w:tabs>
          <w:tab w:val="left" w:pos="709"/>
        </w:tabs>
        <w:spacing w:after="0" w:line="240" w:lineRule="auto"/>
        <w:ind w:left="0"/>
        <w:contextualSpacing w:val="0"/>
        <w:jc w:val="both"/>
        <w:rPr>
          <w:rFonts w:ascii="Verdana" w:hAnsi="Verdana" w:cs="Arial"/>
          <w:sz w:val="20"/>
          <w:szCs w:val="20"/>
          <w:lang w:val="es-CR"/>
        </w:rPr>
      </w:pPr>
    </w:p>
    <w:p w:rsidR="005D2B5A" w:rsidRPr="0090649A" w:rsidRDefault="005D2B5A" w:rsidP="00453D58">
      <w:pPr>
        <w:numPr>
          <w:ilvl w:val="0"/>
          <w:numId w:val="17"/>
        </w:numPr>
        <w:tabs>
          <w:tab w:val="left" w:pos="709"/>
        </w:tabs>
        <w:spacing w:after="0" w:line="240" w:lineRule="auto"/>
        <w:ind w:left="0" w:firstLine="0"/>
        <w:jc w:val="both"/>
        <w:rPr>
          <w:rFonts w:ascii="Verdana" w:hAnsi="Verdana" w:cs="Arial"/>
          <w:sz w:val="20"/>
          <w:szCs w:val="20"/>
          <w:lang w:val="es-CR"/>
        </w:rPr>
      </w:pPr>
      <w:r w:rsidRPr="0090649A">
        <w:rPr>
          <w:rFonts w:ascii="Verdana" w:hAnsi="Verdana" w:cs="Arial"/>
          <w:sz w:val="20"/>
          <w:szCs w:val="20"/>
          <w:lang w:val="es-CR"/>
        </w:rPr>
        <w:t>Aunado a todo lo anterior, resulta perjudicial para avanzar hacia el cumplimiento de esta medida el hecho de que el Estado no ha garantizado canales de comunicación directa entre el Poder Judicial y las dos víctimas, sino que las decisiones de aquel han sido comunicadas a través de la Procuraduría General de la República (</w:t>
      </w:r>
      <w:r w:rsidRPr="0090649A">
        <w:rPr>
          <w:rFonts w:ascii="Verdana" w:hAnsi="Verdana" w:cs="Arial"/>
          <w:i/>
          <w:sz w:val="20"/>
          <w:szCs w:val="20"/>
          <w:lang w:val="es-CR"/>
        </w:rPr>
        <w:t>supra</w:t>
      </w:r>
      <w:r w:rsidRPr="0090649A">
        <w:rPr>
          <w:rFonts w:ascii="Verdana" w:hAnsi="Verdana" w:cs="Arial"/>
          <w:sz w:val="20"/>
          <w:szCs w:val="20"/>
          <w:lang w:val="es-CR"/>
        </w:rPr>
        <w:t xml:space="preserve"> Considerando</w:t>
      </w:r>
      <w:r w:rsidR="00875592">
        <w:rPr>
          <w:rFonts w:ascii="Verdana" w:hAnsi="Verdana" w:cs="Arial"/>
          <w:sz w:val="20"/>
          <w:szCs w:val="20"/>
          <w:lang w:val="es-CR"/>
        </w:rPr>
        <w:t>s</w:t>
      </w:r>
      <w:r w:rsidRPr="0090649A">
        <w:rPr>
          <w:rFonts w:ascii="Verdana" w:hAnsi="Verdana" w:cs="Arial"/>
          <w:sz w:val="20"/>
          <w:szCs w:val="20"/>
          <w:lang w:val="es-CR"/>
        </w:rPr>
        <w:t xml:space="preserve"> </w:t>
      </w:r>
      <w:r w:rsidR="000F4D3B" w:rsidRPr="0090649A">
        <w:rPr>
          <w:rFonts w:ascii="Verdana" w:hAnsi="Verdana" w:cs="Arial"/>
          <w:sz w:val="20"/>
          <w:szCs w:val="20"/>
          <w:lang w:val="es-CR"/>
        </w:rPr>
        <w:t>4, 6 y 11</w:t>
      </w:r>
      <w:r w:rsidRPr="0090649A">
        <w:rPr>
          <w:rFonts w:ascii="Verdana" w:hAnsi="Verdana" w:cs="Arial"/>
          <w:sz w:val="20"/>
          <w:szCs w:val="20"/>
          <w:lang w:val="es-CR"/>
        </w:rPr>
        <w:t>). N</w:t>
      </w:r>
      <w:r w:rsidRPr="0090649A">
        <w:rPr>
          <w:rFonts w:ascii="Verdana" w:hAnsi="Verdana"/>
          <w:sz w:val="20"/>
          <w:szCs w:val="20"/>
          <w:lang w:val="es-CR"/>
        </w:rPr>
        <w:t xml:space="preserve">o corresponde a esta Corte determinar en abstracto cuáles de las plazas vacantes o por crearse son idóneas para reincorporar a las víctimas. Por ello </w:t>
      </w:r>
      <w:r w:rsidRPr="0090649A">
        <w:rPr>
          <w:rFonts w:ascii="Verdana" w:hAnsi="Verdana" w:cs="Arial"/>
          <w:sz w:val="20"/>
          <w:szCs w:val="20"/>
          <w:lang w:val="es-CR"/>
        </w:rPr>
        <w:t xml:space="preserve">es indispensable la apertura de espacios de diálogo entre las partes, para que se ofrezcan posibilidades a las víctimas y para </w:t>
      </w:r>
      <w:r w:rsidR="00875592">
        <w:rPr>
          <w:rFonts w:ascii="Verdana" w:hAnsi="Verdana" w:cs="Arial"/>
          <w:sz w:val="20"/>
          <w:szCs w:val="20"/>
          <w:lang w:val="es-CR"/>
        </w:rPr>
        <w:t xml:space="preserve">que </w:t>
      </w:r>
      <w:r w:rsidRPr="0090649A">
        <w:rPr>
          <w:rFonts w:ascii="Verdana" w:hAnsi="Verdana" w:cs="Arial"/>
          <w:sz w:val="20"/>
          <w:szCs w:val="20"/>
          <w:lang w:val="es-CR"/>
        </w:rPr>
        <w:t xml:space="preserve">sean escuchadas en cuanto a sus opiniones. </w:t>
      </w:r>
    </w:p>
    <w:p w:rsidR="005D2B5A" w:rsidRPr="0090649A" w:rsidRDefault="005D2B5A" w:rsidP="00207954">
      <w:pPr>
        <w:pStyle w:val="Sombreadovistoso-nfasis3"/>
        <w:tabs>
          <w:tab w:val="left" w:pos="709"/>
        </w:tabs>
        <w:spacing w:after="0" w:line="240" w:lineRule="auto"/>
        <w:ind w:left="0"/>
        <w:contextualSpacing w:val="0"/>
        <w:jc w:val="both"/>
        <w:rPr>
          <w:rFonts w:ascii="Verdana" w:hAnsi="Verdana" w:cs="Arial"/>
          <w:sz w:val="20"/>
          <w:szCs w:val="20"/>
          <w:lang w:val="es-CR"/>
        </w:rPr>
      </w:pPr>
    </w:p>
    <w:p w:rsidR="004A5EFA" w:rsidRPr="0090649A" w:rsidRDefault="00827193" w:rsidP="00453D58">
      <w:pPr>
        <w:pStyle w:val="Sombreadovistoso-nfasis3"/>
        <w:numPr>
          <w:ilvl w:val="0"/>
          <w:numId w:val="17"/>
        </w:numPr>
        <w:tabs>
          <w:tab w:val="left" w:pos="709"/>
        </w:tabs>
        <w:spacing w:after="0" w:line="240" w:lineRule="auto"/>
        <w:ind w:left="0" w:firstLine="0"/>
        <w:contextualSpacing w:val="0"/>
        <w:jc w:val="both"/>
        <w:rPr>
          <w:rFonts w:ascii="Verdana" w:hAnsi="Verdana" w:cs="Arial"/>
          <w:sz w:val="20"/>
          <w:szCs w:val="20"/>
          <w:lang w:val="es-CR"/>
        </w:rPr>
      </w:pPr>
      <w:r w:rsidRPr="0090649A">
        <w:rPr>
          <w:rFonts w:ascii="Verdana" w:hAnsi="Verdana" w:cs="Arial"/>
          <w:sz w:val="20"/>
          <w:szCs w:val="20"/>
          <w:lang w:val="es-CR"/>
        </w:rPr>
        <w:t>De conformidad con todo lo expuesto, e</w:t>
      </w:r>
      <w:r w:rsidR="001A5654" w:rsidRPr="0090649A">
        <w:rPr>
          <w:rFonts w:ascii="Verdana" w:hAnsi="Verdana" w:cs="Arial"/>
          <w:sz w:val="20"/>
          <w:szCs w:val="20"/>
          <w:lang w:val="es-CR"/>
        </w:rPr>
        <w:t xml:space="preserve">l Estado ha </w:t>
      </w:r>
      <w:r w:rsidR="001529B4" w:rsidRPr="0090649A">
        <w:rPr>
          <w:rFonts w:ascii="Verdana" w:hAnsi="Verdana" w:cs="Arial"/>
          <w:sz w:val="20"/>
          <w:szCs w:val="20"/>
          <w:lang w:val="es-CR"/>
        </w:rPr>
        <w:t>actuado</w:t>
      </w:r>
      <w:r w:rsidR="001A5654" w:rsidRPr="0090649A">
        <w:rPr>
          <w:rFonts w:ascii="Verdana" w:hAnsi="Verdana" w:cs="Arial"/>
          <w:sz w:val="20"/>
          <w:szCs w:val="20"/>
          <w:lang w:val="es-CR"/>
        </w:rPr>
        <w:t xml:space="preserve"> de forma contraria al </w:t>
      </w:r>
      <w:r w:rsidR="001529B4" w:rsidRPr="0090649A">
        <w:rPr>
          <w:rFonts w:ascii="Verdana" w:hAnsi="Verdana" w:cs="Arial"/>
          <w:sz w:val="20"/>
          <w:szCs w:val="20"/>
          <w:lang w:val="es-CR"/>
        </w:rPr>
        <w:t>cumplimiento</w:t>
      </w:r>
      <w:r w:rsidR="001A5654" w:rsidRPr="0090649A">
        <w:rPr>
          <w:rFonts w:ascii="Verdana" w:hAnsi="Verdana" w:cs="Arial"/>
          <w:sz w:val="20"/>
          <w:szCs w:val="20"/>
          <w:lang w:val="es-CR"/>
        </w:rPr>
        <w:t xml:space="preserve"> de buena fe </w:t>
      </w:r>
      <w:r w:rsidR="001529B4" w:rsidRPr="0090649A">
        <w:rPr>
          <w:rFonts w:ascii="Verdana" w:hAnsi="Verdana" w:cs="Arial"/>
          <w:sz w:val="20"/>
          <w:szCs w:val="20"/>
          <w:lang w:val="es-CR"/>
        </w:rPr>
        <w:t>respe</w:t>
      </w:r>
      <w:r w:rsidR="00207954" w:rsidRPr="0090649A">
        <w:rPr>
          <w:rFonts w:ascii="Verdana" w:hAnsi="Verdana" w:cs="Arial"/>
          <w:sz w:val="20"/>
          <w:szCs w:val="20"/>
          <w:lang w:val="es-CR"/>
        </w:rPr>
        <w:t>cto de la medida de restitución de las víctimas Adán Guillermo López Lone y Tirza del Carmen Flores Lanza,</w:t>
      </w:r>
      <w:r w:rsidR="001529B4" w:rsidRPr="0090649A">
        <w:rPr>
          <w:rFonts w:ascii="Verdana" w:hAnsi="Verdana" w:cs="Arial"/>
          <w:sz w:val="20"/>
          <w:szCs w:val="20"/>
          <w:lang w:val="es-CR"/>
        </w:rPr>
        <w:t xml:space="preserve"> </w:t>
      </w:r>
      <w:r w:rsidR="00207954" w:rsidRPr="0090649A">
        <w:rPr>
          <w:rFonts w:ascii="Verdana" w:hAnsi="Verdana" w:cs="Arial"/>
          <w:sz w:val="20"/>
          <w:szCs w:val="20"/>
          <w:lang w:val="es-CR"/>
        </w:rPr>
        <w:t xml:space="preserve">a cargos similares a los que desempeñaban al momento de los hechos, de conformidad con lo establecido en los párrafos 297 y 298 y punto dispositivo décimo sexto de la Sentencia. </w:t>
      </w:r>
      <w:r w:rsidR="00C029AD" w:rsidRPr="0090649A">
        <w:rPr>
          <w:rFonts w:ascii="Verdana" w:hAnsi="Verdana" w:cs="Arial"/>
          <w:sz w:val="20"/>
          <w:szCs w:val="20"/>
          <w:lang w:val="es-CR"/>
        </w:rPr>
        <w:t>Esa falta de voluntad del Estado para dar cumplimiento efectivo a esta medida de reparación</w:t>
      </w:r>
      <w:r w:rsidR="00207954" w:rsidRPr="0090649A">
        <w:rPr>
          <w:rFonts w:ascii="Verdana" w:hAnsi="Verdana" w:cs="Arial"/>
          <w:sz w:val="20"/>
          <w:szCs w:val="20"/>
          <w:lang w:val="es-CR"/>
        </w:rPr>
        <w:t xml:space="preserve"> </w:t>
      </w:r>
      <w:r w:rsidR="00C029AD" w:rsidRPr="0090649A">
        <w:rPr>
          <w:rFonts w:ascii="Verdana" w:hAnsi="Verdana" w:cs="Arial"/>
          <w:sz w:val="20"/>
          <w:szCs w:val="20"/>
          <w:lang w:val="es-CR"/>
        </w:rPr>
        <w:t>perpetúa</w:t>
      </w:r>
      <w:r w:rsidR="00207954" w:rsidRPr="0090649A">
        <w:rPr>
          <w:rFonts w:ascii="Verdana" w:hAnsi="Verdana" w:cs="Arial"/>
          <w:sz w:val="20"/>
          <w:szCs w:val="20"/>
          <w:lang w:val="es-CR"/>
        </w:rPr>
        <w:t xml:space="preserve"> una situación de </w:t>
      </w:r>
      <w:r w:rsidR="00354C9A" w:rsidRPr="0090649A">
        <w:rPr>
          <w:rFonts w:ascii="Verdana" w:hAnsi="Verdana" w:cs="Arial"/>
          <w:sz w:val="20"/>
          <w:szCs w:val="20"/>
          <w:lang w:val="es-CR"/>
        </w:rPr>
        <w:t>afectación al derecho a la permanencia de los jueces en su cargo</w:t>
      </w:r>
      <w:r w:rsidR="00207954" w:rsidRPr="0090649A">
        <w:rPr>
          <w:rFonts w:ascii="Verdana" w:hAnsi="Verdana" w:cs="Arial"/>
          <w:sz w:val="20"/>
          <w:szCs w:val="20"/>
          <w:lang w:val="es-CR"/>
        </w:rPr>
        <w:t xml:space="preserve"> (</w:t>
      </w:r>
      <w:r w:rsidR="00207954" w:rsidRPr="0090649A">
        <w:rPr>
          <w:rFonts w:ascii="Verdana" w:hAnsi="Verdana" w:cs="Arial"/>
          <w:i/>
          <w:sz w:val="20"/>
          <w:szCs w:val="20"/>
          <w:lang w:val="es-CR"/>
        </w:rPr>
        <w:t xml:space="preserve">supra </w:t>
      </w:r>
      <w:r w:rsidR="00354C9A" w:rsidRPr="0090649A">
        <w:rPr>
          <w:rFonts w:ascii="Verdana" w:hAnsi="Verdana" w:cs="Arial"/>
          <w:sz w:val="20"/>
          <w:szCs w:val="20"/>
          <w:lang w:val="es-CR"/>
        </w:rPr>
        <w:t>V</w:t>
      </w:r>
      <w:r w:rsidR="00207954" w:rsidRPr="0090649A">
        <w:rPr>
          <w:rFonts w:ascii="Verdana" w:hAnsi="Verdana" w:cs="Arial"/>
          <w:sz w:val="20"/>
          <w:szCs w:val="20"/>
          <w:lang w:val="es-CR"/>
        </w:rPr>
        <w:t>isto 1) y, además, dicha situación sigue</w:t>
      </w:r>
      <w:r w:rsidR="00354C9A" w:rsidRPr="0090649A">
        <w:rPr>
          <w:rFonts w:ascii="Verdana" w:hAnsi="Verdana" w:cs="Arial"/>
          <w:sz w:val="20"/>
          <w:szCs w:val="20"/>
          <w:lang w:val="es-CR"/>
        </w:rPr>
        <w:t xml:space="preserve"> constituyendo una grave afrenta a la garantía de</w:t>
      </w:r>
      <w:r w:rsidR="00207954" w:rsidRPr="0090649A">
        <w:rPr>
          <w:rFonts w:ascii="Verdana" w:hAnsi="Verdana" w:cs="Arial"/>
          <w:sz w:val="20"/>
          <w:szCs w:val="20"/>
          <w:lang w:val="es-CR"/>
        </w:rPr>
        <w:t xml:space="preserve"> la independencia del </w:t>
      </w:r>
      <w:r w:rsidR="00A37C42" w:rsidRPr="0090649A">
        <w:rPr>
          <w:rFonts w:ascii="Verdana" w:hAnsi="Verdana" w:cs="Arial"/>
          <w:sz w:val="20"/>
          <w:szCs w:val="20"/>
          <w:lang w:val="es-CR"/>
        </w:rPr>
        <w:t>Poder Judicial hondureño</w:t>
      </w:r>
      <w:r w:rsidR="004640C5" w:rsidRPr="0090649A">
        <w:rPr>
          <w:rFonts w:ascii="Verdana" w:hAnsi="Verdana" w:cs="Arial"/>
          <w:sz w:val="20"/>
          <w:szCs w:val="20"/>
          <w:lang w:val="es-CR"/>
        </w:rPr>
        <w:t>.</w:t>
      </w:r>
    </w:p>
    <w:p w:rsidR="00626227" w:rsidRPr="0090649A" w:rsidRDefault="00626227" w:rsidP="00626227">
      <w:pPr>
        <w:pStyle w:val="Sombreadovistoso-nfasis3"/>
        <w:tabs>
          <w:tab w:val="left" w:pos="709"/>
        </w:tabs>
        <w:spacing w:after="0" w:line="240" w:lineRule="auto"/>
        <w:ind w:left="0"/>
        <w:contextualSpacing w:val="0"/>
        <w:jc w:val="both"/>
        <w:rPr>
          <w:rFonts w:ascii="Verdana" w:hAnsi="Verdana" w:cs="Arial"/>
          <w:sz w:val="20"/>
          <w:szCs w:val="20"/>
          <w:lang w:val="es-CR"/>
        </w:rPr>
      </w:pPr>
    </w:p>
    <w:p w:rsidR="004A5EFA" w:rsidRPr="0090649A" w:rsidRDefault="004A5EFA" w:rsidP="00453D58">
      <w:pPr>
        <w:pStyle w:val="Sombreadovistoso-nfasis3"/>
        <w:numPr>
          <w:ilvl w:val="0"/>
          <w:numId w:val="17"/>
        </w:numPr>
        <w:tabs>
          <w:tab w:val="left" w:pos="709"/>
        </w:tabs>
        <w:spacing w:after="0" w:line="240" w:lineRule="auto"/>
        <w:ind w:left="0" w:firstLine="0"/>
        <w:contextualSpacing w:val="0"/>
        <w:jc w:val="both"/>
        <w:rPr>
          <w:rFonts w:ascii="Verdana" w:hAnsi="Verdana" w:cs="Arial"/>
          <w:sz w:val="20"/>
          <w:szCs w:val="20"/>
          <w:lang w:val="es-CR"/>
        </w:rPr>
      </w:pPr>
      <w:r w:rsidRPr="0090649A">
        <w:rPr>
          <w:rFonts w:ascii="Verdana" w:hAnsi="Verdana" w:cs="Arial"/>
          <w:sz w:val="20"/>
          <w:szCs w:val="20"/>
          <w:lang w:val="es-CR"/>
        </w:rPr>
        <w:t xml:space="preserve">El Estado debe de manera inmediata tomar todas las medidas necesarias para </w:t>
      </w:r>
      <w:r w:rsidR="001E76D9">
        <w:rPr>
          <w:rFonts w:ascii="Verdana" w:hAnsi="Verdana" w:cs="Arial"/>
          <w:sz w:val="20"/>
          <w:szCs w:val="20"/>
          <w:lang w:val="es-CR"/>
        </w:rPr>
        <w:t>reincorporar</w:t>
      </w:r>
      <w:r w:rsidRPr="0090649A">
        <w:rPr>
          <w:rFonts w:ascii="Verdana" w:hAnsi="Verdana" w:cs="Arial"/>
          <w:sz w:val="20"/>
          <w:szCs w:val="20"/>
          <w:lang w:val="es-CR"/>
        </w:rPr>
        <w:t xml:space="preserve"> al señor López Lone y </w:t>
      </w:r>
      <w:r w:rsidR="001E76D9">
        <w:rPr>
          <w:rFonts w:ascii="Verdana" w:hAnsi="Verdana" w:cs="Arial"/>
          <w:sz w:val="20"/>
          <w:szCs w:val="20"/>
          <w:lang w:val="es-CR"/>
        </w:rPr>
        <w:t xml:space="preserve">a </w:t>
      </w:r>
      <w:r w:rsidRPr="0090649A">
        <w:rPr>
          <w:rFonts w:ascii="Verdana" w:hAnsi="Verdana" w:cs="Arial"/>
          <w:sz w:val="20"/>
          <w:szCs w:val="20"/>
          <w:lang w:val="es-CR"/>
        </w:rPr>
        <w:t xml:space="preserve">la señora Flores Lanza a cargos similares a los que </w:t>
      </w:r>
      <w:r w:rsidRPr="0090649A">
        <w:rPr>
          <w:rFonts w:ascii="Verdana" w:hAnsi="Verdana" w:cs="Arial"/>
          <w:sz w:val="20"/>
          <w:szCs w:val="20"/>
          <w:lang w:val="es-CR"/>
        </w:rPr>
        <w:lastRenderedPageBreak/>
        <w:t>desempeñaban al momento de los hechos (</w:t>
      </w:r>
      <w:r w:rsidRPr="0090649A">
        <w:rPr>
          <w:rFonts w:ascii="Verdana" w:hAnsi="Verdana" w:cs="Arial"/>
          <w:i/>
          <w:sz w:val="20"/>
          <w:szCs w:val="20"/>
          <w:lang w:val="es-CR"/>
        </w:rPr>
        <w:t>supra</w:t>
      </w:r>
      <w:r w:rsidR="000F4D3B" w:rsidRPr="0090649A">
        <w:rPr>
          <w:rFonts w:ascii="Verdana" w:hAnsi="Verdana" w:cs="Arial"/>
          <w:sz w:val="20"/>
          <w:szCs w:val="20"/>
          <w:lang w:val="es-CR"/>
        </w:rPr>
        <w:t xml:space="preserve"> Considerando 3</w:t>
      </w:r>
      <w:r w:rsidRPr="0090649A">
        <w:rPr>
          <w:rFonts w:ascii="Verdana" w:hAnsi="Verdana" w:cs="Arial"/>
          <w:sz w:val="20"/>
          <w:szCs w:val="20"/>
          <w:lang w:val="es-CR"/>
        </w:rPr>
        <w:t xml:space="preserve">). En el informe requerido en el punto resolutivo </w:t>
      </w:r>
      <w:r w:rsidR="00875592">
        <w:rPr>
          <w:rFonts w:ascii="Verdana" w:hAnsi="Verdana" w:cs="Arial"/>
          <w:sz w:val="20"/>
          <w:szCs w:val="20"/>
          <w:lang w:val="es-CR"/>
        </w:rPr>
        <w:t>7</w:t>
      </w:r>
      <w:r w:rsidR="00875592" w:rsidRPr="0090649A">
        <w:rPr>
          <w:rFonts w:ascii="Verdana" w:hAnsi="Verdana" w:cs="Arial"/>
          <w:sz w:val="20"/>
          <w:szCs w:val="20"/>
          <w:lang w:val="es-CR"/>
        </w:rPr>
        <w:t xml:space="preserve"> </w:t>
      </w:r>
      <w:r w:rsidRPr="0090649A">
        <w:rPr>
          <w:rFonts w:ascii="Verdana" w:hAnsi="Verdana" w:cs="Arial"/>
          <w:sz w:val="20"/>
          <w:szCs w:val="20"/>
          <w:lang w:val="es-CR"/>
        </w:rPr>
        <w:t>de la presente Resolución, el Estado deberá: i) señalar los espacios de diálogo abiertos entre las víctimas o sus representantes y las autoridades estatales para buscar conjuntamente cuáles pueden ser las plazas vacantes disponibles que cumplan con los criterios establecidos en la Sentencia, y ii) detallar todas las acciones y medidas que se han tomado para dar una solución final al cumplimiento de la referida medida, así como las autoridades estatales encargadas de ello.</w:t>
      </w:r>
    </w:p>
    <w:p w:rsidR="00B04611" w:rsidRPr="0090649A" w:rsidRDefault="00B04611" w:rsidP="00B04611">
      <w:pPr>
        <w:pStyle w:val="Sombreadovistoso-nfasis3"/>
        <w:tabs>
          <w:tab w:val="left" w:pos="709"/>
        </w:tabs>
        <w:spacing w:after="0" w:line="240" w:lineRule="auto"/>
        <w:ind w:left="0"/>
        <w:contextualSpacing w:val="0"/>
        <w:jc w:val="both"/>
        <w:rPr>
          <w:rFonts w:ascii="Verdana" w:hAnsi="Verdana" w:cs="Arial"/>
          <w:sz w:val="20"/>
          <w:szCs w:val="20"/>
          <w:lang w:val="es-CR"/>
        </w:rPr>
      </w:pPr>
    </w:p>
    <w:p w:rsidR="003D3867" w:rsidRPr="0090649A" w:rsidRDefault="00A41532" w:rsidP="00A41532">
      <w:pPr>
        <w:pStyle w:val="Sombreadovistoso-nfasis3"/>
        <w:numPr>
          <w:ilvl w:val="0"/>
          <w:numId w:val="17"/>
        </w:numPr>
        <w:tabs>
          <w:tab w:val="left" w:pos="709"/>
        </w:tabs>
        <w:spacing w:after="0" w:line="240" w:lineRule="auto"/>
        <w:ind w:left="0" w:firstLine="0"/>
        <w:contextualSpacing w:val="0"/>
        <w:jc w:val="both"/>
        <w:rPr>
          <w:rFonts w:ascii="Verdana" w:hAnsi="Verdana" w:cs="Arial"/>
          <w:sz w:val="20"/>
          <w:szCs w:val="20"/>
          <w:lang w:val="es-CR"/>
        </w:rPr>
      </w:pPr>
      <w:r w:rsidRPr="0090649A">
        <w:rPr>
          <w:rFonts w:ascii="Verdana" w:hAnsi="Verdana"/>
          <w:sz w:val="20"/>
          <w:lang w:val="es-CR"/>
        </w:rPr>
        <w:t xml:space="preserve">La Corte </w:t>
      </w:r>
      <w:r w:rsidR="001C2C48" w:rsidRPr="0090649A">
        <w:rPr>
          <w:rFonts w:ascii="Verdana" w:hAnsi="Verdana"/>
          <w:sz w:val="20"/>
          <w:lang w:val="es-CR"/>
        </w:rPr>
        <w:t>dispone, de conformidad con los artículos 4.1.f y 69</w:t>
      </w:r>
      <w:r w:rsidR="005A75B7" w:rsidRPr="0090649A">
        <w:rPr>
          <w:rFonts w:ascii="Verdana" w:hAnsi="Verdana"/>
          <w:sz w:val="20"/>
          <w:lang w:val="es-CR"/>
        </w:rPr>
        <w:t xml:space="preserve"> de su</w:t>
      </w:r>
      <w:r w:rsidR="001C2C48" w:rsidRPr="0090649A">
        <w:rPr>
          <w:rFonts w:ascii="Verdana" w:hAnsi="Verdana"/>
          <w:sz w:val="20"/>
          <w:lang w:val="es-CR"/>
        </w:rPr>
        <w:t xml:space="preserve"> Reglamento</w:t>
      </w:r>
      <w:r w:rsidR="005A75B7" w:rsidRPr="0090649A">
        <w:rPr>
          <w:rFonts w:ascii="Verdana" w:hAnsi="Verdana"/>
          <w:sz w:val="20"/>
          <w:lang w:val="es-CR"/>
        </w:rPr>
        <w:t>,</w:t>
      </w:r>
      <w:r w:rsidR="001C2C48" w:rsidRPr="0090649A">
        <w:rPr>
          <w:rFonts w:ascii="Verdana" w:hAnsi="Verdana"/>
          <w:sz w:val="20"/>
          <w:lang w:val="es-CR"/>
        </w:rPr>
        <w:t xml:space="preserve"> </w:t>
      </w:r>
      <w:r w:rsidRPr="0090649A">
        <w:rPr>
          <w:rFonts w:ascii="Verdana" w:hAnsi="Verdana"/>
          <w:sz w:val="20"/>
          <w:lang w:val="es-CR"/>
        </w:rPr>
        <w:t xml:space="preserve">que </w:t>
      </w:r>
      <w:r w:rsidR="00126182" w:rsidRPr="0090649A">
        <w:rPr>
          <w:rFonts w:ascii="Verdana" w:hAnsi="Verdana"/>
          <w:sz w:val="20"/>
          <w:lang w:val="es-CR"/>
        </w:rPr>
        <w:t>su</w:t>
      </w:r>
      <w:r w:rsidR="0057601E" w:rsidRPr="0090649A">
        <w:rPr>
          <w:rFonts w:ascii="Verdana" w:hAnsi="Verdana"/>
          <w:sz w:val="20"/>
          <w:lang w:val="es-CR"/>
        </w:rPr>
        <w:t xml:space="preserve"> Presidente estudi</w:t>
      </w:r>
      <w:r w:rsidRPr="0090649A">
        <w:rPr>
          <w:rFonts w:ascii="Verdana" w:hAnsi="Verdana"/>
          <w:sz w:val="20"/>
          <w:lang w:val="es-CR"/>
        </w:rPr>
        <w:t>e</w:t>
      </w:r>
      <w:r w:rsidR="0057601E" w:rsidRPr="0090649A">
        <w:rPr>
          <w:rFonts w:ascii="Verdana" w:hAnsi="Verdana"/>
          <w:sz w:val="20"/>
          <w:lang w:val="es-CR"/>
        </w:rPr>
        <w:t xml:space="preserve"> la información proporcionada por el Estado en el informe </w:t>
      </w:r>
      <w:r w:rsidR="001265D4" w:rsidRPr="0090649A">
        <w:rPr>
          <w:rFonts w:ascii="Verdana" w:hAnsi="Verdana"/>
          <w:sz w:val="20"/>
          <w:lang w:val="es-CR"/>
        </w:rPr>
        <w:t>mencionado</w:t>
      </w:r>
      <w:r w:rsidR="0057601E" w:rsidRPr="0090649A">
        <w:rPr>
          <w:rFonts w:ascii="Verdana" w:hAnsi="Verdana"/>
          <w:sz w:val="20"/>
          <w:lang w:val="es-CR"/>
        </w:rPr>
        <w:t xml:space="preserve"> en el Considerando 28</w:t>
      </w:r>
      <w:r w:rsidR="005A75B7" w:rsidRPr="0090649A">
        <w:rPr>
          <w:rFonts w:ascii="Verdana" w:hAnsi="Verdana"/>
          <w:sz w:val="20"/>
          <w:lang w:val="es-CR"/>
        </w:rPr>
        <w:t>,</w:t>
      </w:r>
      <w:r w:rsidR="000E1E5E" w:rsidRPr="0090649A">
        <w:rPr>
          <w:rFonts w:ascii="Verdana" w:hAnsi="Verdana"/>
          <w:sz w:val="20"/>
          <w:lang w:val="es-CR"/>
        </w:rPr>
        <w:t xml:space="preserve"> para valorar si persiste el panorama de posible incumplimiento</w:t>
      </w:r>
      <w:r w:rsidR="0057601E" w:rsidRPr="0090649A">
        <w:rPr>
          <w:rFonts w:ascii="Verdana" w:hAnsi="Verdana"/>
          <w:sz w:val="20"/>
          <w:lang w:val="es-CR"/>
        </w:rPr>
        <w:t xml:space="preserve">. </w:t>
      </w:r>
      <w:r w:rsidR="005A75B7" w:rsidRPr="0090649A">
        <w:rPr>
          <w:rFonts w:ascii="Verdana" w:hAnsi="Verdana"/>
          <w:sz w:val="20"/>
          <w:lang w:val="es-CR"/>
        </w:rPr>
        <w:t xml:space="preserve">De darse este último escenario y con base </w:t>
      </w:r>
      <w:r w:rsidR="000E1E5E" w:rsidRPr="0090649A">
        <w:rPr>
          <w:rFonts w:ascii="Verdana" w:hAnsi="Verdana"/>
          <w:sz w:val="20"/>
          <w:lang w:val="es-CR"/>
        </w:rPr>
        <w:t>en</w:t>
      </w:r>
      <w:r w:rsidR="001A6AAA" w:rsidRPr="0090649A">
        <w:rPr>
          <w:rFonts w:ascii="Verdana" w:hAnsi="Verdana"/>
          <w:sz w:val="20"/>
          <w:lang w:val="es-CR"/>
        </w:rPr>
        <w:t xml:space="preserve"> </w:t>
      </w:r>
      <w:r w:rsidR="00126182" w:rsidRPr="0090649A">
        <w:rPr>
          <w:rFonts w:ascii="Verdana" w:hAnsi="Verdana"/>
          <w:sz w:val="20"/>
          <w:lang w:val="es-CR"/>
        </w:rPr>
        <w:t>dichas normas</w:t>
      </w:r>
      <w:r w:rsidR="000E1E5E" w:rsidRPr="0090649A">
        <w:rPr>
          <w:rFonts w:ascii="Verdana" w:hAnsi="Verdana"/>
          <w:sz w:val="20"/>
          <w:lang w:val="es-CR"/>
        </w:rPr>
        <w:t xml:space="preserve">, </w:t>
      </w:r>
      <w:r w:rsidR="00126182" w:rsidRPr="0090649A">
        <w:rPr>
          <w:rFonts w:ascii="Verdana" w:hAnsi="Verdana"/>
          <w:sz w:val="20"/>
          <w:lang w:val="es-CR"/>
        </w:rPr>
        <w:t xml:space="preserve">el Tribunal </w:t>
      </w:r>
      <w:r w:rsidR="005A75B7" w:rsidRPr="0090649A">
        <w:rPr>
          <w:rFonts w:ascii="Verdana" w:hAnsi="Verdana"/>
          <w:sz w:val="20"/>
          <w:lang w:val="es-CR"/>
        </w:rPr>
        <w:t xml:space="preserve">también dispone que </w:t>
      </w:r>
      <w:r w:rsidR="00126182" w:rsidRPr="0090649A">
        <w:rPr>
          <w:rFonts w:ascii="Verdana" w:hAnsi="Verdana"/>
          <w:sz w:val="20"/>
          <w:lang w:val="es-CR"/>
        </w:rPr>
        <w:t>su</w:t>
      </w:r>
      <w:r w:rsidR="005A75B7" w:rsidRPr="0090649A">
        <w:rPr>
          <w:rFonts w:ascii="Verdana" w:hAnsi="Verdana"/>
          <w:sz w:val="20"/>
          <w:lang w:val="es-CR"/>
        </w:rPr>
        <w:t xml:space="preserve"> </w:t>
      </w:r>
      <w:r w:rsidRPr="0090649A">
        <w:rPr>
          <w:rFonts w:ascii="Verdana" w:hAnsi="Verdana"/>
          <w:sz w:val="20"/>
          <w:lang w:val="es-CR"/>
        </w:rPr>
        <w:t xml:space="preserve">Presidente </w:t>
      </w:r>
      <w:r w:rsidRPr="0090649A">
        <w:rPr>
          <w:rFonts w:ascii="Verdana" w:hAnsi="Verdana"/>
          <w:sz w:val="20"/>
          <w:szCs w:val="20"/>
          <w:lang w:val="es-CR"/>
        </w:rPr>
        <w:t>podrá delegar a uno o más jueces o funcionarios de la Secretaría</w:t>
      </w:r>
      <w:r w:rsidR="005A75B7" w:rsidRPr="0090649A">
        <w:rPr>
          <w:rFonts w:ascii="Verdana" w:hAnsi="Verdana"/>
          <w:sz w:val="20"/>
          <w:szCs w:val="20"/>
          <w:lang w:val="es-CR"/>
        </w:rPr>
        <w:t>,</w:t>
      </w:r>
      <w:r w:rsidRPr="0090649A">
        <w:rPr>
          <w:rFonts w:ascii="Verdana" w:hAnsi="Verdana"/>
          <w:sz w:val="20"/>
          <w:szCs w:val="20"/>
          <w:lang w:val="es-CR"/>
        </w:rPr>
        <w:t xml:space="preserve"> la realización de una visita a Honduras con el fin de obtener de forma directa información relevante de las partes para supervisar el cumplimiento de</w:t>
      </w:r>
      <w:r w:rsidR="001E76D9">
        <w:rPr>
          <w:rFonts w:ascii="Verdana" w:hAnsi="Verdana"/>
          <w:sz w:val="20"/>
          <w:szCs w:val="20"/>
          <w:lang w:val="es-CR"/>
        </w:rPr>
        <w:t xml:space="preserve"> dicha reparación ordenada en</w:t>
      </w:r>
      <w:r w:rsidRPr="0090649A">
        <w:rPr>
          <w:rFonts w:ascii="Verdana" w:hAnsi="Verdana"/>
          <w:sz w:val="20"/>
          <w:szCs w:val="20"/>
          <w:lang w:val="es-CR"/>
        </w:rPr>
        <w:t xml:space="preserve"> la Sentencia, previo consentimiento y coordinación con dicho Estado.</w:t>
      </w:r>
    </w:p>
    <w:p w:rsidR="0023721E" w:rsidRPr="0090649A" w:rsidRDefault="0023721E" w:rsidP="003C27AC">
      <w:pPr>
        <w:pStyle w:val="Sombreadovistoso-nfasis3"/>
        <w:tabs>
          <w:tab w:val="left" w:pos="709"/>
        </w:tabs>
        <w:spacing w:after="0" w:line="240" w:lineRule="auto"/>
        <w:ind w:left="0"/>
        <w:contextualSpacing w:val="0"/>
        <w:jc w:val="both"/>
        <w:rPr>
          <w:rFonts w:ascii="Verdana" w:hAnsi="Verdana" w:cs="Arial"/>
          <w:sz w:val="20"/>
          <w:szCs w:val="20"/>
          <w:lang w:val="es-CR"/>
        </w:rPr>
      </w:pPr>
    </w:p>
    <w:p w:rsidR="001E19A3" w:rsidRPr="0090649A" w:rsidRDefault="004A185B" w:rsidP="00B4241A">
      <w:pPr>
        <w:pStyle w:val="Sombreadovistoso-nfasis3"/>
        <w:numPr>
          <w:ilvl w:val="0"/>
          <w:numId w:val="1"/>
        </w:numPr>
        <w:spacing w:after="0" w:line="240" w:lineRule="auto"/>
        <w:contextualSpacing w:val="0"/>
        <w:jc w:val="both"/>
        <w:outlineLvl w:val="0"/>
        <w:rPr>
          <w:rFonts w:ascii="Verdana" w:hAnsi="Verdana"/>
          <w:b/>
          <w:i/>
          <w:sz w:val="20"/>
          <w:lang w:val="es-CR"/>
        </w:rPr>
      </w:pPr>
      <w:bookmarkStart w:id="2" w:name="_Toc484097354"/>
      <w:r w:rsidRPr="0090649A">
        <w:rPr>
          <w:rFonts w:ascii="Verdana" w:hAnsi="Verdana"/>
          <w:b/>
          <w:i/>
          <w:sz w:val="20"/>
          <w:lang w:val="es-CR"/>
        </w:rPr>
        <w:t>Publicaci</w:t>
      </w:r>
      <w:r w:rsidR="00875592">
        <w:rPr>
          <w:rFonts w:ascii="Verdana" w:hAnsi="Verdana"/>
          <w:b/>
          <w:i/>
          <w:sz w:val="20"/>
          <w:lang w:val="es-CR"/>
        </w:rPr>
        <w:t>ón</w:t>
      </w:r>
      <w:r w:rsidRPr="0090649A">
        <w:rPr>
          <w:rFonts w:ascii="Verdana" w:hAnsi="Verdana"/>
          <w:b/>
          <w:i/>
          <w:sz w:val="20"/>
          <w:lang w:val="es-CR"/>
        </w:rPr>
        <w:t xml:space="preserve"> </w:t>
      </w:r>
      <w:r w:rsidR="00875592">
        <w:rPr>
          <w:rFonts w:ascii="Verdana" w:hAnsi="Verdana"/>
          <w:b/>
          <w:i/>
          <w:sz w:val="20"/>
          <w:lang w:val="es-CR"/>
        </w:rPr>
        <w:t xml:space="preserve">y difusión </w:t>
      </w:r>
      <w:r w:rsidR="00CD5FB7" w:rsidRPr="0090649A">
        <w:rPr>
          <w:rFonts w:ascii="Verdana" w:hAnsi="Verdana"/>
          <w:b/>
          <w:i/>
          <w:sz w:val="20"/>
          <w:lang w:val="es-CR"/>
        </w:rPr>
        <w:t xml:space="preserve">de </w:t>
      </w:r>
      <w:r w:rsidRPr="0090649A">
        <w:rPr>
          <w:rFonts w:ascii="Verdana" w:hAnsi="Verdana"/>
          <w:b/>
          <w:i/>
          <w:sz w:val="20"/>
          <w:lang w:val="es-CR"/>
        </w:rPr>
        <w:t>la Sentencia</w:t>
      </w:r>
      <w:bookmarkEnd w:id="2"/>
    </w:p>
    <w:p w:rsidR="004A185B" w:rsidRPr="0090649A" w:rsidRDefault="004A185B" w:rsidP="00B4241A">
      <w:pPr>
        <w:pStyle w:val="Sombreadovistoso-nfasis3"/>
        <w:spacing w:after="0" w:line="240" w:lineRule="auto"/>
        <w:contextualSpacing w:val="0"/>
        <w:jc w:val="both"/>
        <w:outlineLvl w:val="0"/>
        <w:rPr>
          <w:rFonts w:ascii="Verdana" w:hAnsi="Verdana"/>
          <w:b/>
          <w:i/>
          <w:sz w:val="20"/>
          <w:lang w:val="es-CR"/>
        </w:rPr>
      </w:pPr>
    </w:p>
    <w:p w:rsidR="006F0AF8" w:rsidRPr="0090649A" w:rsidRDefault="006F0AF8" w:rsidP="00B4241A">
      <w:pPr>
        <w:pStyle w:val="Sombreadovistoso-nfasis3"/>
        <w:spacing w:after="0" w:line="240" w:lineRule="auto"/>
        <w:contextualSpacing w:val="0"/>
        <w:jc w:val="both"/>
        <w:rPr>
          <w:rFonts w:ascii="Verdana" w:hAnsi="Verdana"/>
          <w:i/>
          <w:sz w:val="20"/>
          <w:lang w:val="es-CR"/>
        </w:rPr>
      </w:pPr>
      <w:r w:rsidRPr="0090649A">
        <w:rPr>
          <w:rFonts w:ascii="Verdana" w:hAnsi="Verdana"/>
          <w:i/>
          <w:sz w:val="20"/>
          <w:lang w:val="es-CR"/>
        </w:rPr>
        <w:t>B.</w:t>
      </w:r>
      <w:r w:rsidR="00E873A4" w:rsidRPr="0090649A">
        <w:rPr>
          <w:rFonts w:ascii="Verdana" w:hAnsi="Verdana"/>
          <w:i/>
          <w:sz w:val="20"/>
          <w:lang w:val="es-CR"/>
        </w:rPr>
        <w:t>1. Medida</w:t>
      </w:r>
      <w:r w:rsidR="00CD5FB7" w:rsidRPr="0090649A">
        <w:rPr>
          <w:rFonts w:ascii="Verdana" w:hAnsi="Verdana"/>
          <w:i/>
          <w:sz w:val="20"/>
          <w:lang w:val="es-CR"/>
        </w:rPr>
        <w:t>s</w:t>
      </w:r>
      <w:r w:rsidR="00E873A4" w:rsidRPr="0090649A">
        <w:rPr>
          <w:rFonts w:ascii="Verdana" w:hAnsi="Verdana"/>
          <w:i/>
          <w:sz w:val="20"/>
          <w:lang w:val="es-CR"/>
        </w:rPr>
        <w:t xml:space="preserve"> ordenada</w:t>
      </w:r>
      <w:r w:rsidR="00CD5FB7" w:rsidRPr="0090649A">
        <w:rPr>
          <w:rFonts w:ascii="Verdana" w:hAnsi="Verdana"/>
          <w:i/>
          <w:sz w:val="20"/>
          <w:lang w:val="es-CR"/>
        </w:rPr>
        <w:t>s</w:t>
      </w:r>
      <w:r w:rsidR="00E873A4" w:rsidRPr="0090649A">
        <w:rPr>
          <w:rFonts w:ascii="Verdana" w:hAnsi="Verdana"/>
          <w:i/>
          <w:sz w:val="20"/>
          <w:lang w:val="es-CR"/>
        </w:rPr>
        <w:t xml:space="preserve"> por la Corte</w:t>
      </w:r>
    </w:p>
    <w:p w:rsidR="004A185B" w:rsidRPr="0090649A" w:rsidRDefault="004A185B" w:rsidP="00B4241A">
      <w:pPr>
        <w:pStyle w:val="Sombreadovistoso-nfasis3"/>
        <w:spacing w:after="0" w:line="240" w:lineRule="auto"/>
        <w:ind w:left="0"/>
        <w:contextualSpacing w:val="0"/>
        <w:jc w:val="both"/>
        <w:rPr>
          <w:rFonts w:ascii="Verdana" w:hAnsi="Verdana"/>
          <w:sz w:val="20"/>
          <w:lang w:val="es-CR"/>
        </w:rPr>
      </w:pPr>
    </w:p>
    <w:p w:rsidR="00D1155E" w:rsidRPr="0090649A" w:rsidRDefault="006F0AF8" w:rsidP="00453D58">
      <w:pPr>
        <w:pStyle w:val="Sombreadovistoso-nfasis3"/>
        <w:numPr>
          <w:ilvl w:val="0"/>
          <w:numId w:val="17"/>
        </w:numPr>
        <w:spacing w:after="0" w:line="240" w:lineRule="auto"/>
        <w:ind w:left="0" w:firstLine="0"/>
        <w:contextualSpacing w:val="0"/>
        <w:jc w:val="both"/>
        <w:rPr>
          <w:rFonts w:ascii="Verdana" w:hAnsi="Verdana"/>
          <w:sz w:val="20"/>
          <w:szCs w:val="20"/>
          <w:lang w:val="es-CR"/>
        </w:rPr>
      </w:pPr>
      <w:r w:rsidRPr="0090649A">
        <w:rPr>
          <w:rFonts w:ascii="Verdana" w:hAnsi="Verdana"/>
          <w:sz w:val="20"/>
          <w:szCs w:val="20"/>
          <w:lang w:val="es-CR"/>
        </w:rPr>
        <w:t xml:space="preserve">En el punto resolutivo </w:t>
      </w:r>
      <w:r w:rsidR="008C1286" w:rsidRPr="0090649A">
        <w:rPr>
          <w:rFonts w:ascii="Verdana" w:hAnsi="Verdana"/>
          <w:sz w:val="20"/>
          <w:szCs w:val="20"/>
          <w:lang w:val="es-CR"/>
        </w:rPr>
        <w:t>décimo séptimo</w:t>
      </w:r>
      <w:r w:rsidRPr="0090649A">
        <w:rPr>
          <w:rFonts w:ascii="Verdana" w:hAnsi="Verdana"/>
          <w:sz w:val="20"/>
          <w:szCs w:val="20"/>
          <w:lang w:val="es-CR"/>
        </w:rPr>
        <w:t xml:space="preserve"> y en </w:t>
      </w:r>
      <w:r w:rsidR="008C1286" w:rsidRPr="0090649A">
        <w:rPr>
          <w:rFonts w:ascii="Verdana" w:hAnsi="Verdana"/>
          <w:sz w:val="20"/>
          <w:szCs w:val="20"/>
          <w:lang w:val="es-CR"/>
        </w:rPr>
        <w:t>el párrafo 303</w:t>
      </w:r>
      <w:r w:rsidRPr="0090649A">
        <w:rPr>
          <w:rFonts w:ascii="Verdana" w:hAnsi="Verdana"/>
          <w:sz w:val="20"/>
          <w:szCs w:val="20"/>
          <w:lang w:val="es-CR"/>
        </w:rPr>
        <w:t xml:space="preserve"> de la Sentencia, la Corte dispuso que </w:t>
      </w:r>
      <w:r w:rsidR="00D1155E" w:rsidRPr="0090649A">
        <w:rPr>
          <w:rFonts w:ascii="Verdana" w:hAnsi="Verdana"/>
          <w:sz w:val="20"/>
          <w:szCs w:val="20"/>
          <w:lang w:val="es-CR"/>
        </w:rPr>
        <w:t xml:space="preserve">el Estado debe </w:t>
      </w:r>
      <w:r w:rsidR="00875592">
        <w:rPr>
          <w:rFonts w:ascii="Verdana" w:hAnsi="Verdana"/>
          <w:sz w:val="20"/>
          <w:szCs w:val="20"/>
          <w:lang w:val="es-CR"/>
        </w:rPr>
        <w:t>“</w:t>
      </w:r>
      <w:r w:rsidR="00D1155E" w:rsidRPr="0090649A">
        <w:rPr>
          <w:rFonts w:ascii="Verdana" w:hAnsi="Verdana"/>
          <w:sz w:val="20"/>
          <w:szCs w:val="20"/>
          <w:lang w:val="es-CR"/>
        </w:rPr>
        <w:t>publi[car]</w:t>
      </w:r>
      <w:r w:rsidR="00875592">
        <w:rPr>
          <w:rFonts w:ascii="Verdana" w:hAnsi="Verdana"/>
          <w:sz w:val="20"/>
          <w:szCs w:val="20"/>
          <w:lang w:val="es-CR"/>
        </w:rPr>
        <w:t>,</w:t>
      </w:r>
      <w:r w:rsidR="00D1155E" w:rsidRPr="0090649A">
        <w:rPr>
          <w:rFonts w:ascii="Verdana" w:hAnsi="Verdana"/>
          <w:sz w:val="20"/>
          <w:szCs w:val="20"/>
          <w:lang w:val="es-CR"/>
        </w:rPr>
        <w:t xml:space="preserve"> en un plazo de seis meses, contado a partir de la notificación de la […] Sentencia: a) el resumen oficial de la Sentencia elaborado por la Corte, por una sola vez en el diario oficial; b) el resumen oficial de la Sentencia elaborado por la Corte, por una sola vez, en un diario de amplia circulación nacional, y c) la Sentencia en su integridad, disponible por un período de un año, en un sitio web oficial</w:t>
      </w:r>
      <w:r w:rsidR="007F2ABC" w:rsidRPr="0090649A">
        <w:rPr>
          <w:rFonts w:ascii="Verdana" w:hAnsi="Verdana"/>
          <w:sz w:val="20"/>
          <w:szCs w:val="20"/>
          <w:lang w:val="es-CR"/>
        </w:rPr>
        <w:t>”</w:t>
      </w:r>
      <w:r w:rsidR="00D1155E" w:rsidRPr="0090649A">
        <w:rPr>
          <w:rFonts w:ascii="Verdana" w:hAnsi="Verdana"/>
          <w:sz w:val="20"/>
          <w:szCs w:val="20"/>
          <w:lang w:val="es-CR"/>
        </w:rPr>
        <w:t xml:space="preserve">. </w:t>
      </w:r>
    </w:p>
    <w:p w:rsidR="00D1155E" w:rsidRPr="0090649A" w:rsidRDefault="00D1155E" w:rsidP="00B4241A">
      <w:pPr>
        <w:pStyle w:val="Sombreadovistoso-nfasis3"/>
        <w:spacing w:after="0" w:line="240" w:lineRule="auto"/>
        <w:ind w:left="0"/>
        <w:contextualSpacing w:val="0"/>
        <w:jc w:val="both"/>
        <w:rPr>
          <w:rFonts w:ascii="Verdana" w:hAnsi="Verdana"/>
          <w:sz w:val="20"/>
          <w:lang w:val="es-CR"/>
        </w:rPr>
      </w:pPr>
    </w:p>
    <w:p w:rsidR="006F0AF8" w:rsidRPr="0090649A" w:rsidRDefault="006F0AF8" w:rsidP="00B4241A">
      <w:pPr>
        <w:pStyle w:val="Sombreadovistoso-nfasis3"/>
        <w:spacing w:after="0" w:line="240" w:lineRule="auto"/>
        <w:contextualSpacing w:val="0"/>
        <w:jc w:val="both"/>
        <w:rPr>
          <w:rFonts w:ascii="Verdana" w:hAnsi="Verdana"/>
          <w:i/>
          <w:sz w:val="20"/>
          <w:lang w:val="es-CR"/>
        </w:rPr>
      </w:pPr>
      <w:r w:rsidRPr="0090649A">
        <w:rPr>
          <w:rFonts w:ascii="Verdana" w:hAnsi="Verdana"/>
          <w:i/>
          <w:sz w:val="20"/>
          <w:lang w:val="es-CR"/>
        </w:rPr>
        <w:t xml:space="preserve">B.2. </w:t>
      </w:r>
      <w:r w:rsidR="009F4FA8" w:rsidRPr="0090649A">
        <w:rPr>
          <w:rFonts w:ascii="Verdana" w:hAnsi="Verdana"/>
          <w:i/>
          <w:sz w:val="20"/>
          <w:lang w:val="es-CR"/>
        </w:rPr>
        <w:t>Consideraciones de la Corte</w:t>
      </w:r>
      <w:r w:rsidRPr="0090649A">
        <w:rPr>
          <w:rFonts w:ascii="Verdana" w:hAnsi="Verdana"/>
          <w:i/>
          <w:sz w:val="20"/>
          <w:lang w:val="es-CR"/>
        </w:rPr>
        <w:t xml:space="preserve"> </w:t>
      </w:r>
    </w:p>
    <w:p w:rsidR="00E50555" w:rsidRPr="0090649A" w:rsidRDefault="00E50555" w:rsidP="00B4241A">
      <w:pPr>
        <w:pStyle w:val="Sombreadovistoso-nfasis3"/>
        <w:spacing w:after="0" w:line="240" w:lineRule="auto"/>
        <w:ind w:left="0"/>
        <w:contextualSpacing w:val="0"/>
        <w:jc w:val="both"/>
        <w:rPr>
          <w:rFonts w:ascii="Verdana" w:hAnsi="Verdana"/>
          <w:sz w:val="20"/>
          <w:lang w:val="es-CR"/>
        </w:rPr>
      </w:pPr>
    </w:p>
    <w:p w:rsidR="003E14E6" w:rsidRPr="0090649A" w:rsidRDefault="009F4FA8" w:rsidP="00453D58">
      <w:pPr>
        <w:pStyle w:val="Sombreadovistoso-nfasis3"/>
        <w:numPr>
          <w:ilvl w:val="0"/>
          <w:numId w:val="17"/>
        </w:numPr>
        <w:spacing w:after="0" w:line="240" w:lineRule="auto"/>
        <w:ind w:left="0" w:firstLine="0"/>
        <w:contextualSpacing w:val="0"/>
        <w:jc w:val="both"/>
        <w:rPr>
          <w:rFonts w:ascii="Verdana" w:hAnsi="Verdana"/>
          <w:sz w:val="20"/>
          <w:lang w:val="es-CR"/>
        </w:rPr>
      </w:pPr>
      <w:r w:rsidRPr="0090649A">
        <w:rPr>
          <w:rFonts w:ascii="Verdana" w:hAnsi="Verdana"/>
          <w:sz w:val="20"/>
          <w:lang w:val="es-CR"/>
        </w:rPr>
        <w:t xml:space="preserve">Con base en los comprobantes aportados por el </w:t>
      </w:r>
      <w:r w:rsidRPr="0090649A">
        <w:rPr>
          <w:rFonts w:ascii="Verdana" w:hAnsi="Verdana"/>
          <w:i/>
          <w:sz w:val="20"/>
          <w:lang w:val="es-CR"/>
        </w:rPr>
        <w:t>Estado</w:t>
      </w:r>
      <w:r w:rsidRPr="0090649A">
        <w:rPr>
          <w:rFonts w:ascii="Verdana" w:hAnsi="Verdana"/>
          <w:sz w:val="20"/>
          <w:lang w:val="es-CR"/>
        </w:rPr>
        <w:t>, la Corte constata que éste publicó el resumen oficial de la Sentencia el 7 de mayo de 2016 en el Diario Oficial “La Gaceta”</w:t>
      </w:r>
      <w:r w:rsidR="00875592">
        <w:rPr>
          <w:rFonts w:ascii="Verdana" w:hAnsi="Verdana"/>
          <w:sz w:val="20"/>
          <w:lang w:val="es-CR"/>
        </w:rPr>
        <w:t xml:space="preserve"> No. 34.027</w:t>
      </w:r>
      <w:r w:rsidRPr="0090649A">
        <w:rPr>
          <w:rFonts w:ascii="Verdana" w:hAnsi="Verdana"/>
          <w:sz w:val="20"/>
          <w:lang w:val="es-CR"/>
        </w:rPr>
        <w:t xml:space="preserve"> y el 10 de mayo de 2016 en el Diario “La Tribuna”</w:t>
      </w:r>
      <w:r w:rsidR="001C40B3" w:rsidRPr="0090649A">
        <w:rPr>
          <w:rFonts w:ascii="Verdana" w:hAnsi="Verdana"/>
          <w:sz w:val="20"/>
          <w:lang w:val="es-CR"/>
        </w:rPr>
        <w:t>. Respecto de este último</w:t>
      </w:r>
      <w:r w:rsidR="00D372A7" w:rsidRPr="0090649A">
        <w:rPr>
          <w:rFonts w:ascii="Verdana" w:hAnsi="Verdana"/>
          <w:sz w:val="20"/>
          <w:lang w:val="es-CR"/>
        </w:rPr>
        <w:t xml:space="preserve">, </w:t>
      </w:r>
      <w:r w:rsidR="003E14E6" w:rsidRPr="0090649A">
        <w:rPr>
          <w:rFonts w:ascii="Verdana" w:hAnsi="Verdana"/>
          <w:sz w:val="20"/>
          <w:lang w:val="es-CR"/>
        </w:rPr>
        <w:t xml:space="preserve">indicó </w:t>
      </w:r>
      <w:r w:rsidR="001C40B3" w:rsidRPr="0090649A">
        <w:rPr>
          <w:rFonts w:ascii="Verdana" w:hAnsi="Verdana"/>
          <w:sz w:val="20"/>
          <w:lang w:val="es-CR"/>
        </w:rPr>
        <w:t xml:space="preserve">que </w:t>
      </w:r>
      <w:r w:rsidR="00D372A7" w:rsidRPr="0090649A">
        <w:rPr>
          <w:rFonts w:ascii="Verdana" w:hAnsi="Verdana"/>
          <w:sz w:val="20"/>
          <w:lang w:val="es-CR"/>
        </w:rPr>
        <w:t>es “uno de los diarios de mayor circulación nacional”</w:t>
      </w:r>
      <w:r w:rsidR="003E14E6" w:rsidRPr="0090649A">
        <w:rPr>
          <w:rFonts w:ascii="Verdana" w:hAnsi="Verdana"/>
          <w:sz w:val="20"/>
          <w:lang w:val="es-CR"/>
        </w:rPr>
        <w:t xml:space="preserve"> del país</w:t>
      </w:r>
      <w:r w:rsidR="001C40B3" w:rsidRPr="0090649A">
        <w:rPr>
          <w:rFonts w:ascii="Verdana" w:hAnsi="Verdana"/>
          <w:sz w:val="20"/>
          <w:lang w:val="es-CR"/>
        </w:rPr>
        <w:t xml:space="preserve">, lo cual no fue controvertido por las </w:t>
      </w:r>
      <w:r w:rsidR="001C40B3" w:rsidRPr="0090649A">
        <w:rPr>
          <w:rFonts w:ascii="Verdana" w:hAnsi="Verdana"/>
          <w:i/>
          <w:sz w:val="20"/>
          <w:lang w:val="es-CR"/>
        </w:rPr>
        <w:t>representantes</w:t>
      </w:r>
      <w:r w:rsidRPr="0090649A">
        <w:rPr>
          <w:rFonts w:ascii="Verdana" w:hAnsi="Verdana"/>
          <w:sz w:val="20"/>
          <w:lang w:val="es-CR"/>
        </w:rPr>
        <w:t xml:space="preserve">. Asimismo, </w:t>
      </w:r>
      <w:r w:rsidR="003E14E6" w:rsidRPr="0090649A">
        <w:rPr>
          <w:rFonts w:ascii="Verdana" w:hAnsi="Verdana"/>
          <w:sz w:val="20"/>
          <w:lang w:val="es-CR"/>
        </w:rPr>
        <w:t xml:space="preserve">la Corte constata que el texto íntegro de la Sentencia se puede consultar en la página web del Poder Judicial de Honduras, conforme al enlace proporcionado por el </w:t>
      </w:r>
      <w:r w:rsidR="003E14E6" w:rsidRPr="0090649A">
        <w:rPr>
          <w:rFonts w:ascii="Verdana" w:hAnsi="Verdana"/>
          <w:i/>
          <w:sz w:val="20"/>
          <w:lang w:val="es-CR"/>
        </w:rPr>
        <w:t>Estado</w:t>
      </w:r>
      <w:r w:rsidR="00162160" w:rsidRPr="00875592">
        <w:rPr>
          <w:rStyle w:val="Refdenotaalpie"/>
          <w:rFonts w:ascii="Verdana" w:hAnsi="Verdana"/>
          <w:sz w:val="20"/>
          <w:lang w:val="es-CR"/>
        </w:rPr>
        <w:footnoteReference w:id="41"/>
      </w:r>
      <w:r w:rsidR="003E14E6" w:rsidRPr="0090649A">
        <w:rPr>
          <w:rFonts w:ascii="Verdana" w:hAnsi="Verdana"/>
          <w:sz w:val="20"/>
          <w:lang w:val="es-CR"/>
        </w:rPr>
        <w:t xml:space="preserve">. </w:t>
      </w:r>
      <w:r w:rsidR="009E3817" w:rsidRPr="0090649A">
        <w:rPr>
          <w:rFonts w:ascii="Verdana" w:hAnsi="Verdana"/>
          <w:sz w:val="20"/>
          <w:lang w:val="es-CR"/>
        </w:rPr>
        <w:t>Según una certificación emitida por la Dirección de Comunicación Institucional del Poder Judicial hondureño, la Sentencia fue publicada en el portal institucional del Poder Judicial desde el 10 de mayo de 2016</w:t>
      </w:r>
      <w:r w:rsidR="00A971EA" w:rsidRPr="0090649A">
        <w:rPr>
          <w:rFonts w:ascii="Verdana" w:hAnsi="Verdana"/>
          <w:sz w:val="20"/>
          <w:lang w:val="es-CR"/>
        </w:rPr>
        <w:t xml:space="preserve">. </w:t>
      </w:r>
      <w:r w:rsidR="00BA2EFD" w:rsidRPr="0090649A">
        <w:rPr>
          <w:rFonts w:ascii="Verdana" w:hAnsi="Verdana"/>
          <w:sz w:val="20"/>
          <w:lang w:val="es-CR"/>
        </w:rPr>
        <w:t xml:space="preserve">Por tanto, la Sentencia tendría más </w:t>
      </w:r>
      <w:r w:rsidR="00BA2EFD" w:rsidRPr="001E76D9">
        <w:rPr>
          <w:rFonts w:ascii="Verdana" w:hAnsi="Verdana"/>
          <w:sz w:val="20"/>
          <w:lang w:val="es-CR"/>
        </w:rPr>
        <w:t xml:space="preserve">de </w:t>
      </w:r>
      <w:r w:rsidR="001E76D9" w:rsidRPr="001E76D9">
        <w:rPr>
          <w:rFonts w:ascii="Verdana" w:hAnsi="Verdana"/>
          <w:sz w:val="20"/>
          <w:lang w:val="es-CR"/>
        </w:rPr>
        <w:t>un</w:t>
      </w:r>
      <w:r w:rsidR="00BA2EFD" w:rsidRPr="001E76D9">
        <w:rPr>
          <w:rFonts w:ascii="Verdana" w:hAnsi="Verdana"/>
          <w:sz w:val="20"/>
          <w:lang w:val="es-CR"/>
        </w:rPr>
        <w:t xml:space="preserve"> año de estar</w:t>
      </w:r>
      <w:r w:rsidR="00BA2EFD" w:rsidRPr="0090649A">
        <w:rPr>
          <w:rFonts w:ascii="Verdana" w:hAnsi="Verdana"/>
          <w:sz w:val="20"/>
          <w:lang w:val="es-CR"/>
        </w:rPr>
        <w:t xml:space="preserve"> publicada en dicha página</w:t>
      </w:r>
      <w:r w:rsidR="00BA2EFD">
        <w:rPr>
          <w:rFonts w:ascii="Verdana" w:hAnsi="Verdana"/>
          <w:sz w:val="20"/>
          <w:lang w:val="es-CR"/>
        </w:rPr>
        <w:t xml:space="preserve">. </w:t>
      </w:r>
      <w:r w:rsidR="003E14E6" w:rsidRPr="0090649A">
        <w:rPr>
          <w:rFonts w:ascii="Verdana" w:hAnsi="Verdana"/>
          <w:i/>
          <w:sz w:val="20"/>
          <w:lang w:val="es-CR"/>
        </w:rPr>
        <w:t xml:space="preserve">Honduras </w:t>
      </w:r>
      <w:r w:rsidR="003E14E6" w:rsidRPr="0090649A">
        <w:rPr>
          <w:rFonts w:ascii="Verdana" w:hAnsi="Verdana"/>
          <w:sz w:val="20"/>
          <w:lang w:val="es-CR"/>
        </w:rPr>
        <w:t xml:space="preserve">señaló que “acredit[ó] el cumplimiento” de la medida en cuestión. </w:t>
      </w:r>
    </w:p>
    <w:p w:rsidR="003E14E6" w:rsidRPr="0090649A" w:rsidRDefault="003E14E6" w:rsidP="00B4241A">
      <w:pPr>
        <w:pStyle w:val="Sombreadovistoso-nfasis3"/>
        <w:spacing w:after="0" w:line="240" w:lineRule="auto"/>
        <w:ind w:left="0"/>
        <w:contextualSpacing w:val="0"/>
        <w:jc w:val="both"/>
        <w:rPr>
          <w:rFonts w:ascii="Verdana" w:hAnsi="Verdana"/>
          <w:sz w:val="20"/>
          <w:lang w:val="es-CR"/>
        </w:rPr>
      </w:pPr>
    </w:p>
    <w:p w:rsidR="006127BA" w:rsidRPr="0090649A" w:rsidRDefault="003E14E6" w:rsidP="00453D58">
      <w:pPr>
        <w:pStyle w:val="Sombreadovistoso-nfasis3"/>
        <w:numPr>
          <w:ilvl w:val="0"/>
          <w:numId w:val="17"/>
        </w:numPr>
        <w:spacing w:after="0" w:line="240" w:lineRule="auto"/>
        <w:ind w:left="0" w:firstLine="0"/>
        <w:contextualSpacing w:val="0"/>
        <w:jc w:val="both"/>
        <w:rPr>
          <w:rFonts w:ascii="Verdana" w:hAnsi="Verdana"/>
          <w:sz w:val="20"/>
          <w:lang w:val="es-CR"/>
        </w:rPr>
      </w:pPr>
      <w:r w:rsidRPr="0090649A">
        <w:rPr>
          <w:rFonts w:ascii="Verdana" w:hAnsi="Verdana"/>
          <w:sz w:val="20"/>
          <w:lang w:val="es-CR"/>
        </w:rPr>
        <w:t xml:space="preserve">Si bien las </w:t>
      </w:r>
      <w:r w:rsidRPr="0090649A">
        <w:rPr>
          <w:rFonts w:ascii="Verdana" w:hAnsi="Verdana"/>
          <w:i/>
          <w:sz w:val="20"/>
          <w:lang w:val="es-CR"/>
        </w:rPr>
        <w:t xml:space="preserve">representantes </w:t>
      </w:r>
      <w:r w:rsidRPr="0090649A">
        <w:rPr>
          <w:rFonts w:ascii="Verdana" w:hAnsi="Verdana"/>
          <w:sz w:val="20"/>
          <w:lang w:val="es-CR"/>
        </w:rPr>
        <w:t>confirmaron la realización de las referidas publicaciones, presentaron dos objeciones</w:t>
      </w:r>
      <w:r w:rsidR="001C40B3" w:rsidRPr="0090649A">
        <w:rPr>
          <w:rFonts w:ascii="Verdana" w:hAnsi="Verdana"/>
          <w:sz w:val="20"/>
          <w:lang w:val="es-CR"/>
        </w:rPr>
        <w:t xml:space="preserve"> respecto a declarar su cumplimiento</w:t>
      </w:r>
      <w:r w:rsidR="001E668A" w:rsidRPr="0090649A">
        <w:rPr>
          <w:rFonts w:ascii="Verdana" w:hAnsi="Verdana"/>
          <w:sz w:val="20"/>
          <w:lang w:val="es-CR"/>
        </w:rPr>
        <w:t>. En primer lugar,</w:t>
      </w:r>
      <w:r w:rsidRPr="0090649A">
        <w:rPr>
          <w:rFonts w:ascii="Verdana" w:hAnsi="Verdana"/>
          <w:sz w:val="20"/>
          <w:lang w:val="es-CR"/>
        </w:rPr>
        <w:t xml:space="preserve"> </w:t>
      </w:r>
      <w:r w:rsidR="001C40B3" w:rsidRPr="0090649A">
        <w:rPr>
          <w:rFonts w:ascii="Verdana" w:hAnsi="Verdana"/>
          <w:sz w:val="20"/>
          <w:lang w:val="es-CR"/>
        </w:rPr>
        <w:t>considera</w:t>
      </w:r>
      <w:r w:rsidR="00AD0040" w:rsidRPr="0090649A">
        <w:rPr>
          <w:rFonts w:ascii="Verdana" w:hAnsi="Verdana"/>
          <w:sz w:val="20"/>
          <w:lang w:val="es-CR"/>
        </w:rPr>
        <w:t>ro</w:t>
      </w:r>
      <w:r w:rsidR="001C40B3" w:rsidRPr="0090649A">
        <w:rPr>
          <w:rFonts w:ascii="Verdana" w:hAnsi="Verdana"/>
          <w:sz w:val="20"/>
          <w:lang w:val="es-CR"/>
        </w:rPr>
        <w:t>n que</w:t>
      </w:r>
      <w:r w:rsidRPr="0090649A">
        <w:rPr>
          <w:rFonts w:ascii="Verdana" w:hAnsi="Verdana"/>
          <w:sz w:val="20"/>
          <w:lang w:val="es-CR"/>
        </w:rPr>
        <w:t xml:space="preserve"> la publicación del resumen de la Sentencia realizada en un diario de amplia circulación nacional</w:t>
      </w:r>
      <w:r w:rsidR="001C40B3" w:rsidRPr="0090649A">
        <w:rPr>
          <w:rFonts w:ascii="Verdana" w:hAnsi="Verdana"/>
          <w:sz w:val="20"/>
          <w:lang w:val="es-CR"/>
        </w:rPr>
        <w:t xml:space="preserve"> </w:t>
      </w:r>
      <w:r w:rsidRPr="0090649A">
        <w:rPr>
          <w:rFonts w:ascii="Verdana" w:hAnsi="Verdana"/>
          <w:sz w:val="20"/>
          <w:lang w:val="es-CR"/>
        </w:rPr>
        <w:t xml:space="preserve">se realizó con </w:t>
      </w:r>
      <w:r w:rsidR="00F87015">
        <w:rPr>
          <w:rFonts w:ascii="Verdana" w:hAnsi="Verdana"/>
          <w:sz w:val="20"/>
          <w:lang w:val="es-CR"/>
        </w:rPr>
        <w:t>“</w:t>
      </w:r>
      <w:r w:rsidRPr="0090649A">
        <w:rPr>
          <w:rFonts w:ascii="Verdana" w:hAnsi="Verdana"/>
          <w:sz w:val="20"/>
          <w:lang w:val="es-CR"/>
        </w:rPr>
        <w:t>un tamaño de letra ilegible […] que no cumple con el objetivo de reparar integralmente a las víctimas”. En razón de ello, solicitaron que dicha medida se declare como “incumplida”</w:t>
      </w:r>
      <w:r w:rsidR="001E668A" w:rsidRPr="0090649A">
        <w:rPr>
          <w:rFonts w:ascii="Verdana" w:hAnsi="Verdana"/>
          <w:sz w:val="20"/>
          <w:lang w:val="es-CR"/>
        </w:rPr>
        <w:t xml:space="preserve">. </w:t>
      </w:r>
      <w:r w:rsidR="006127BA" w:rsidRPr="0090649A">
        <w:rPr>
          <w:rFonts w:ascii="Verdana" w:hAnsi="Verdana"/>
          <w:sz w:val="20"/>
          <w:lang w:val="es-CR"/>
        </w:rPr>
        <w:t xml:space="preserve">Respecto a esta primera objeción, la </w:t>
      </w:r>
      <w:r w:rsidR="006127BA" w:rsidRPr="0090649A">
        <w:rPr>
          <w:rFonts w:ascii="Verdana" w:hAnsi="Verdana"/>
          <w:i/>
          <w:sz w:val="20"/>
          <w:lang w:val="es-CR"/>
        </w:rPr>
        <w:t xml:space="preserve">Comisión Interamericana </w:t>
      </w:r>
      <w:r w:rsidR="006127BA" w:rsidRPr="0090649A">
        <w:rPr>
          <w:rFonts w:ascii="Verdana" w:hAnsi="Verdana"/>
          <w:sz w:val="20"/>
          <w:lang w:val="es-CR"/>
        </w:rPr>
        <w:t xml:space="preserve">señaló que “el encabezado de la plana del periódico refiriéndose al caso es legible” y que si bien “el texto del resumen no parece legible en algunas partes”, no pudo identificar si ello “es debido al tamaño de la letra, o bien, a la calidad de la impresión y </w:t>
      </w:r>
      <w:r w:rsidR="006127BA" w:rsidRPr="0090649A">
        <w:rPr>
          <w:rFonts w:ascii="Verdana" w:hAnsi="Verdana"/>
          <w:sz w:val="20"/>
          <w:lang w:val="es-CR"/>
        </w:rPr>
        <w:lastRenderedPageBreak/>
        <w:t xml:space="preserve">escaneo de tal página”. </w:t>
      </w:r>
      <w:r w:rsidR="00A7584C" w:rsidRPr="0090649A">
        <w:rPr>
          <w:rFonts w:ascii="Verdana" w:hAnsi="Verdana"/>
          <w:sz w:val="20"/>
          <w:lang w:val="es-CR"/>
        </w:rPr>
        <w:t xml:space="preserve">Al respecto, en </w:t>
      </w:r>
      <w:r w:rsidR="00AD0040" w:rsidRPr="0090649A">
        <w:rPr>
          <w:rFonts w:ascii="Verdana" w:hAnsi="Verdana"/>
          <w:sz w:val="20"/>
          <w:lang w:val="es-CR"/>
        </w:rPr>
        <w:t>la audiencia privada de 10 de febrero de 2017</w:t>
      </w:r>
      <w:r w:rsidR="00A7584C" w:rsidRPr="0090649A">
        <w:rPr>
          <w:rFonts w:ascii="Verdana" w:hAnsi="Verdana"/>
          <w:sz w:val="20"/>
          <w:lang w:val="es-CR"/>
        </w:rPr>
        <w:t>, Honduras aportó</w:t>
      </w:r>
      <w:r w:rsidR="00AD0040" w:rsidRPr="0090649A">
        <w:rPr>
          <w:rFonts w:ascii="Verdana" w:hAnsi="Verdana"/>
          <w:sz w:val="20"/>
          <w:lang w:val="es-CR"/>
        </w:rPr>
        <w:t xml:space="preserve"> una </w:t>
      </w:r>
      <w:r w:rsidR="00C73C70" w:rsidRPr="0090649A">
        <w:rPr>
          <w:rFonts w:ascii="Verdana" w:hAnsi="Verdana"/>
          <w:sz w:val="20"/>
          <w:lang w:val="es-CR"/>
        </w:rPr>
        <w:t xml:space="preserve">nueva </w:t>
      </w:r>
      <w:r w:rsidR="00AD0040" w:rsidRPr="0090649A">
        <w:rPr>
          <w:rFonts w:ascii="Verdana" w:hAnsi="Verdana"/>
          <w:sz w:val="20"/>
          <w:lang w:val="es-CR"/>
        </w:rPr>
        <w:t>copia de la publicación</w:t>
      </w:r>
      <w:r w:rsidR="00C73C70" w:rsidRPr="0090649A">
        <w:rPr>
          <w:rFonts w:ascii="Verdana" w:hAnsi="Verdana"/>
          <w:sz w:val="20"/>
          <w:lang w:val="es-CR"/>
        </w:rPr>
        <w:t>, indicando que estaba</w:t>
      </w:r>
      <w:r w:rsidR="00436BBA" w:rsidRPr="0090649A">
        <w:rPr>
          <w:rFonts w:ascii="Verdana" w:hAnsi="Verdana"/>
          <w:sz w:val="20"/>
          <w:lang w:val="es-CR"/>
        </w:rPr>
        <w:t xml:space="preserve"> a tamaño “real”. </w:t>
      </w:r>
      <w:r w:rsidR="003E0E23" w:rsidRPr="0090649A">
        <w:rPr>
          <w:rFonts w:ascii="Verdana" w:hAnsi="Verdana"/>
          <w:sz w:val="20"/>
          <w:lang w:val="es-CR"/>
        </w:rPr>
        <w:t>Con base en esta última copia, el Tribunal nota que</w:t>
      </w:r>
      <w:r w:rsidR="001E76D9">
        <w:rPr>
          <w:rFonts w:ascii="Verdana" w:hAnsi="Verdana"/>
          <w:sz w:val="20"/>
          <w:lang w:val="es-CR"/>
        </w:rPr>
        <w:t>,</w:t>
      </w:r>
      <w:r w:rsidR="003E0E23" w:rsidRPr="0090649A">
        <w:rPr>
          <w:rFonts w:ascii="Verdana" w:hAnsi="Verdana"/>
          <w:sz w:val="20"/>
          <w:lang w:val="es-CR"/>
        </w:rPr>
        <w:t xml:space="preserve"> si bien la letra utilizada para el resumen oficial de la Sentencia es de un tamaño menor a la empleada en el encabezado de la publicación, sí es posible realizar </w:t>
      </w:r>
      <w:r w:rsidR="00222269" w:rsidRPr="0090649A">
        <w:rPr>
          <w:rFonts w:ascii="Verdana" w:hAnsi="Verdana"/>
          <w:sz w:val="20"/>
          <w:lang w:val="es-CR"/>
        </w:rPr>
        <w:t>una</w:t>
      </w:r>
      <w:r w:rsidR="003E0E23" w:rsidRPr="0090649A">
        <w:rPr>
          <w:rFonts w:ascii="Verdana" w:hAnsi="Verdana"/>
          <w:sz w:val="20"/>
          <w:lang w:val="es-CR"/>
        </w:rPr>
        <w:t xml:space="preserve"> lectura del referido resumen</w:t>
      </w:r>
      <w:r w:rsidR="00522F2A" w:rsidRPr="0090649A">
        <w:rPr>
          <w:rFonts w:ascii="Verdana" w:hAnsi="Verdana"/>
          <w:sz w:val="20"/>
          <w:lang w:val="es-CR"/>
        </w:rPr>
        <w:t>. Por tanto</w:t>
      </w:r>
      <w:r w:rsidR="003E0E23" w:rsidRPr="0090649A">
        <w:rPr>
          <w:rFonts w:ascii="Verdana" w:hAnsi="Verdana"/>
          <w:sz w:val="20"/>
          <w:lang w:val="es-CR"/>
        </w:rPr>
        <w:t xml:space="preserve">, </w:t>
      </w:r>
      <w:r w:rsidR="00522F2A" w:rsidRPr="0090649A">
        <w:rPr>
          <w:rFonts w:ascii="Verdana" w:hAnsi="Verdana"/>
          <w:sz w:val="20"/>
          <w:lang w:val="es-CR"/>
        </w:rPr>
        <w:t xml:space="preserve">la Corte </w:t>
      </w:r>
      <w:r w:rsidR="003E0E23" w:rsidRPr="0090649A">
        <w:rPr>
          <w:rFonts w:ascii="Verdana" w:hAnsi="Verdana"/>
          <w:sz w:val="20"/>
          <w:lang w:val="es-CR"/>
        </w:rPr>
        <w:t>no considera pertinente disponer que el Estado realice una nueva publicación, debido a que es</w:t>
      </w:r>
      <w:r w:rsidR="00522F2A" w:rsidRPr="0090649A">
        <w:rPr>
          <w:rFonts w:ascii="Verdana" w:hAnsi="Verdana"/>
          <w:sz w:val="20"/>
          <w:lang w:val="es-CR"/>
        </w:rPr>
        <w:t xml:space="preserve"> posible realizar la lectura de</w:t>
      </w:r>
      <w:r w:rsidR="007B0C9A" w:rsidRPr="0090649A">
        <w:rPr>
          <w:rFonts w:ascii="Verdana" w:hAnsi="Verdana"/>
          <w:sz w:val="20"/>
          <w:lang w:val="es-CR"/>
        </w:rPr>
        <w:t xml:space="preserve"> </w:t>
      </w:r>
      <w:r w:rsidR="003E0E23" w:rsidRPr="0090649A">
        <w:rPr>
          <w:rFonts w:ascii="Verdana" w:hAnsi="Verdana"/>
          <w:sz w:val="20"/>
          <w:lang w:val="es-CR"/>
        </w:rPr>
        <w:t>l</w:t>
      </w:r>
      <w:r w:rsidR="007B0C9A" w:rsidRPr="0090649A">
        <w:rPr>
          <w:rFonts w:ascii="Verdana" w:hAnsi="Verdana"/>
          <w:sz w:val="20"/>
          <w:lang w:val="es-CR"/>
        </w:rPr>
        <w:t>a misma</w:t>
      </w:r>
      <w:r w:rsidR="003E0E23" w:rsidRPr="0090649A">
        <w:rPr>
          <w:rFonts w:ascii="Verdana" w:hAnsi="Verdana"/>
          <w:sz w:val="20"/>
          <w:lang w:val="es-CR"/>
        </w:rPr>
        <w:t xml:space="preserve"> y </w:t>
      </w:r>
      <w:r w:rsidR="007B0C9A" w:rsidRPr="0090649A">
        <w:rPr>
          <w:rFonts w:ascii="Verdana" w:hAnsi="Verdana"/>
          <w:sz w:val="20"/>
          <w:lang w:val="es-CR"/>
        </w:rPr>
        <w:t>ésta</w:t>
      </w:r>
      <w:r w:rsidR="00522F2A" w:rsidRPr="0090649A">
        <w:rPr>
          <w:rFonts w:ascii="Verdana" w:hAnsi="Verdana"/>
          <w:sz w:val="20"/>
          <w:lang w:val="es-CR"/>
        </w:rPr>
        <w:t xml:space="preserve"> fue </w:t>
      </w:r>
      <w:r w:rsidR="001E76D9">
        <w:rPr>
          <w:rFonts w:ascii="Verdana" w:hAnsi="Verdana"/>
          <w:sz w:val="20"/>
          <w:lang w:val="es-CR"/>
        </w:rPr>
        <w:t>efectuada</w:t>
      </w:r>
      <w:r w:rsidR="003E0E23" w:rsidRPr="0090649A">
        <w:rPr>
          <w:rFonts w:ascii="Verdana" w:hAnsi="Verdana"/>
          <w:sz w:val="20"/>
          <w:lang w:val="es-CR"/>
        </w:rPr>
        <w:t xml:space="preserve"> en un diario de amplia circulación nacional.</w:t>
      </w:r>
    </w:p>
    <w:p w:rsidR="006127BA" w:rsidRPr="0090649A" w:rsidRDefault="006127BA" w:rsidP="00B4241A">
      <w:pPr>
        <w:pStyle w:val="Sombreadovistoso-nfasis3"/>
        <w:spacing w:line="240" w:lineRule="auto"/>
        <w:rPr>
          <w:rFonts w:ascii="Verdana" w:hAnsi="Verdana"/>
          <w:sz w:val="20"/>
          <w:lang w:val="es-CR"/>
        </w:rPr>
      </w:pPr>
    </w:p>
    <w:p w:rsidR="006F0AF8" w:rsidRPr="00133BF2" w:rsidRDefault="001E668A" w:rsidP="00453D58">
      <w:pPr>
        <w:pStyle w:val="Sombreadovistoso-nfasis3"/>
        <w:numPr>
          <w:ilvl w:val="0"/>
          <w:numId w:val="17"/>
        </w:numPr>
        <w:spacing w:after="0" w:line="240" w:lineRule="auto"/>
        <w:ind w:left="0" w:firstLine="0"/>
        <w:contextualSpacing w:val="0"/>
        <w:jc w:val="both"/>
        <w:rPr>
          <w:rFonts w:ascii="Verdana" w:hAnsi="Verdana"/>
          <w:sz w:val="20"/>
          <w:lang w:val="es-CR"/>
        </w:rPr>
      </w:pPr>
      <w:r w:rsidRPr="0090649A">
        <w:rPr>
          <w:rFonts w:ascii="Verdana" w:hAnsi="Verdana"/>
          <w:sz w:val="20"/>
          <w:lang w:val="es-CR"/>
        </w:rPr>
        <w:t>En segundo lugar,</w:t>
      </w:r>
      <w:r w:rsidR="003E14E6" w:rsidRPr="0090649A">
        <w:rPr>
          <w:rFonts w:ascii="Verdana" w:hAnsi="Verdana"/>
          <w:sz w:val="20"/>
          <w:lang w:val="es-CR"/>
        </w:rPr>
        <w:t xml:space="preserve"> </w:t>
      </w:r>
      <w:r w:rsidR="006D3FC9" w:rsidRPr="0090649A">
        <w:rPr>
          <w:rFonts w:ascii="Verdana" w:hAnsi="Verdana"/>
          <w:sz w:val="20"/>
          <w:lang w:val="es-CR"/>
        </w:rPr>
        <w:t xml:space="preserve">las </w:t>
      </w:r>
      <w:r w:rsidR="006D3FC9" w:rsidRPr="0090649A">
        <w:rPr>
          <w:rFonts w:ascii="Verdana" w:hAnsi="Verdana"/>
          <w:i/>
          <w:sz w:val="20"/>
          <w:lang w:val="es-CR"/>
        </w:rPr>
        <w:t xml:space="preserve">representantes </w:t>
      </w:r>
      <w:r w:rsidR="001C40B3" w:rsidRPr="0090649A">
        <w:rPr>
          <w:rFonts w:ascii="Verdana" w:hAnsi="Verdana"/>
          <w:sz w:val="20"/>
          <w:lang w:val="es-CR"/>
        </w:rPr>
        <w:t>estima</w:t>
      </w:r>
      <w:r w:rsidR="006D3FC9" w:rsidRPr="0090649A">
        <w:rPr>
          <w:rFonts w:ascii="Verdana" w:hAnsi="Verdana"/>
          <w:sz w:val="20"/>
          <w:lang w:val="es-CR"/>
        </w:rPr>
        <w:t>ro</w:t>
      </w:r>
      <w:r w:rsidR="001C40B3" w:rsidRPr="0090649A">
        <w:rPr>
          <w:rFonts w:ascii="Verdana" w:hAnsi="Verdana"/>
          <w:sz w:val="20"/>
          <w:lang w:val="es-CR"/>
        </w:rPr>
        <w:t xml:space="preserve">n que </w:t>
      </w:r>
      <w:r w:rsidR="003E14E6" w:rsidRPr="0090649A">
        <w:rPr>
          <w:rFonts w:ascii="Verdana" w:hAnsi="Verdana"/>
          <w:sz w:val="20"/>
          <w:lang w:val="es-CR"/>
        </w:rPr>
        <w:t xml:space="preserve">la publicación de la Sentencia en </w:t>
      </w:r>
      <w:r w:rsidR="001C40B3" w:rsidRPr="0090649A">
        <w:rPr>
          <w:rFonts w:ascii="Verdana" w:hAnsi="Verdana"/>
          <w:sz w:val="20"/>
          <w:lang w:val="es-CR"/>
        </w:rPr>
        <w:t xml:space="preserve">el </w:t>
      </w:r>
      <w:r w:rsidR="003E14E6" w:rsidRPr="0090649A">
        <w:rPr>
          <w:rFonts w:ascii="Verdana" w:hAnsi="Verdana"/>
          <w:sz w:val="20"/>
          <w:lang w:val="es-CR"/>
        </w:rPr>
        <w:t xml:space="preserve">sitio web </w:t>
      </w:r>
      <w:r w:rsidR="001C40B3" w:rsidRPr="0090649A">
        <w:rPr>
          <w:rFonts w:ascii="Verdana" w:hAnsi="Verdana"/>
          <w:sz w:val="20"/>
          <w:lang w:val="es-CR"/>
        </w:rPr>
        <w:t xml:space="preserve">del Poder Judicial </w:t>
      </w:r>
      <w:r w:rsidR="003E14E6" w:rsidRPr="0090649A">
        <w:rPr>
          <w:rFonts w:ascii="Verdana" w:hAnsi="Verdana"/>
          <w:sz w:val="20"/>
          <w:lang w:val="es-CR"/>
        </w:rPr>
        <w:t xml:space="preserve">“no se encuentra en un lugar visible” y, por tanto, solicitaron “que se </w:t>
      </w:r>
      <w:proofErr w:type="gramStart"/>
      <w:r w:rsidR="003E14E6" w:rsidRPr="0090649A">
        <w:rPr>
          <w:rFonts w:ascii="Verdana" w:hAnsi="Verdana"/>
          <w:sz w:val="20"/>
          <w:lang w:val="es-CR"/>
        </w:rPr>
        <w:t>ubique[</w:t>
      </w:r>
      <w:proofErr w:type="gramEnd"/>
      <w:r w:rsidR="00C20404">
        <w:rPr>
          <w:rFonts w:ascii="Verdana" w:hAnsi="Verdana"/>
          <w:sz w:val="20"/>
          <w:lang w:val="es-CR"/>
        </w:rPr>
        <w:t xml:space="preserve"> </w:t>
      </w:r>
      <w:r w:rsidR="003E14E6" w:rsidRPr="0090649A">
        <w:rPr>
          <w:rFonts w:ascii="Verdana" w:hAnsi="Verdana"/>
          <w:sz w:val="20"/>
          <w:lang w:val="es-CR"/>
        </w:rPr>
        <w:t xml:space="preserve">…] de tal manera que pueda ser más visible y de fácil acceso”. </w:t>
      </w:r>
      <w:r w:rsidR="00CD5FB7" w:rsidRPr="0090649A">
        <w:rPr>
          <w:rFonts w:ascii="Verdana" w:hAnsi="Verdana"/>
          <w:sz w:val="20"/>
          <w:szCs w:val="20"/>
          <w:lang w:val="es-CR"/>
        </w:rPr>
        <w:t>El Tribunal recuerda que para valorar el cumplimiento debe tomar en cuenta que al ordenar la reparación en este caso se dispuso que la publicación de la integridad de la Sentencia debía realizarse “en un sitio web oficial” (</w:t>
      </w:r>
      <w:r w:rsidR="00CD5FB7" w:rsidRPr="0090649A">
        <w:rPr>
          <w:rFonts w:ascii="Verdana" w:hAnsi="Verdana"/>
          <w:i/>
          <w:sz w:val="20"/>
          <w:szCs w:val="20"/>
          <w:lang w:val="es-CR"/>
        </w:rPr>
        <w:t>supra</w:t>
      </w:r>
      <w:r w:rsidR="00CD5FB7" w:rsidRPr="0090649A">
        <w:rPr>
          <w:rFonts w:ascii="Verdana" w:hAnsi="Verdana"/>
          <w:sz w:val="20"/>
          <w:szCs w:val="20"/>
          <w:lang w:val="es-CR"/>
        </w:rPr>
        <w:t xml:space="preserve"> Considerando </w:t>
      </w:r>
      <w:r w:rsidR="001F3B23" w:rsidRPr="0090649A">
        <w:rPr>
          <w:rFonts w:ascii="Verdana" w:hAnsi="Verdana"/>
          <w:sz w:val="20"/>
          <w:szCs w:val="20"/>
          <w:lang w:val="es-CR"/>
        </w:rPr>
        <w:t>30</w:t>
      </w:r>
      <w:r w:rsidR="00CD5FB7" w:rsidRPr="0090649A">
        <w:rPr>
          <w:rFonts w:ascii="Verdana" w:hAnsi="Verdana"/>
          <w:sz w:val="20"/>
          <w:lang w:val="es-CR"/>
        </w:rPr>
        <w:t>), lo cual ha sido efectuado por el Estado. No obstante</w:t>
      </w:r>
      <w:r w:rsidR="000F5565" w:rsidRPr="0090649A">
        <w:rPr>
          <w:rFonts w:ascii="Verdana" w:hAnsi="Verdana"/>
          <w:sz w:val="20"/>
          <w:lang w:val="es-CR"/>
        </w:rPr>
        <w:t xml:space="preserve">, </w:t>
      </w:r>
      <w:r w:rsidR="00CD5FB7" w:rsidRPr="0090649A">
        <w:rPr>
          <w:rFonts w:ascii="Verdana" w:hAnsi="Verdana"/>
          <w:sz w:val="20"/>
          <w:lang w:val="es-CR"/>
        </w:rPr>
        <w:t xml:space="preserve">adicionalmente </w:t>
      </w:r>
      <w:r w:rsidR="000F5565" w:rsidRPr="0090649A">
        <w:rPr>
          <w:rFonts w:ascii="Verdana" w:hAnsi="Verdana"/>
          <w:sz w:val="20"/>
          <w:lang w:val="es-CR"/>
        </w:rPr>
        <w:t xml:space="preserve">el Tribunal constató </w:t>
      </w:r>
      <w:r w:rsidR="005F6121" w:rsidRPr="0090649A">
        <w:rPr>
          <w:rFonts w:ascii="Verdana" w:hAnsi="Verdana"/>
          <w:sz w:val="20"/>
          <w:lang w:val="es-CR"/>
        </w:rPr>
        <w:t>que hay</w:t>
      </w:r>
      <w:r w:rsidR="00436BBA" w:rsidRPr="0090649A">
        <w:rPr>
          <w:rFonts w:ascii="Verdana" w:hAnsi="Verdana"/>
          <w:sz w:val="20"/>
          <w:lang w:val="es-CR"/>
        </w:rPr>
        <w:t xml:space="preserve"> acceso al texto íntegro de la Sentencia con solo pulsar el enlace titulado “Sentencia CIDH-Caso López Lone y otros Vs. Honduras […]”, el cual se encuentra en la </w:t>
      </w:r>
      <w:r w:rsidR="000F5565" w:rsidRPr="0090649A">
        <w:rPr>
          <w:rFonts w:ascii="Verdana" w:hAnsi="Verdana"/>
          <w:sz w:val="20"/>
          <w:lang w:val="es-CR"/>
        </w:rPr>
        <w:t>página de inicio del sitio web del Poder Judicial</w:t>
      </w:r>
      <w:r w:rsidR="00436BBA" w:rsidRPr="0090649A">
        <w:rPr>
          <w:rFonts w:ascii="Verdana" w:hAnsi="Verdana"/>
          <w:sz w:val="20"/>
          <w:lang w:val="es-CR"/>
        </w:rPr>
        <w:t>.</w:t>
      </w:r>
      <w:r w:rsidR="002257DD" w:rsidRPr="0090649A">
        <w:rPr>
          <w:rFonts w:ascii="Verdana" w:hAnsi="Verdana"/>
          <w:sz w:val="20"/>
          <w:lang w:val="es-CR"/>
        </w:rPr>
        <w:t xml:space="preserve"> </w:t>
      </w:r>
      <w:r w:rsidR="000F5565" w:rsidRPr="0090649A">
        <w:rPr>
          <w:rFonts w:ascii="Verdana" w:hAnsi="Verdana"/>
          <w:sz w:val="20"/>
          <w:lang w:val="es-CR"/>
        </w:rPr>
        <w:t xml:space="preserve">Por tal motivo, la Corte no coincide con la valoración realizada por las </w:t>
      </w:r>
      <w:r w:rsidR="000F5565" w:rsidRPr="0090649A">
        <w:rPr>
          <w:rFonts w:ascii="Verdana" w:hAnsi="Verdana"/>
          <w:i/>
          <w:sz w:val="20"/>
          <w:lang w:val="es-CR"/>
        </w:rPr>
        <w:t>representantes</w:t>
      </w:r>
      <w:r w:rsidR="000F5565" w:rsidRPr="0090649A">
        <w:rPr>
          <w:rFonts w:ascii="Verdana" w:hAnsi="Verdana"/>
          <w:sz w:val="20"/>
          <w:lang w:val="es-CR"/>
        </w:rPr>
        <w:t xml:space="preserve"> respecto a que la Sentencia publicada en la página </w:t>
      </w:r>
      <w:r w:rsidR="000F5565" w:rsidRPr="00133BF2">
        <w:rPr>
          <w:rFonts w:ascii="Verdana" w:hAnsi="Verdana"/>
          <w:sz w:val="20"/>
          <w:lang w:val="es-CR"/>
        </w:rPr>
        <w:t xml:space="preserve">web del Poder Judicial hondureño es de difícil acceso. </w:t>
      </w:r>
      <w:r w:rsidR="00BA2EFD" w:rsidRPr="00133BF2">
        <w:rPr>
          <w:rFonts w:ascii="Verdana" w:hAnsi="Verdana"/>
          <w:sz w:val="20"/>
          <w:lang w:val="es-CR"/>
        </w:rPr>
        <w:t xml:space="preserve">Por consiguiente, la Corte considera que Honduras ha cumplido con esta medida </w:t>
      </w:r>
      <w:r w:rsidR="009D41EF">
        <w:rPr>
          <w:rFonts w:ascii="Verdana" w:hAnsi="Verdana"/>
          <w:sz w:val="20"/>
          <w:lang w:val="es-CR"/>
        </w:rPr>
        <w:t>en el</w:t>
      </w:r>
      <w:r w:rsidR="00C20404" w:rsidRPr="00133BF2">
        <w:rPr>
          <w:rFonts w:ascii="Verdana" w:hAnsi="Verdana"/>
          <w:sz w:val="20"/>
          <w:lang w:val="es-CR"/>
        </w:rPr>
        <w:t xml:space="preserve"> plazo de </w:t>
      </w:r>
      <w:r w:rsidR="00CD5FB7" w:rsidRPr="00133BF2">
        <w:rPr>
          <w:rFonts w:ascii="Verdana" w:hAnsi="Verdana"/>
          <w:sz w:val="20"/>
          <w:lang w:val="es-CR"/>
        </w:rPr>
        <w:t>un año</w:t>
      </w:r>
      <w:r w:rsidR="003E4706" w:rsidRPr="00133BF2">
        <w:rPr>
          <w:rFonts w:ascii="Verdana" w:hAnsi="Verdana"/>
          <w:sz w:val="20"/>
          <w:lang w:val="es-CR"/>
        </w:rPr>
        <w:t xml:space="preserve"> </w:t>
      </w:r>
      <w:r w:rsidR="00C20404" w:rsidRPr="00133BF2">
        <w:rPr>
          <w:rFonts w:ascii="Verdana" w:hAnsi="Verdana"/>
          <w:sz w:val="20"/>
          <w:lang w:val="es-CR"/>
        </w:rPr>
        <w:t>establecido en la Sentencia</w:t>
      </w:r>
      <w:r w:rsidR="000F5565" w:rsidRPr="00133BF2">
        <w:rPr>
          <w:rFonts w:ascii="Verdana" w:hAnsi="Verdana"/>
          <w:sz w:val="20"/>
          <w:lang w:val="es-CR"/>
        </w:rPr>
        <w:t>.</w:t>
      </w:r>
      <w:r w:rsidR="008E0203" w:rsidRPr="00133BF2">
        <w:rPr>
          <w:rFonts w:ascii="Verdana" w:hAnsi="Verdana"/>
          <w:sz w:val="20"/>
          <w:lang w:val="es-CR"/>
        </w:rPr>
        <w:t xml:space="preserve"> </w:t>
      </w:r>
    </w:p>
    <w:p w:rsidR="002204F9" w:rsidRPr="0090649A" w:rsidRDefault="002204F9" w:rsidP="00B4241A">
      <w:pPr>
        <w:pStyle w:val="Sombreadovistoso-nfasis3"/>
        <w:spacing w:after="0" w:line="240" w:lineRule="auto"/>
        <w:ind w:left="0"/>
        <w:contextualSpacing w:val="0"/>
        <w:jc w:val="both"/>
        <w:rPr>
          <w:rFonts w:ascii="Verdana" w:hAnsi="Verdana"/>
          <w:sz w:val="18"/>
          <w:lang w:val="es-CR"/>
        </w:rPr>
      </w:pPr>
    </w:p>
    <w:p w:rsidR="00E50555" w:rsidRPr="0090649A" w:rsidRDefault="007E1BA7" w:rsidP="00453D58">
      <w:pPr>
        <w:pStyle w:val="Sombreadovistoso-nfasis3"/>
        <w:numPr>
          <w:ilvl w:val="0"/>
          <w:numId w:val="17"/>
        </w:numPr>
        <w:spacing w:after="0" w:line="240" w:lineRule="auto"/>
        <w:ind w:left="0" w:firstLine="0"/>
        <w:contextualSpacing w:val="0"/>
        <w:jc w:val="both"/>
        <w:rPr>
          <w:rFonts w:ascii="Verdana" w:hAnsi="Verdana"/>
          <w:sz w:val="18"/>
          <w:lang w:val="es-CR"/>
        </w:rPr>
      </w:pPr>
      <w:r w:rsidRPr="0090649A">
        <w:rPr>
          <w:rFonts w:ascii="Verdana" w:hAnsi="Verdana"/>
          <w:sz w:val="20"/>
          <w:lang w:val="es-CR"/>
        </w:rPr>
        <w:t>En razón de lo anterior, la Corte considera que</w:t>
      </w:r>
      <w:r w:rsidR="009D41EF">
        <w:rPr>
          <w:rFonts w:ascii="Verdana" w:hAnsi="Verdana"/>
          <w:sz w:val="20"/>
          <w:lang w:val="es-CR"/>
        </w:rPr>
        <w:t>, dentro del plazo estipulado,</w:t>
      </w:r>
      <w:r w:rsidRPr="0090649A">
        <w:rPr>
          <w:rFonts w:ascii="Verdana" w:hAnsi="Verdana"/>
          <w:sz w:val="20"/>
          <w:lang w:val="es-CR"/>
        </w:rPr>
        <w:t xml:space="preserve"> el Estado ha dado cumplimiento total a las medidas de publicación y difusión de la Sentencia y su resumen oficial</w:t>
      </w:r>
      <w:r w:rsidR="00FF6A27" w:rsidRPr="0090649A">
        <w:rPr>
          <w:rFonts w:ascii="Verdana" w:hAnsi="Verdana"/>
          <w:sz w:val="20"/>
          <w:lang w:val="es-CR"/>
        </w:rPr>
        <w:t>,</w:t>
      </w:r>
      <w:r w:rsidRPr="0090649A">
        <w:rPr>
          <w:rFonts w:ascii="Verdana" w:hAnsi="Verdana"/>
          <w:sz w:val="20"/>
          <w:lang w:val="es-CR"/>
        </w:rPr>
        <w:t xml:space="preserve"> ordenadas en el punto dispositivo décimo séptimo y el párrafo 303 de la misma.</w:t>
      </w:r>
    </w:p>
    <w:p w:rsidR="008B175C" w:rsidRPr="0090649A" w:rsidRDefault="008B175C" w:rsidP="00B4241A">
      <w:pPr>
        <w:pStyle w:val="Sombreadovistoso-nfasis3"/>
        <w:spacing w:after="0" w:line="240" w:lineRule="auto"/>
        <w:ind w:left="0"/>
        <w:contextualSpacing w:val="0"/>
        <w:jc w:val="both"/>
        <w:rPr>
          <w:rFonts w:ascii="Verdana" w:hAnsi="Verdana"/>
          <w:sz w:val="20"/>
          <w:szCs w:val="20"/>
          <w:lang w:val="es-CR"/>
        </w:rPr>
      </w:pPr>
    </w:p>
    <w:p w:rsidR="00202E30" w:rsidRPr="0090649A" w:rsidRDefault="004A185B" w:rsidP="00B4241A">
      <w:pPr>
        <w:pStyle w:val="Sombreadovistoso-nfasis3"/>
        <w:numPr>
          <w:ilvl w:val="0"/>
          <w:numId w:val="1"/>
        </w:numPr>
        <w:spacing w:after="0" w:line="240" w:lineRule="auto"/>
        <w:contextualSpacing w:val="0"/>
        <w:jc w:val="both"/>
        <w:outlineLvl w:val="0"/>
        <w:rPr>
          <w:rFonts w:ascii="Verdana" w:hAnsi="Verdana"/>
          <w:b/>
          <w:i/>
          <w:sz w:val="20"/>
          <w:lang w:val="es-CR"/>
        </w:rPr>
      </w:pPr>
      <w:bookmarkStart w:id="3" w:name="_Toc484097355"/>
      <w:r w:rsidRPr="0090649A">
        <w:rPr>
          <w:rFonts w:ascii="Verdana" w:hAnsi="Verdana"/>
          <w:b/>
          <w:i/>
          <w:sz w:val="20"/>
          <w:lang w:val="es-CR"/>
        </w:rPr>
        <w:t xml:space="preserve">Pago de indemnizaciones </w:t>
      </w:r>
      <w:r w:rsidR="00E87B6A">
        <w:rPr>
          <w:rFonts w:ascii="Verdana" w:hAnsi="Verdana"/>
          <w:b/>
          <w:i/>
          <w:sz w:val="20"/>
          <w:lang w:val="es-CR"/>
        </w:rPr>
        <w:t xml:space="preserve">por concepto de daño material e inmaterial </w:t>
      </w:r>
      <w:r w:rsidRPr="0090649A">
        <w:rPr>
          <w:rFonts w:ascii="Verdana" w:hAnsi="Verdana"/>
          <w:b/>
          <w:i/>
          <w:sz w:val="20"/>
          <w:lang w:val="es-CR"/>
        </w:rPr>
        <w:t>y reintegro de costas y gastos</w:t>
      </w:r>
      <w:bookmarkEnd w:id="3"/>
    </w:p>
    <w:p w:rsidR="007B10FC" w:rsidRPr="0090649A" w:rsidRDefault="007B10FC" w:rsidP="00B4241A">
      <w:pPr>
        <w:pStyle w:val="Sombreadovistoso-nfasis3"/>
        <w:spacing w:after="0" w:line="240" w:lineRule="auto"/>
        <w:ind w:left="0"/>
        <w:contextualSpacing w:val="0"/>
        <w:jc w:val="both"/>
        <w:outlineLvl w:val="0"/>
        <w:rPr>
          <w:rFonts w:ascii="Verdana" w:hAnsi="Verdana"/>
          <w:sz w:val="20"/>
          <w:lang w:val="es-CR"/>
        </w:rPr>
      </w:pPr>
    </w:p>
    <w:p w:rsidR="007B10FC" w:rsidRPr="0090649A" w:rsidRDefault="007B10FC" w:rsidP="00B4241A">
      <w:pPr>
        <w:pStyle w:val="Sombreadovistoso-nfasis3"/>
        <w:spacing w:after="0" w:line="240" w:lineRule="auto"/>
        <w:contextualSpacing w:val="0"/>
        <w:jc w:val="both"/>
        <w:rPr>
          <w:rFonts w:ascii="Verdana" w:hAnsi="Verdana"/>
          <w:i/>
          <w:sz w:val="20"/>
          <w:lang w:val="es-CR"/>
        </w:rPr>
      </w:pPr>
      <w:r w:rsidRPr="0090649A">
        <w:rPr>
          <w:rFonts w:ascii="Verdana" w:hAnsi="Verdana"/>
          <w:i/>
          <w:sz w:val="20"/>
          <w:lang w:val="es-CR"/>
        </w:rPr>
        <w:t>C.1. Medida</w:t>
      </w:r>
      <w:r w:rsidR="00E87B6A">
        <w:rPr>
          <w:rFonts w:ascii="Verdana" w:hAnsi="Verdana"/>
          <w:i/>
          <w:sz w:val="20"/>
          <w:lang w:val="es-CR"/>
        </w:rPr>
        <w:t>s</w:t>
      </w:r>
      <w:r w:rsidRPr="0090649A">
        <w:rPr>
          <w:rFonts w:ascii="Verdana" w:hAnsi="Verdana"/>
          <w:i/>
          <w:sz w:val="20"/>
          <w:lang w:val="es-CR"/>
        </w:rPr>
        <w:t xml:space="preserve"> ordenada</w:t>
      </w:r>
      <w:r w:rsidR="00E87B6A">
        <w:rPr>
          <w:rFonts w:ascii="Verdana" w:hAnsi="Verdana"/>
          <w:i/>
          <w:sz w:val="20"/>
          <w:lang w:val="es-CR"/>
        </w:rPr>
        <w:t>s</w:t>
      </w:r>
      <w:r w:rsidRPr="0090649A">
        <w:rPr>
          <w:rFonts w:ascii="Verdana" w:hAnsi="Verdana"/>
          <w:i/>
          <w:sz w:val="20"/>
          <w:lang w:val="es-CR"/>
        </w:rPr>
        <w:t xml:space="preserve"> por la Corte </w:t>
      </w:r>
    </w:p>
    <w:p w:rsidR="007B10FC" w:rsidRPr="0090649A" w:rsidRDefault="007B10FC" w:rsidP="00B4241A">
      <w:pPr>
        <w:pStyle w:val="Sombreadovistoso-nfasis3"/>
        <w:spacing w:after="0" w:line="240" w:lineRule="auto"/>
        <w:ind w:left="0"/>
        <w:contextualSpacing w:val="0"/>
        <w:jc w:val="both"/>
        <w:rPr>
          <w:rFonts w:ascii="Verdana" w:hAnsi="Verdana"/>
          <w:sz w:val="20"/>
          <w:lang w:val="es-CR"/>
        </w:rPr>
      </w:pPr>
    </w:p>
    <w:p w:rsidR="007B10FC" w:rsidRPr="0090649A" w:rsidRDefault="007B10FC" w:rsidP="00453D58">
      <w:pPr>
        <w:pStyle w:val="Sombreadovistoso-nfasis3"/>
        <w:numPr>
          <w:ilvl w:val="0"/>
          <w:numId w:val="17"/>
        </w:numPr>
        <w:spacing w:after="0" w:line="240" w:lineRule="auto"/>
        <w:ind w:left="0" w:firstLine="0"/>
        <w:contextualSpacing w:val="0"/>
        <w:jc w:val="both"/>
        <w:rPr>
          <w:rFonts w:ascii="Verdana" w:hAnsi="Verdana"/>
          <w:sz w:val="20"/>
          <w:lang w:val="es-CR"/>
        </w:rPr>
      </w:pPr>
      <w:r w:rsidRPr="0090649A">
        <w:rPr>
          <w:rFonts w:ascii="Verdana" w:hAnsi="Verdana"/>
          <w:sz w:val="20"/>
          <w:lang w:val="es-CR"/>
        </w:rPr>
        <w:t>En el punto resolutivo décimo octavo y en los párrafos 318, 325 y 334 de la Sentencia, la Corte dispuso que el Estado debe pagar las cantidades fijadas en la Sentencia, por concepto de indemnizaciones por daño material</w:t>
      </w:r>
      <w:r w:rsidRPr="0090649A">
        <w:rPr>
          <w:rStyle w:val="Refdenotaalpie"/>
          <w:rFonts w:ascii="Verdana" w:hAnsi="Verdana"/>
          <w:sz w:val="20"/>
          <w:lang w:val="es-CR"/>
        </w:rPr>
        <w:footnoteReference w:id="42"/>
      </w:r>
      <w:r w:rsidRPr="0090649A">
        <w:rPr>
          <w:rFonts w:ascii="Verdana" w:hAnsi="Verdana"/>
          <w:sz w:val="20"/>
          <w:lang w:val="es-CR"/>
        </w:rPr>
        <w:t xml:space="preserve"> e inmaterial</w:t>
      </w:r>
      <w:r w:rsidRPr="0090649A">
        <w:rPr>
          <w:rStyle w:val="Refdenotaalpie"/>
          <w:rFonts w:ascii="Verdana" w:hAnsi="Verdana"/>
          <w:sz w:val="20"/>
          <w:lang w:val="es-CR"/>
        </w:rPr>
        <w:footnoteReference w:id="43"/>
      </w:r>
      <w:r w:rsidRPr="0090649A">
        <w:rPr>
          <w:rFonts w:ascii="Verdana" w:hAnsi="Verdana"/>
          <w:sz w:val="20"/>
          <w:lang w:val="es-CR"/>
        </w:rPr>
        <w:t xml:space="preserve"> y por el reintegro de costas y gastos</w:t>
      </w:r>
      <w:r w:rsidRPr="0090649A">
        <w:rPr>
          <w:rStyle w:val="Refdenotaalpie"/>
          <w:rFonts w:ascii="Verdana" w:hAnsi="Verdana"/>
          <w:sz w:val="20"/>
          <w:lang w:val="es-CR"/>
        </w:rPr>
        <w:footnoteReference w:id="44"/>
      </w:r>
      <w:r w:rsidRPr="0090649A">
        <w:rPr>
          <w:rFonts w:ascii="Verdana" w:hAnsi="Verdana"/>
          <w:sz w:val="20"/>
          <w:lang w:val="es-CR"/>
        </w:rPr>
        <w:t xml:space="preserve">. </w:t>
      </w:r>
    </w:p>
    <w:p w:rsidR="007B10FC" w:rsidRPr="0090649A" w:rsidRDefault="007B10FC" w:rsidP="00B4241A">
      <w:pPr>
        <w:pStyle w:val="Sombreadovistoso-nfasis3"/>
        <w:spacing w:after="0" w:line="240" w:lineRule="auto"/>
        <w:ind w:left="0"/>
        <w:contextualSpacing w:val="0"/>
        <w:jc w:val="both"/>
        <w:rPr>
          <w:rFonts w:ascii="Verdana" w:hAnsi="Verdana"/>
          <w:sz w:val="20"/>
          <w:lang w:val="es-CR"/>
        </w:rPr>
      </w:pPr>
    </w:p>
    <w:p w:rsidR="007B10FC" w:rsidRPr="0090649A" w:rsidRDefault="007B10FC" w:rsidP="00B4241A">
      <w:pPr>
        <w:pStyle w:val="Sombreadovistoso-nfasis3"/>
        <w:spacing w:after="0" w:line="240" w:lineRule="auto"/>
        <w:contextualSpacing w:val="0"/>
        <w:jc w:val="both"/>
        <w:rPr>
          <w:rFonts w:ascii="Verdana" w:hAnsi="Verdana"/>
          <w:i/>
          <w:sz w:val="20"/>
          <w:lang w:val="es-CR"/>
        </w:rPr>
      </w:pPr>
      <w:r w:rsidRPr="0090649A">
        <w:rPr>
          <w:rFonts w:ascii="Verdana" w:hAnsi="Verdana"/>
          <w:i/>
          <w:sz w:val="20"/>
          <w:lang w:val="es-CR"/>
        </w:rPr>
        <w:t xml:space="preserve">C.2. Consideraciones de la Corte </w:t>
      </w:r>
    </w:p>
    <w:p w:rsidR="007B10FC" w:rsidRPr="0090649A" w:rsidRDefault="007B10FC" w:rsidP="00B4241A">
      <w:pPr>
        <w:pStyle w:val="Sombreadovistoso-nfasis3"/>
        <w:spacing w:after="0" w:line="240" w:lineRule="auto"/>
        <w:ind w:left="0"/>
        <w:contextualSpacing w:val="0"/>
        <w:jc w:val="both"/>
        <w:rPr>
          <w:rFonts w:ascii="Verdana" w:hAnsi="Verdana"/>
          <w:sz w:val="20"/>
          <w:lang w:val="es-CR"/>
        </w:rPr>
      </w:pPr>
    </w:p>
    <w:p w:rsidR="007B10FC" w:rsidRPr="002C0D35" w:rsidRDefault="007B10FC" w:rsidP="00453D58">
      <w:pPr>
        <w:pStyle w:val="Sombreadovistoso-nfasis3"/>
        <w:numPr>
          <w:ilvl w:val="0"/>
          <w:numId w:val="17"/>
        </w:numPr>
        <w:spacing w:after="0" w:line="240" w:lineRule="auto"/>
        <w:ind w:left="0" w:firstLine="0"/>
        <w:contextualSpacing w:val="0"/>
        <w:jc w:val="both"/>
        <w:rPr>
          <w:rFonts w:ascii="Verdana" w:hAnsi="Verdana"/>
          <w:sz w:val="20"/>
          <w:lang w:val="es-CR"/>
        </w:rPr>
      </w:pPr>
      <w:r w:rsidRPr="0090649A">
        <w:rPr>
          <w:rFonts w:ascii="Verdana" w:hAnsi="Verdana"/>
          <w:sz w:val="20"/>
          <w:lang w:val="es-CR"/>
        </w:rPr>
        <w:t xml:space="preserve">Con base en la información aportada por el </w:t>
      </w:r>
      <w:r w:rsidRPr="0090649A">
        <w:rPr>
          <w:rFonts w:ascii="Verdana" w:hAnsi="Verdana"/>
          <w:i/>
          <w:sz w:val="20"/>
          <w:lang w:val="es-CR"/>
        </w:rPr>
        <w:t>Estado</w:t>
      </w:r>
      <w:r w:rsidRPr="0090649A">
        <w:rPr>
          <w:rFonts w:ascii="Verdana" w:hAnsi="Verdana"/>
          <w:sz w:val="20"/>
          <w:lang w:val="es-CR"/>
        </w:rPr>
        <w:t>, la cual fue confirmada por las representantes de las víctimas</w:t>
      </w:r>
      <w:r w:rsidRPr="0090649A">
        <w:rPr>
          <w:rStyle w:val="Refdenotaalpie"/>
          <w:rFonts w:ascii="Verdana" w:hAnsi="Verdana"/>
          <w:sz w:val="20"/>
          <w:lang w:val="es-CR"/>
        </w:rPr>
        <w:footnoteReference w:id="45"/>
      </w:r>
      <w:r w:rsidRPr="0090649A">
        <w:rPr>
          <w:rFonts w:ascii="Verdana" w:hAnsi="Verdana"/>
          <w:sz w:val="20"/>
          <w:lang w:val="es-CR"/>
        </w:rPr>
        <w:t>, la Corte constata que: i) el 28 de noviembre de 2016</w:t>
      </w:r>
      <w:r w:rsidR="004D5251" w:rsidRPr="0090649A">
        <w:rPr>
          <w:rFonts w:ascii="Verdana" w:hAnsi="Verdana"/>
          <w:sz w:val="20"/>
          <w:lang w:val="es-CR"/>
        </w:rPr>
        <w:t xml:space="preserve"> el Estado pagó a </w:t>
      </w:r>
      <w:r w:rsidRPr="0090649A">
        <w:rPr>
          <w:rFonts w:ascii="Verdana" w:hAnsi="Verdana"/>
          <w:sz w:val="20"/>
          <w:lang w:val="es-CR"/>
        </w:rPr>
        <w:t xml:space="preserve">la víctima </w:t>
      </w:r>
      <w:r w:rsidR="004D5251" w:rsidRPr="0090649A">
        <w:rPr>
          <w:rFonts w:ascii="Verdana" w:hAnsi="Verdana"/>
          <w:sz w:val="20"/>
          <w:lang w:val="es-CR"/>
        </w:rPr>
        <w:t xml:space="preserve">Luis Alonso Chévez de la Rocha </w:t>
      </w:r>
      <w:r w:rsidRPr="0090649A">
        <w:rPr>
          <w:rFonts w:ascii="Verdana" w:hAnsi="Verdana"/>
          <w:sz w:val="20"/>
          <w:lang w:val="es-CR"/>
        </w:rPr>
        <w:t>las cantidades ordenadas en la Sentencia por concepto de daño</w:t>
      </w:r>
      <w:r w:rsidR="00D67CD1">
        <w:rPr>
          <w:rFonts w:ascii="Verdana" w:hAnsi="Verdana"/>
          <w:sz w:val="20"/>
          <w:lang w:val="es-CR"/>
        </w:rPr>
        <w:t>s</w:t>
      </w:r>
      <w:r w:rsidRPr="0090649A">
        <w:rPr>
          <w:rFonts w:ascii="Verdana" w:hAnsi="Verdana"/>
          <w:sz w:val="20"/>
          <w:lang w:val="es-CR"/>
        </w:rPr>
        <w:t xml:space="preserve"> material</w:t>
      </w:r>
      <w:r w:rsidR="00D67CD1">
        <w:rPr>
          <w:rFonts w:ascii="Verdana" w:hAnsi="Verdana"/>
          <w:sz w:val="20"/>
          <w:lang w:val="es-CR"/>
        </w:rPr>
        <w:t>es</w:t>
      </w:r>
      <w:r w:rsidRPr="0090649A">
        <w:rPr>
          <w:rFonts w:ascii="Verdana" w:hAnsi="Verdana"/>
          <w:sz w:val="20"/>
          <w:lang w:val="es-CR"/>
        </w:rPr>
        <w:t xml:space="preserve"> e inmaterial</w:t>
      </w:r>
      <w:r w:rsidR="00D67CD1">
        <w:rPr>
          <w:rFonts w:ascii="Verdana" w:hAnsi="Verdana"/>
          <w:sz w:val="20"/>
          <w:lang w:val="es-CR"/>
        </w:rPr>
        <w:t>es</w:t>
      </w:r>
      <w:r w:rsidRPr="0090649A">
        <w:rPr>
          <w:rStyle w:val="Refdenotaalpie"/>
          <w:rFonts w:ascii="Verdana" w:hAnsi="Verdana"/>
          <w:sz w:val="20"/>
          <w:lang w:val="es-CR"/>
        </w:rPr>
        <w:footnoteReference w:id="46"/>
      </w:r>
      <w:r w:rsidR="004D5251" w:rsidRPr="0090649A">
        <w:rPr>
          <w:rFonts w:ascii="Verdana" w:hAnsi="Verdana"/>
          <w:sz w:val="20"/>
          <w:lang w:val="es-CR"/>
        </w:rPr>
        <w:t xml:space="preserve">; y ii) el 6 de marzo de 2017 el Estado pagó a </w:t>
      </w:r>
      <w:r w:rsidRPr="0090649A">
        <w:rPr>
          <w:rFonts w:ascii="Verdana" w:hAnsi="Verdana"/>
          <w:sz w:val="20"/>
          <w:lang w:val="es-CR"/>
        </w:rPr>
        <w:t xml:space="preserve">las víctimas Adán Guillermo López Lone </w:t>
      </w:r>
      <w:r w:rsidR="004D5251" w:rsidRPr="0090649A">
        <w:rPr>
          <w:rFonts w:ascii="Verdana" w:hAnsi="Verdana"/>
          <w:sz w:val="20"/>
          <w:lang w:val="es-CR"/>
        </w:rPr>
        <w:t xml:space="preserve">y Tirza del Carmen Flores Lanza </w:t>
      </w:r>
      <w:r w:rsidRPr="0090649A">
        <w:rPr>
          <w:rFonts w:ascii="Verdana" w:hAnsi="Verdana"/>
          <w:sz w:val="20"/>
          <w:lang w:val="es-CR"/>
        </w:rPr>
        <w:t>las cantidades ordenadas en la Sentencia a favor de cada uno por concepto de daño</w:t>
      </w:r>
      <w:r w:rsidR="00D67CD1">
        <w:rPr>
          <w:rFonts w:ascii="Verdana" w:hAnsi="Verdana"/>
          <w:sz w:val="20"/>
          <w:lang w:val="es-CR"/>
        </w:rPr>
        <w:t>s</w:t>
      </w:r>
      <w:r w:rsidRPr="0090649A">
        <w:rPr>
          <w:rFonts w:ascii="Verdana" w:hAnsi="Verdana"/>
          <w:sz w:val="20"/>
          <w:lang w:val="es-CR"/>
        </w:rPr>
        <w:t xml:space="preserve"> material</w:t>
      </w:r>
      <w:r w:rsidR="00D67CD1">
        <w:rPr>
          <w:rFonts w:ascii="Verdana" w:hAnsi="Verdana"/>
          <w:sz w:val="20"/>
          <w:lang w:val="es-CR"/>
        </w:rPr>
        <w:t>es</w:t>
      </w:r>
      <w:r w:rsidRPr="0090649A">
        <w:rPr>
          <w:rFonts w:ascii="Verdana" w:hAnsi="Verdana"/>
          <w:sz w:val="20"/>
          <w:lang w:val="es-CR"/>
        </w:rPr>
        <w:t xml:space="preserve"> e </w:t>
      </w:r>
      <w:r w:rsidRPr="002C0D35">
        <w:rPr>
          <w:rFonts w:ascii="Verdana" w:hAnsi="Verdana"/>
          <w:sz w:val="20"/>
          <w:lang w:val="es-CR"/>
        </w:rPr>
        <w:t>inmaterial</w:t>
      </w:r>
      <w:r w:rsidR="00D67CD1" w:rsidRPr="002C0D35">
        <w:rPr>
          <w:rFonts w:ascii="Verdana" w:hAnsi="Verdana"/>
          <w:sz w:val="20"/>
          <w:lang w:val="es-CR"/>
        </w:rPr>
        <w:t>es</w:t>
      </w:r>
      <w:r w:rsidRPr="002C0D35">
        <w:rPr>
          <w:rStyle w:val="Refdenotaalpie"/>
          <w:rFonts w:ascii="Verdana" w:hAnsi="Verdana"/>
          <w:sz w:val="20"/>
          <w:lang w:val="es-CR"/>
        </w:rPr>
        <w:footnoteReference w:id="47"/>
      </w:r>
      <w:r w:rsidRPr="002C0D35">
        <w:rPr>
          <w:rFonts w:ascii="Verdana" w:hAnsi="Verdana"/>
          <w:sz w:val="20"/>
          <w:lang w:val="es-CR"/>
        </w:rPr>
        <w:t xml:space="preserve">. </w:t>
      </w:r>
      <w:r w:rsidR="005E3AC4" w:rsidRPr="002C0D35">
        <w:rPr>
          <w:rFonts w:ascii="Verdana" w:hAnsi="Verdana"/>
          <w:sz w:val="20"/>
          <w:lang w:val="es-CR"/>
        </w:rPr>
        <w:t xml:space="preserve">En lo que respecta a la víctima Ramón Enrique Barrios Maldonado, </w:t>
      </w:r>
      <w:r w:rsidR="00E87B6A" w:rsidRPr="002C0D35">
        <w:rPr>
          <w:rFonts w:ascii="Verdana" w:hAnsi="Verdana"/>
          <w:sz w:val="20"/>
          <w:lang w:val="es-CR"/>
        </w:rPr>
        <w:t xml:space="preserve">si bien el </w:t>
      </w:r>
      <w:r w:rsidR="00E87B6A" w:rsidRPr="002C0D35">
        <w:rPr>
          <w:rFonts w:ascii="Verdana" w:hAnsi="Verdana"/>
          <w:i/>
          <w:sz w:val="20"/>
          <w:lang w:val="es-CR"/>
        </w:rPr>
        <w:t>Estado</w:t>
      </w:r>
      <w:r w:rsidR="00E87B6A" w:rsidRPr="002C0D35">
        <w:rPr>
          <w:rFonts w:ascii="Verdana" w:hAnsi="Verdana"/>
          <w:sz w:val="20"/>
          <w:lang w:val="es-CR"/>
        </w:rPr>
        <w:t xml:space="preserve"> no aportó el comprobante d</w:t>
      </w:r>
      <w:r w:rsidR="004D5251" w:rsidRPr="002C0D35">
        <w:rPr>
          <w:rFonts w:ascii="Verdana" w:hAnsi="Verdana"/>
          <w:sz w:val="20"/>
          <w:lang w:val="es-CR"/>
        </w:rPr>
        <w:t>el pago de las indemnizaciones del daño emergente y daño inmaterial</w:t>
      </w:r>
      <w:r w:rsidR="00E87B6A" w:rsidRPr="002C0D35">
        <w:rPr>
          <w:rStyle w:val="Refdenotaalpie"/>
          <w:rFonts w:ascii="Verdana" w:hAnsi="Verdana"/>
          <w:sz w:val="20"/>
          <w:lang w:val="es-CR"/>
        </w:rPr>
        <w:footnoteReference w:id="48"/>
      </w:r>
      <w:r w:rsidR="004D5251" w:rsidRPr="002C0D35">
        <w:rPr>
          <w:rFonts w:ascii="Verdana" w:hAnsi="Verdana"/>
          <w:sz w:val="20"/>
          <w:lang w:val="es-CR"/>
        </w:rPr>
        <w:t xml:space="preserve">, </w:t>
      </w:r>
      <w:r w:rsidR="00E87B6A" w:rsidRPr="002C0D35">
        <w:rPr>
          <w:rFonts w:ascii="Verdana" w:hAnsi="Verdana"/>
          <w:sz w:val="20"/>
          <w:lang w:val="es-CR"/>
        </w:rPr>
        <w:t xml:space="preserve">las </w:t>
      </w:r>
      <w:r w:rsidR="00E87B6A" w:rsidRPr="002C0D35">
        <w:rPr>
          <w:rFonts w:ascii="Verdana" w:hAnsi="Verdana"/>
          <w:i/>
          <w:sz w:val="20"/>
          <w:lang w:val="es-CR"/>
        </w:rPr>
        <w:t xml:space="preserve">representantes </w:t>
      </w:r>
      <w:r w:rsidR="00E87B6A" w:rsidRPr="002C0D35">
        <w:rPr>
          <w:rFonts w:ascii="Verdana" w:hAnsi="Verdana"/>
          <w:sz w:val="20"/>
          <w:lang w:val="es-CR"/>
        </w:rPr>
        <w:t>confirmaron</w:t>
      </w:r>
      <w:r w:rsidR="0097408C" w:rsidRPr="002C0D35">
        <w:rPr>
          <w:rFonts w:ascii="Verdana" w:hAnsi="Verdana"/>
          <w:sz w:val="20"/>
          <w:lang w:val="es-CR"/>
        </w:rPr>
        <w:t xml:space="preserve"> en mayo de 2017</w:t>
      </w:r>
      <w:r w:rsidR="00E87B6A" w:rsidRPr="002C0D35">
        <w:rPr>
          <w:rFonts w:ascii="Verdana" w:hAnsi="Verdana"/>
          <w:sz w:val="20"/>
          <w:lang w:val="es-CR"/>
        </w:rPr>
        <w:t xml:space="preserve"> que la referida víctima recibió dicho pago y, por tanto, manifestaron que “estaría[n] de acuerdo con que se dé por cumplid[a]”</w:t>
      </w:r>
      <w:r w:rsidR="00D67CD1" w:rsidRPr="002C0D35">
        <w:rPr>
          <w:rFonts w:ascii="Verdana" w:hAnsi="Verdana"/>
          <w:sz w:val="20"/>
          <w:lang w:val="es-CR"/>
        </w:rPr>
        <w:t xml:space="preserve"> esta reparación</w:t>
      </w:r>
      <w:r w:rsidR="009574EE" w:rsidRPr="002C0D35">
        <w:rPr>
          <w:rStyle w:val="Refdenotaalpie"/>
          <w:rFonts w:ascii="Verdana" w:hAnsi="Verdana"/>
          <w:sz w:val="20"/>
          <w:lang w:val="es-CR"/>
        </w:rPr>
        <w:footnoteReference w:id="49"/>
      </w:r>
      <w:r w:rsidR="009574EE" w:rsidRPr="002C0D35">
        <w:rPr>
          <w:rFonts w:ascii="Verdana" w:hAnsi="Verdana"/>
          <w:sz w:val="20"/>
          <w:lang w:val="es-CR"/>
        </w:rPr>
        <w:t>.</w:t>
      </w:r>
      <w:r w:rsidRPr="002C0D35">
        <w:rPr>
          <w:rFonts w:ascii="Verdana" w:hAnsi="Verdana"/>
          <w:sz w:val="20"/>
          <w:lang w:val="es-CR"/>
        </w:rPr>
        <w:t xml:space="preserve"> </w:t>
      </w:r>
    </w:p>
    <w:p w:rsidR="007B10FC" w:rsidRPr="0090649A" w:rsidRDefault="007B10FC" w:rsidP="00B4241A">
      <w:pPr>
        <w:pStyle w:val="Sombreadovistoso-nfasis3"/>
        <w:spacing w:line="240" w:lineRule="auto"/>
        <w:ind w:left="0"/>
        <w:rPr>
          <w:rFonts w:ascii="Verdana" w:hAnsi="Verdana"/>
          <w:sz w:val="20"/>
          <w:lang w:val="es-CR"/>
        </w:rPr>
      </w:pPr>
    </w:p>
    <w:p w:rsidR="007B10FC" w:rsidRPr="0090649A" w:rsidRDefault="007B10FC" w:rsidP="00453D58">
      <w:pPr>
        <w:pStyle w:val="Sombreadovistoso-nfasis3"/>
        <w:numPr>
          <w:ilvl w:val="0"/>
          <w:numId w:val="17"/>
        </w:numPr>
        <w:spacing w:after="0" w:line="240" w:lineRule="auto"/>
        <w:ind w:left="0" w:firstLine="0"/>
        <w:contextualSpacing w:val="0"/>
        <w:jc w:val="both"/>
        <w:rPr>
          <w:rFonts w:ascii="Verdana" w:hAnsi="Verdana"/>
          <w:sz w:val="20"/>
          <w:szCs w:val="20"/>
          <w:lang w:val="es-CR"/>
        </w:rPr>
      </w:pPr>
      <w:r w:rsidRPr="0090649A">
        <w:rPr>
          <w:rFonts w:ascii="Verdana" w:hAnsi="Verdana"/>
          <w:sz w:val="20"/>
          <w:lang w:val="es-CR"/>
        </w:rPr>
        <w:t xml:space="preserve">Respecto al reintegro de </w:t>
      </w:r>
      <w:r w:rsidRPr="0090649A">
        <w:rPr>
          <w:rFonts w:ascii="Verdana" w:hAnsi="Verdana"/>
          <w:sz w:val="20"/>
          <w:szCs w:val="20"/>
          <w:lang w:val="es-CR"/>
        </w:rPr>
        <w:t xml:space="preserve">costas y gastos, </w:t>
      </w:r>
      <w:r w:rsidR="00A828DA" w:rsidRPr="0090649A">
        <w:rPr>
          <w:rFonts w:ascii="Verdana" w:hAnsi="Verdana"/>
          <w:sz w:val="20"/>
          <w:szCs w:val="20"/>
          <w:lang w:val="es-CR"/>
        </w:rPr>
        <w:t>el Tribunal constata</w:t>
      </w:r>
      <w:r w:rsidR="00331A0E">
        <w:rPr>
          <w:rFonts w:ascii="Verdana" w:hAnsi="Verdana"/>
          <w:sz w:val="20"/>
          <w:szCs w:val="20"/>
          <w:lang w:val="es-CR"/>
        </w:rPr>
        <w:t>,</w:t>
      </w:r>
      <w:r w:rsidR="00A828DA" w:rsidRPr="0090649A">
        <w:rPr>
          <w:rFonts w:ascii="Verdana" w:hAnsi="Verdana"/>
          <w:sz w:val="20"/>
          <w:szCs w:val="20"/>
          <w:lang w:val="es-CR"/>
        </w:rPr>
        <w:t xml:space="preserve"> con base en la información aportada por </w:t>
      </w:r>
      <w:r w:rsidRPr="0090649A">
        <w:rPr>
          <w:rFonts w:ascii="Verdana" w:hAnsi="Verdana"/>
          <w:sz w:val="20"/>
          <w:szCs w:val="20"/>
          <w:lang w:val="es-CR"/>
        </w:rPr>
        <w:t xml:space="preserve">el </w:t>
      </w:r>
      <w:r w:rsidRPr="0090649A">
        <w:rPr>
          <w:rFonts w:ascii="Verdana" w:hAnsi="Verdana"/>
          <w:i/>
          <w:sz w:val="20"/>
          <w:szCs w:val="20"/>
          <w:lang w:val="es-CR"/>
        </w:rPr>
        <w:t>Estado</w:t>
      </w:r>
      <w:r w:rsidRPr="0090649A">
        <w:rPr>
          <w:rFonts w:ascii="Verdana" w:hAnsi="Verdana"/>
          <w:sz w:val="20"/>
          <w:szCs w:val="20"/>
          <w:lang w:val="es-CR"/>
        </w:rPr>
        <w:t xml:space="preserve"> </w:t>
      </w:r>
      <w:r w:rsidR="00A828DA" w:rsidRPr="0090649A">
        <w:rPr>
          <w:rFonts w:ascii="Verdana" w:hAnsi="Verdana"/>
          <w:sz w:val="20"/>
          <w:szCs w:val="20"/>
          <w:lang w:val="es-CR"/>
        </w:rPr>
        <w:t xml:space="preserve">y confirmada por las </w:t>
      </w:r>
      <w:r w:rsidR="00F846DE" w:rsidRPr="00F829C8">
        <w:rPr>
          <w:rFonts w:ascii="Verdana" w:hAnsi="Verdana"/>
          <w:i/>
          <w:sz w:val="20"/>
          <w:szCs w:val="20"/>
          <w:lang w:val="es-CR"/>
        </w:rPr>
        <w:t>representantes</w:t>
      </w:r>
      <w:r w:rsidR="00A828DA" w:rsidRPr="0090649A">
        <w:rPr>
          <w:rFonts w:ascii="Verdana" w:hAnsi="Verdana"/>
          <w:sz w:val="20"/>
          <w:szCs w:val="20"/>
          <w:lang w:val="es-CR"/>
        </w:rPr>
        <w:t xml:space="preserve">, que: i) </w:t>
      </w:r>
      <w:r w:rsidR="007B78B0" w:rsidRPr="0090649A">
        <w:rPr>
          <w:rFonts w:ascii="Verdana" w:hAnsi="Verdana"/>
          <w:sz w:val="20"/>
          <w:szCs w:val="20"/>
          <w:lang w:val="es-CR"/>
        </w:rPr>
        <w:t xml:space="preserve">en abril de 2017 </w:t>
      </w:r>
      <w:r w:rsidR="00331A0E">
        <w:rPr>
          <w:rFonts w:ascii="Verdana" w:hAnsi="Verdana"/>
          <w:sz w:val="20"/>
          <w:szCs w:val="20"/>
          <w:lang w:val="es-CR"/>
        </w:rPr>
        <w:t>el Estado realizó el pago a</w:t>
      </w:r>
      <w:r w:rsidR="007B78B0" w:rsidRPr="0090649A">
        <w:rPr>
          <w:rFonts w:ascii="Verdana" w:hAnsi="Verdana"/>
          <w:sz w:val="20"/>
          <w:szCs w:val="20"/>
          <w:lang w:val="es-CR"/>
        </w:rPr>
        <w:t xml:space="preserve"> favor de CEJIL a la cuenta señalada por dicha organización</w:t>
      </w:r>
      <w:r w:rsidR="007B78B0" w:rsidRPr="0090649A">
        <w:rPr>
          <w:rStyle w:val="Refdenotaalpie"/>
          <w:rFonts w:ascii="Verdana" w:hAnsi="Verdana"/>
          <w:sz w:val="20"/>
          <w:szCs w:val="20"/>
          <w:lang w:val="es-CR"/>
        </w:rPr>
        <w:footnoteReference w:id="50"/>
      </w:r>
      <w:r w:rsidR="00A828DA" w:rsidRPr="0090649A">
        <w:rPr>
          <w:rFonts w:ascii="Verdana" w:hAnsi="Verdana"/>
          <w:sz w:val="20"/>
          <w:szCs w:val="20"/>
          <w:lang w:val="es-CR"/>
        </w:rPr>
        <w:t>, y ii)</w:t>
      </w:r>
      <w:r w:rsidR="007B78B0" w:rsidRPr="0090649A">
        <w:rPr>
          <w:rFonts w:ascii="Verdana" w:hAnsi="Verdana"/>
          <w:sz w:val="20"/>
          <w:szCs w:val="20"/>
          <w:lang w:val="es-CR"/>
        </w:rPr>
        <w:t xml:space="preserve"> </w:t>
      </w:r>
      <w:r w:rsidR="00331A0E">
        <w:rPr>
          <w:rFonts w:ascii="Verdana" w:hAnsi="Verdana"/>
          <w:sz w:val="20"/>
          <w:szCs w:val="20"/>
          <w:lang w:val="es-CR"/>
        </w:rPr>
        <w:t>el 7 de abril de 2017</w:t>
      </w:r>
      <w:r w:rsidR="00A828DA" w:rsidRPr="0090649A">
        <w:rPr>
          <w:rFonts w:ascii="Verdana" w:hAnsi="Verdana"/>
          <w:sz w:val="20"/>
          <w:szCs w:val="20"/>
          <w:lang w:val="es-CR"/>
        </w:rPr>
        <w:t xml:space="preserve"> realizó el pago a favor de la Asociación Jueces por la Democracia</w:t>
      </w:r>
      <w:r w:rsidR="00127B94" w:rsidRPr="0090649A">
        <w:rPr>
          <w:rStyle w:val="Refdenotaalpie"/>
          <w:rFonts w:ascii="Verdana" w:hAnsi="Verdana"/>
          <w:sz w:val="20"/>
          <w:szCs w:val="20"/>
          <w:lang w:val="es-CR"/>
        </w:rPr>
        <w:footnoteReference w:id="51"/>
      </w:r>
      <w:r w:rsidR="007B78B0" w:rsidRPr="0090649A">
        <w:rPr>
          <w:rFonts w:ascii="Verdana" w:hAnsi="Verdana"/>
          <w:sz w:val="20"/>
          <w:szCs w:val="20"/>
          <w:lang w:val="es-CR"/>
        </w:rPr>
        <w:t>.</w:t>
      </w:r>
      <w:r w:rsidR="00D75E76" w:rsidRPr="0090649A">
        <w:rPr>
          <w:rFonts w:ascii="Verdana" w:hAnsi="Verdana"/>
          <w:sz w:val="20"/>
          <w:szCs w:val="20"/>
          <w:lang w:val="es-CR"/>
        </w:rPr>
        <w:t xml:space="preserve"> </w:t>
      </w:r>
    </w:p>
    <w:p w:rsidR="00A828DA" w:rsidRPr="0090649A" w:rsidRDefault="00A828DA" w:rsidP="00A828DA">
      <w:pPr>
        <w:pStyle w:val="Sombreadovistoso-nfasis3"/>
        <w:spacing w:after="0" w:line="240" w:lineRule="auto"/>
        <w:ind w:left="0"/>
        <w:contextualSpacing w:val="0"/>
        <w:jc w:val="both"/>
        <w:rPr>
          <w:rFonts w:ascii="Verdana" w:hAnsi="Verdana"/>
          <w:sz w:val="20"/>
          <w:szCs w:val="20"/>
          <w:lang w:val="es-CR"/>
        </w:rPr>
      </w:pPr>
    </w:p>
    <w:p w:rsidR="007B10FC" w:rsidRPr="0090649A" w:rsidRDefault="007B10FC" w:rsidP="00453D58">
      <w:pPr>
        <w:pStyle w:val="Sombreadovistoso-nfasis3"/>
        <w:numPr>
          <w:ilvl w:val="0"/>
          <w:numId w:val="17"/>
        </w:numPr>
        <w:spacing w:after="0" w:line="240" w:lineRule="auto"/>
        <w:ind w:left="0" w:firstLine="0"/>
        <w:contextualSpacing w:val="0"/>
        <w:jc w:val="both"/>
        <w:rPr>
          <w:rFonts w:ascii="Verdana" w:hAnsi="Verdana"/>
          <w:sz w:val="20"/>
          <w:lang w:val="es-CR"/>
        </w:rPr>
      </w:pPr>
      <w:r w:rsidRPr="0090649A">
        <w:rPr>
          <w:rFonts w:ascii="Verdana" w:hAnsi="Verdana"/>
          <w:sz w:val="20"/>
          <w:lang w:val="es-CR"/>
        </w:rPr>
        <w:t>En razón de lo anterior, la Corte considera que el Estado ha dado cumplimiento al pago de las cantidades fijadas en la Sentencia, por concepto de indemnizaciones por daño</w:t>
      </w:r>
      <w:r w:rsidR="00331A0E">
        <w:rPr>
          <w:rFonts w:ascii="Verdana" w:hAnsi="Verdana"/>
          <w:sz w:val="20"/>
          <w:lang w:val="es-CR"/>
        </w:rPr>
        <w:t>s</w:t>
      </w:r>
      <w:r w:rsidRPr="0090649A">
        <w:rPr>
          <w:rFonts w:ascii="Verdana" w:hAnsi="Verdana"/>
          <w:sz w:val="20"/>
          <w:lang w:val="es-CR"/>
        </w:rPr>
        <w:t xml:space="preserve"> material</w:t>
      </w:r>
      <w:r w:rsidR="00331A0E">
        <w:rPr>
          <w:rFonts w:ascii="Verdana" w:hAnsi="Verdana"/>
          <w:sz w:val="20"/>
          <w:lang w:val="es-CR"/>
        </w:rPr>
        <w:t>es</w:t>
      </w:r>
      <w:r w:rsidRPr="0090649A">
        <w:rPr>
          <w:rFonts w:ascii="Verdana" w:hAnsi="Verdana"/>
          <w:sz w:val="20"/>
          <w:lang w:val="es-CR"/>
        </w:rPr>
        <w:t xml:space="preserve"> e inmaterial</w:t>
      </w:r>
      <w:r w:rsidR="00331A0E">
        <w:rPr>
          <w:rFonts w:ascii="Verdana" w:hAnsi="Verdana"/>
          <w:sz w:val="20"/>
          <w:lang w:val="es-CR"/>
        </w:rPr>
        <w:t>es</w:t>
      </w:r>
      <w:r w:rsidRPr="0090649A">
        <w:rPr>
          <w:rFonts w:ascii="Verdana" w:hAnsi="Verdana"/>
          <w:sz w:val="20"/>
          <w:lang w:val="es-CR"/>
        </w:rPr>
        <w:t>, a favor de las víctimas Adán Guillermo López Lone, Tirza del Carmen Flores Lanza</w:t>
      </w:r>
      <w:r w:rsidR="00863A8A">
        <w:rPr>
          <w:rFonts w:ascii="Verdana" w:hAnsi="Verdana"/>
          <w:sz w:val="20"/>
          <w:lang w:val="es-CR"/>
        </w:rPr>
        <w:t>,</w:t>
      </w:r>
      <w:r w:rsidRPr="0090649A">
        <w:rPr>
          <w:rFonts w:ascii="Verdana" w:hAnsi="Verdana"/>
          <w:sz w:val="20"/>
          <w:lang w:val="es-CR"/>
        </w:rPr>
        <w:t xml:space="preserve"> Luis Alonso Chévez de la Rocha</w:t>
      </w:r>
      <w:r w:rsidR="00863A8A">
        <w:rPr>
          <w:rFonts w:ascii="Verdana" w:hAnsi="Verdana"/>
          <w:sz w:val="20"/>
          <w:lang w:val="es-CR"/>
        </w:rPr>
        <w:t xml:space="preserve"> y </w:t>
      </w:r>
      <w:r w:rsidR="00863A8A" w:rsidRPr="0090649A">
        <w:rPr>
          <w:rFonts w:ascii="Verdana" w:hAnsi="Verdana"/>
          <w:sz w:val="20"/>
          <w:lang w:val="es-CR"/>
        </w:rPr>
        <w:t>Ramón Enrique Barrios Maldonado</w:t>
      </w:r>
      <w:r w:rsidRPr="0090649A">
        <w:rPr>
          <w:rFonts w:ascii="Verdana" w:hAnsi="Verdana"/>
          <w:sz w:val="20"/>
          <w:lang w:val="es-CR"/>
        </w:rPr>
        <w:t>,</w:t>
      </w:r>
      <w:r w:rsidR="001259E3" w:rsidRPr="0090649A">
        <w:rPr>
          <w:rFonts w:ascii="Verdana" w:hAnsi="Verdana"/>
          <w:sz w:val="20"/>
          <w:lang w:val="es-CR"/>
        </w:rPr>
        <w:t xml:space="preserve"> </w:t>
      </w:r>
      <w:r w:rsidR="001259E3" w:rsidRPr="0090649A">
        <w:rPr>
          <w:rFonts w:ascii="Verdana" w:hAnsi="Verdana"/>
          <w:sz w:val="20"/>
          <w:lang w:val="es-CR"/>
        </w:rPr>
        <w:lastRenderedPageBreak/>
        <w:t>y por concepto de reintegro de costas y gastos a favor de CEJIL y la Asociación Jueces por la Democracia,</w:t>
      </w:r>
      <w:r w:rsidRPr="0090649A">
        <w:rPr>
          <w:rFonts w:ascii="Verdana" w:hAnsi="Verdana"/>
          <w:sz w:val="20"/>
          <w:lang w:val="es-CR"/>
        </w:rPr>
        <w:t xml:space="preserve"> según fue ordenado en el punto resolutivo décimo octavo y en los párrafos 318, 325 y 334 de la Sentencia.</w:t>
      </w:r>
      <w:r w:rsidR="001259E3" w:rsidRPr="0090649A">
        <w:rPr>
          <w:rFonts w:ascii="Verdana" w:hAnsi="Verdana"/>
          <w:sz w:val="20"/>
          <w:lang w:val="es-CR"/>
        </w:rPr>
        <w:t xml:space="preserve"> </w:t>
      </w:r>
    </w:p>
    <w:p w:rsidR="00BB6B79" w:rsidRPr="0090649A" w:rsidRDefault="00BB6B79" w:rsidP="00B4241A">
      <w:pPr>
        <w:pStyle w:val="Sombreadovistoso-nfasis3"/>
        <w:spacing w:after="0" w:line="240" w:lineRule="auto"/>
        <w:ind w:left="0"/>
        <w:contextualSpacing w:val="0"/>
        <w:jc w:val="both"/>
        <w:rPr>
          <w:rFonts w:ascii="Verdana" w:hAnsi="Verdana"/>
          <w:b/>
          <w:sz w:val="20"/>
          <w:lang w:val="es-CR"/>
        </w:rPr>
      </w:pPr>
    </w:p>
    <w:p w:rsidR="007B10FC" w:rsidRPr="0090649A" w:rsidRDefault="007B10FC" w:rsidP="00B4241A">
      <w:pPr>
        <w:pStyle w:val="Sombreadovistoso-nfasis3"/>
        <w:numPr>
          <w:ilvl w:val="0"/>
          <w:numId w:val="1"/>
        </w:numPr>
        <w:spacing w:after="0" w:line="240" w:lineRule="auto"/>
        <w:contextualSpacing w:val="0"/>
        <w:jc w:val="both"/>
        <w:outlineLvl w:val="0"/>
        <w:rPr>
          <w:rFonts w:ascii="Verdana" w:hAnsi="Verdana"/>
          <w:b/>
          <w:i/>
          <w:sz w:val="20"/>
          <w:lang w:val="es-CR"/>
        </w:rPr>
      </w:pPr>
      <w:bookmarkStart w:id="4" w:name="_Toc484097356"/>
      <w:r w:rsidRPr="0090649A">
        <w:rPr>
          <w:rFonts w:ascii="Verdana" w:hAnsi="Verdana"/>
          <w:b/>
          <w:i/>
          <w:sz w:val="20"/>
          <w:lang w:val="es-CR"/>
        </w:rPr>
        <w:t>Solicitud de reintegro de gastos durante la etapa de supervisión</w:t>
      </w:r>
      <w:bookmarkEnd w:id="4"/>
    </w:p>
    <w:p w:rsidR="00E50555" w:rsidRPr="0090649A" w:rsidRDefault="00E50555" w:rsidP="00B4241A">
      <w:pPr>
        <w:pStyle w:val="Sombreadovistoso-nfasis3"/>
        <w:spacing w:after="0" w:line="240" w:lineRule="auto"/>
        <w:contextualSpacing w:val="0"/>
        <w:jc w:val="both"/>
        <w:rPr>
          <w:rFonts w:ascii="Verdana" w:hAnsi="Verdana"/>
          <w:i/>
          <w:sz w:val="20"/>
          <w:lang w:val="es-CR"/>
        </w:rPr>
      </w:pPr>
    </w:p>
    <w:p w:rsidR="00C26C20" w:rsidRPr="0090649A" w:rsidRDefault="00C26C20" w:rsidP="00B4241A">
      <w:pPr>
        <w:pStyle w:val="Sombreadovistoso-nfasis3"/>
        <w:spacing w:after="0" w:line="240" w:lineRule="auto"/>
        <w:ind w:left="0" w:firstLine="360"/>
        <w:contextualSpacing w:val="0"/>
        <w:jc w:val="both"/>
        <w:rPr>
          <w:rFonts w:ascii="Verdana" w:hAnsi="Verdana"/>
          <w:i/>
          <w:sz w:val="20"/>
          <w:lang w:val="es-CR"/>
        </w:rPr>
      </w:pPr>
      <w:r w:rsidRPr="0090649A">
        <w:rPr>
          <w:rFonts w:ascii="Verdana" w:hAnsi="Verdana"/>
          <w:i/>
          <w:sz w:val="20"/>
          <w:lang w:val="es-CR"/>
        </w:rPr>
        <w:t>D.1. Medida ordenada por la Corte</w:t>
      </w:r>
    </w:p>
    <w:p w:rsidR="00C26C20" w:rsidRPr="0090649A" w:rsidRDefault="00C26C20" w:rsidP="00B4241A">
      <w:pPr>
        <w:pStyle w:val="Sombreadovistoso-nfasis3"/>
        <w:spacing w:line="240" w:lineRule="auto"/>
        <w:rPr>
          <w:rFonts w:ascii="Verdana" w:hAnsi="Verdana"/>
          <w:sz w:val="20"/>
          <w:lang w:val="es-CR"/>
        </w:rPr>
      </w:pPr>
    </w:p>
    <w:p w:rsidR="00C26C20" w:rsidRPr="0090649A" w:rsidRDefault="00893D36" w:rsidP="00453D58">
      <w:pPr>
        <w:pStyle w:val="Sombreadovistoso-nfasis3"/>
        <w:numPr>
          <w:ilvl w:val="0"/>
          <w:numId w:val="17"/>
        </w:numPr>
        <w:spacing w:after="0" w:line="240" w:lineRule="auto"/>
        <w:ind w:left="0" w:firstLine="0"/>
        <w:contextualSpacing w:val="0"/>
        <w:jc w:val="both"/>
        <w:rPr>
          <w:rFonts w:ascii="Verdana" w:hAnsi="Verdana"/>
          <w:sz w:val="20"/>
          <w:lang w:val="es-CR"/>
        </w:rPr>
      </w:pPr>
      <w:r w:rsidRPr="0090649A">
        <w:rPr>
          <w:rFonts w:ascii="Verdana" w:hAnsi="Verdana"/>
          <w:sz w:val="20"/>
          <w:lang w:val="es-CR"/>
        </w:rPr>
        <w:t xml:space="preserve">En el párrafo 334 de la Sentencia, el Tribunal indicó que en </w:t>
      </w:r>
      <w:r w:rsidR="00E31C0C" w:rsidRPr="0090649A">
        <w:rPr>
          <w:rFonts w:ascii="Verdana" w:hAnsi="Verdana"/>
          <w:sz w:val="20"/>
          <w:lang w:val="es-CR"/>
        </w:rPr>
        <w:t>la etapa</w:t>
      </w:r>
      <w:r w:rsidRPr="0090649A">
        <w:rPr>
          <w:rFonts w:ascii="Verdana" w:hAnsi="Verdana"/>
          <w:sz w:val="20"/>
          <w:lang w:val="es-CR"/>
        </w:rPr>
        <w:t xml:space="preserve"> de supervisión de cumplimiento</w:t>
      </w:r>
      <w:r w:rsidR="00E31C0C" w:rsidRPr="0090649A">
        <w:rPr>
          <w:rFonts w:ascii="Verdana" w:hAnsi="Verdana"/>
          <w:sz w:val="20"/>
          <w:lang w:val="es-CR"/>
        </w:rPr>
        <w:t xml:space="preserve"> del presente caso</w:t>
      </w:r>
      <w:r w:rsidRPr="0090649A">
        <w:rPr>
          <w:rFonts w:ascii="Verdana" w:hAnsi="Verdana"/>
          <w:sz w:val="20"/>
          <w:lang w:val="es-CR"/>
        </w:rPr>
        <w:t xml:space="preserve"> podría disponer que el Estado reembolse </w:t>
      </w:r>
      <w:r w:rsidR="00E31C0C" w:rsidRPr="0090649A">
        <w:rPr>
          <w:rFonts w:ascii="Verdana" w:hAnsi="Verdana"/>
          <w:sz w:val="20"/>
          <w:lang w:val="es-CR"/>
        </w:rPr>
        <w:t>“</w:t>
      </w:r>
      <w:r w:rsidRPr="0090649A">
        <w:rPr>
          <w:rFonts w:ascii="Verdana" w:hAnsi="Verdana"/>
          <w:sz w:val="20"/>
          <w:lang w:val="es-CR"/>
        </w:rPr>
        <w:t xml:space="preserve">a las víctimas o sus representantes </w:t>
      </w:r>
      <w:r w:rsidR="00E31C0C" w:rsidRPr="0090649A">
        <w:rPr>
          <w:rFonts w:ascii="Verdana" w:hAnsi="Verdana"/>
          <w:sz w:val="20"/>
          <w:lang w:val="es-CR"/>
        </w:rPr>
        <w:t>de</w:t>
      </w:r>
      <w:r w:rsidRPr="0090649A">
        <w:rPr>
          <w:rFonts w:ascii="Verdana" w:hAnsi="Verdana"/>
          <w:sz w:val="20"/>
          <w:lang w:val="es-CR"/>
        </w:rPr>
        <w:t xml:space="preserve"> gastos </w:t>
      </w:r>
      <w:r w:rsidR="00E31C0C" w:rsidRPr="0090649A">
        <w:rPr>
          <w:rFonts w:ascii="Verdana" w:hAnsi="Verdana"/>
          <w:sz w:val="20"/>
          <w:lang w:val="es-CR"/>
        </w:rPr>
        <w:t xml:space="preserve">posteriores </w:t>
      </w:r>
      <w:r w:rsidRPr="0090649A">
        <w:rPr>
          <w:rFonts w:ascii="Verdana" w:hAnsi="Verdana"/>
          <w:sz w:val="20"/>
          <w:lang w:val="es-CR"/>
        </w:rPr>
        <w:t xml:space="preserve">razonables </w:t>
      </w:r>
      <w:r w:rsidR="00E31C0C" w:rsidRPr="0090649A">
        <w:rPr>
          <w:rFonts w:ascii="Verdana" w:hAnsi="Verdana"/>
          <w:sz w:val="20"/>
          <w:lang w:val="es-CR"/>
        </w:rPr>
        <w:t>y debidamente comprobados”</w:t>
      </w:r>
      <w:r w:rsidRPr="0090649A">
        <w:rPr>
          <w:rFonts w:ascii="Verdana" w:hAnsi="Verdana"/>
          <w:sz w:val="20"/>
          <w:lang w:val="es-CR"/>
        </w:rPr>
        <w:t>.</w:t>
      </w:r>
    </w:p>
    <w:p w:rsidR="00E31C0C" w:rsidRPr="0090649A" w:rsidRDefault="00E31C0C" w:rsidP="00B4241A">
      <w:pPr>
        <w:pStyle w:val="Sombreadovistoso-nfasis3"/>
        <w:spacing w:after="0" w:line="240" w:lineRule="auto"/>
        <w:ind w:left="0"/>
        <w:contextualSpacing w:val="0"/>
        <w:jc w:val="both"/>
        <w:rPr>
          <w:rFonts w:ascii="Verdana" w:hAnsi="Verdana"/>
          <w:sz w:val="20"/>
          <w:lang w:val="es-CR"/>
        </w:rPr>
      </w:pPr>
    </w:p>
    <w:p w:rsidR="00C26C20" w:rsidRPr="0090649A" w:rsidRDefault="00C26C20" w:rsidP="00B4241A">
      <w:pPr>
        <w:pStyle w:val="Sombreadovistoso-nfasis3"/>
        <w:spacing w:after="0" w:line="240" w:lineRule="auto"/>
        <w:ind w:left="0" w:firstLine="360"/>
        <w:contextualSpacing w:val="0"/>
        <w:jc w:val="both"/>
        <w:rPr>
          <w:rFonts w:ascii="Verdana" w:hAnsi="Verdana"/>
          <w:i/>
          <w:sz w:val="20"/>
          <w:lang w:val="es-CR"/>
        </w:rPr>
      </w:pPr>
      <w:r w:rsidRPr="0090649A">
        <w:rPr>
          <w:rFonts w:ascii="Verdana" w:hAnsi="Verdana"/>
          <w:i/>
          <w:sz w:val="20"/>
          <w:lang w:val="es-CR"/>
        </w:rPr>
        <w:t>D.2. Consideraciones de la Corte</w:t>
      </w:r>
    </w:p>
    <w:p w:rsidR="00C26C20" w:rsidRPr="0090649A" w:rsidRDefault="00C26C20" w:rsidP="00B4241A">
      <w:pPr>
        <w:pStyle w:val="Sombreadovistoso-nfasis3"/>
        <w:spacing w:after="0" w:line="240" w:lineRule="auto"/>
        <w:ind w:left="0"/>
        <w:contextualSpacing w:val="0"/>
        <w:jc w:val="both"/>
        <w:rPr>
          <w:rFonts w:ascii="Verdana" w:hAnsi="Verdana"/>
          <w:sz w:val="20"/>
          <w:lang w:val="es-CR"/>
        </w:rPr>
      </w:pPr>
    </w:p>
    <w:p w:rsidR="0093661F" w:rsidRPr="0090649A" w:rsidRDefault="00893D36" w:rsidP="00453D58">
      <w:pPr>
        <w:pStyle w:val="Sombreadovistoso-nfasis3"/>
        <w:numPr>
          <w:ilvl w:val="0"/>
          <w:numId w:val="17"/>
        </w:numPr>
        <w:spacing w:after="0" w:line="240" w:lineRule="auto"/>
        <w:ind w:left="0" w:firstLine="0"/>
        <w:contextualSpacing w:val="0"/>
        <w:jc w:val="both"/>
        <w:rPr>
          <w:rFonts w:ascii="Verdana" w:hAnsi="Verdana"/>
          <w:sz w:val="16"/>
          <w:szCs w:val="18"/>
          <w:lang w:val="es-CR"/>
        </w:rPr>
      </w:pPr>
      <w:r w:rsidRPr="0090649A">
        <w:rPr>
          <w:rFonts w:ascii="Verdana" w:hAnsi="Verdana"/>
          <w:sz w:val="20"/>
          <w:lang w:val="es-CR"/>
        </w:rPr>
        <w:t xml:space="preserve">En sus observaciones de marzo de 2017, las </w:t>
      </w:r>
      <w:r w:rsidRPr="0090649A">
        <w:rPr>
          <w:rFonts w:ascii="Verdana" w:hAnsi="Verdana"/>
          <w:i/>
          <w:sz w:val="20"/>
          <w:lang w:val="es-CR"/>
        </w:rPr>
        <w:t xml:space="preserve">representantes </w:t>
      </w:r>
      <w:r w:rsidR="00C17853" w:rsidRPr="0090649A">
        <w:rPr>
          <w:rFonts w:ascii="Verdana" w:hAnsi="Verdana"/>
          <w:sz w:val="20"/>
          <w:lang w:val="es-CR"/>
        </w:rPr>
        <w:t xml:space="preserve">presentaron </w:t>
      </w:r>
      <w:r w:rsidR="00493D17" w:rsidRPr="0090649A">
        <w:rPr>
          <w:rFonts w:ascii="Verdana" w:hAnsi="Verdana"/>
          <w:sz w:val="20"/>
          <w:lang w:val="es-CR"/>
        </w:rPr>
        <w:t xml:space="preserve">una solicitud a la Corte para que ordene el reembolso </w:t>
      </w:r>
      <w:r w:rsidR="00C17853" w:rsidRPr="0090649A">
        <w:rPr>
          <w:rFonts w:ascii="Verdana" w:hAnsi="Verdana"/>
          <w:sz w:val="20"/>
          <w:lang w:val="es-CR"/>
        </w:rPr>
        <w:t xml:space="preserve">de los gastos realizados por las víctimas, señor López Lone y señora Flores Lanza, para asistir a la audiencia de supervisión </w:t>
      </w:r>
      <w:r w:rsidR="00E735D3" w:rsidRPr="0090649A">
        <w:rPr>
          <w:rFonts w:ascii="Verdana" w:hAnsi="Verdana"/>
          <w:sz w:val="20"/>
          <w:lang w:val="es-CR"/>
        </w:rPr>
        <w:t xml:space="preserve">efectuada </w:t>
      </w:r>
      <w:r w:rsidR="00C17853" w:rsidRPr="0090649A">
        <w:rPr>
          <w:rFonts w:ascii="Verdana" w:hAnsi="Verdana"/>
          <w:sz w:val="20"/>
          <w:lang w:val="es-CR"/>
        </w:rPr>
        <w:t>en la sede de la Corte el 10 de febrero de 2017 (</w:t>
      </w:r>
      <w:r w:rsidR="00C17853" w:rsidRPr="0090649A">
        <w:rPr>
          <w:rFonts w:ascii="Verdana" w:hAnsi="Verdana"/>
          <w:i/>
          <w:sz w:val="20"/>
          <w:lang w:val="es-CR"/>
        </w:rPr>
        <w:t xml:space="preserve">supra </w:t>
      </w:r>
      <w:r w:rsidR="00597F02" w:rsidRPr="0090649A">
        <w:rPr>
          <w:rFonts w:ascii="Verdana" w:hAnsi="Verdana"/>
          <w:sz w:val="20"/>
          <w:lang w:val="es-CR"/>
        </w:rPr>
        <w:t>Visto 6</w:t>
      </w:r>
      <w:r w:rsidR="000F4D3B" w:rsidRPr="0090649A">
        <w:rPr>
          <w:rFonts w:ascii="Verdana" w:hAnsi="Verdana"/>
          <w:sz w:val="20"/>
          <w:lang w:val="es-CR"/>
        </w:rPr>
        <w:t xml:space="preserve"> y Considerando 8</w:t>
      </w:r>
      <w:r w:rsidR="00597F02" w:rsidRPr="0090649A">
        <w:rPr>
          <w:rFonts w:ascii="Verdana" w:hAnsi="Verdana"/>
          <w:sz w:val="20"/>
          <w:lang w:val="es-CR"/>
        </w:rPr>
        <w:t>),</w:t>
      </w:r>
      <w:r w:rsidR="00C17853" w:rsidRPr="0090649A">
        <w:rPr>
          <w:rFonts w:ascii="Verdana" w:hAnsi="Verdana"/>
          <w:sz w:val="20"/>
          <w:lang w:val="es-CR"/>
        </w:rPr>
        <w:t xml:space="preserve"> correspondiente</w:t>
      </w:r>
      <w:r w:rsidR="00493D17" w:rsidRPr="0090649A">
        <w:rPr>
          <w:rFonts w:ascii="Verdana" w:hAnsi="Verdana"/>
          <w:sz w:val="20"/>
          <w:lang w:val="es-CR"/>
        </w:rPr>
        <w:t>s</w:t>
      </w:r>
      <w:r w:rsidR="00C17853" w:rsidRPr="0090649A">
        <w:rPr>
          <w:rFonts w:ascii="Verdana" w:hAnsi="Verdana"/>
          <w:sz w:val="20"/>
          <w:lang w:val="es-CR"/>
        </w:rPr>
        <w:t xml:space="preserve"> a </w:t>
      </w:r>
      <w:r w:rsidR="00C97CB5" w:rsidRPr="0090649A">
        <w:rPr>
          <w:rFonts w:ascii="Verdana" w:hAnsi="Verdana"/>
          <w:sz w:val="20"/>
          <w:lang w:val="es-CR"/>
        </w:rPr>
        <w:t>los boletos aéreos, alimentación, hospedaje y transporte</w:t>
      </w:r>
      <w:r w:rsidR="00D279B5" w:rsidRPr="0090649A">
        <w:rPr>
          <w:rFonts w:ascii="Verdana" w:hAnsi="Verdana"/>
          <w:sz w:val="20"/>
          <w:lang w:val="es-CR"/>
        </w:rPr>
        <w:t xml:space="preserve"> de las referidas víctimas,</w:t>
      </w:r>
      <w:r w:rsidR="00C17853" w:rsidRPr="0090649A">
        <w:rPr>
          <w:rFonts w:ascii="Verdana" w:hAnsi="Verdana"/>
          <w:sz w:val="20"/>
          <w:lang w:val="es-CR"/>
        </w:rPr>
        <w:t xml:space="preserve"> por un total </w:t>
      </w:r>
      <w:r w:rsidR="00C17853" w:rsidRPr="0090649A">
        <w:rPr>
          <w:rFonts w:ascii="Verdana" w:hAnsi="Verdana"/>
          <w:sz w:val="20"/>
          <w:szCs w:val="20"/>
          <w:lang w:val="es-CR"/>
        </w:rPr>
        <w:t xml:space="preserve">de US$ 1.470,69 (mil cuatrocientos setenta dólares de los Estados Unidos de América con sesenta y nueve </w:t>
      </w:r>
      <w:r w:rsidR="00DA7AE5">
        <w:rPr>
          <w:rFonts w:ascii="Verdana" w:hAnsi="Verdana"/>
          <w:sz w:val="20"/>
          <w:szCs w:val="20"/>
          <w:lang w:val="es-CR"/>
        </w:rPr>
        <w:t>centavos</w:t>
      </w:r>
      <w:r w:rsidR="00C17853" w:rsidRPr="0090649A">
        <w:rPr>
          <w:rFonts w:ascii="Verdana" w:hAnsi="Verdana"/>
          <w:sz w:val="20"/>
          <w:szCs w:val="20"/>
          <w:lang w:val="es-CR"/>
        </w:rPr>
        <w:t>)</w:t>
      </w:r>
      <w:r w:rsidR="009852CA" w:rsidRPr="0090649A">
        <w:rPr>
          <w:rStyle w:val="Refdenotaalpie"/>
          <w:rFonts w:ascii="Verdana" w:hAnsi="Verdana"/>
          <w:sz w:val="20"/>
          <w:lang w:val="es-CR"/>
        </w:rPr>
        <w:footnoteReference w:id="52"/>
      </w:r>
      <w:r w:rsidR="00C17853" w:rsidRPr="0090649A">
        <w:rPr>
          <w:rFonts w:ascii="Verdana" w:hAnsi="Verdana"/>
          <w:sz w:val="20"/>
          <w:szCs w:val="20"/>
          <w:lang w:val="es-CR"/>
        </w:rPr>
        <w:t>.</w:t>
      </w:r>
      <w:r w:rsidR="00D32DFF" w:rsidRPr="0090649A">
        <w:rPr>
          <w:rFonts w:ascii="Verdana" w:hAnsi="Verdana"/>
          <w:sz w:val="20"/>
          <w:szCs w:val="20"/>
          <w:lang w:val="es-CR"/>
        </w:rPr>
        <w:t xml:space="preserve"> Al respecto, </w:t>
      </w:r>
      <w:r w:rsidR="00597F02" w:rsidRPr="0090649A">
        <w:rPr>
          <w:rFonts w:ascii="Verdana" w:hAnsi="Verdana"/>
          <w:sz w:val="20"/>
          <w:szCs w:val="20"/>
          <w:lang w:val="es-CR"/>
        </w:rPr>
        <w:t>el Estado señaló que “los gastos de reembolso solicitados por los representantes […] deben ser desestimados por [la] Corte” (</w:t>
      </w:r>
      <w:r w:rsidR="00597F02" w:rsidRPr="0090649A">
        <w:rPr>
          <w:rFonts w:ascii="Verdana" w:hAnsi="Verdana"/>
          <w:i/>
          <w:sz w:val="20"/>
          <w:szCs w:val="20"/>
          <w:lang w:val="es-CR"/>
        </w:rPr>
        <w:t xml:space="preserve">infra </w:t>
      </w:r>
      <w:r w:rsidR="00597F02" w:rsidRPr="0090649A">
        <w:rPr>
          <w:rFonts w:ascii="Verdana" w:hAnsi="Verdana"/>
          <w:sz w:val="20"/>
          <w:szCs w:val="20"/>
          <w:lang w:val="es-CR"/>
        </w:rPr>
        <w:t>Considerando 4</w:t>
      </w:r>
      <w:r w:rsidR="00863A8A">
        <w:rPr>
          <w:rFonts w:ascii="Verdana" w:hAnsi="Verdana"/>
          <w:sz w:val="20"/>
          <w:szCs w:val="20"/>
          <w:lang w:val="es-CR"/>
        </w:rPr>
        <w:t>2</w:t>
      </w:r>
      <w:r w:rsidR="00597F02" w:rsidRPr="0090649A">
        <w:rPr>
          <w:rFonts w:ascii="Verdana" w:hAnsi="Verdana"/>
          <w:sz w:val="20"/>
          <w:szCs w:val="20"/>
          <w:lang w:val="es-CR"/>
        </w:rPr>
        <w:t>)</w:t>
      </w:r>
      <w:r w:rsidR="00493D17" w:rsidRPr="0090649A">
        <w:rPr>
          <w:rFonts w:ascii="Verdana" w:hAnsi="Verdana"/>
          <w:sz w:val="20"/>
          <w:szCs w:val="20"/>
          <w:lang w:val="es-CR"/>
        </w:rPr>
        <w:t xml:space="preserve">. </w:t>
      </w:r>
    </w:p>
    <w:p w:rsidR="00D73963" w:rsidRPr="0090649A" w:rsidRDefault="00D73963" w:rsidP="00B4241A">
      <w:pPr>
        <w:pStyle w:val="Sombreadovistoso-nfasis3"/>
        <w:spacing w:after="0" w:line="240" w:lineRule="auto"/>
        <w:ind w:left="0"/>
        <w:contextualSpacing w:val="0"/>
        <w:jc w:val="both"/>
        <w:rPr>
          <w:rFonts w:ascii="Verdana" w:hAnsi="Verdana"/>
          <w:sz w:val="18"/>
          <w:szCs w:val="18"/>
          <w:lang w:val="es-CR"/>
        </w:rPr>
      </w:pPr>
    </w:p>
    <w:p w:rsidR="00446D72" w:rsidRPr="0090649A" w:rsidRDefault="00E31C0C" w:rsidP="00453D58">
      <w:pPr>
        <w:pStyle w:val="Sombreadovistoso-nfasis3"/>
        <w:numPr>
          <w:ilvl w:val="0"/>
          <w:numId w:val="17"/>
        </w:numPr>
        <w:spacing w:after="0" w:line="240" w:lineRule="auto"/>
        <w:ind w:left="0" w:firstLine="0"/>
        <w:contextualSpacing w:val="0"/>
        <w:jc w:val="both"/>
        <w:rPr>
          <w:rFonts w:ascii="Verdana" w:hAnsi="Verdana"/>
          <w:sz w:val="20"/>
          <w:szCs w:val="20"/>
          <w:lang w:val="es-CR"/>
        </w:rPr>
      </w:pPr>
      <w:r w:rsidRPr="0090649A">
        <w:rPr>
          <w:rFonts w:ascii="Verdana" w:hAnsi="Verdana"/>
          <w:sz w:val="20"/>
          <w:szCs w:val="20"/>
          <w:lang w:val="es-CR"/>
        </w:rPr>
        <w:t>Para analizar la procedencia de la referida solicitud</w:t>
      </w:r>
      <w:r w:rsidR="00BE7F85" w:rsidRPr="0090649A">
        <w:rPr>
          <w:rFonts w:ascii="Verdana" w:hAnsi="Verdana"/>
          <w:sz w:val="20"/>
          <w:szCs w:val="20"/>
          <w:lang w:val="es-CR"/>
        </w:rPr>
        <w:t xml:space="preserve"> de disponer el reembolso de gastos durante la etapa de supervisión</w:t>
      </w:r>
      <w:r w:rsidRPr="0090649A">
        <w:rPr>
          <w:rFonts w:ascii="Verdana" w:hAnsi="Verdana"/>
          <w:sz w:val="20"/>
          <w:szCs w:val="20"/>
          <w:lang w:val="es-CR"/>
        </w:rPr>
        <w:t xml:space="preserve">, el Tribunal debe verificar si </w:t>
      </w:r>
      <w:r w:rsidR="00BE7F85" w:rsidRPr="0090649A">
        <w:rPr>
          <w:rFonts w:ascii="Verdana" w:hAnsi="Verdana"/>
          <w:sz w:val="20"/>
          <w:szCs w:val="20"/>
          <w:lang w:val="es-CR"/>
        </w:rPr>
        <w:t>los mismos</w:t>
      </w:r>
      <w:r w:rsidRPr="0090649A">
        <w:rPr>
          <w:rFonts w:ascii="Verdana" w:hAnsi="Verdana"/>
          <w:sz w:val="20"/>
          <w:szCs w:val="20"/>
          <w:lang w:val="es-CR"/>
        </w:rPr>
        <w:t xml:space="preserve"> cumplen </w:t>
      </w:r>
      <w:r w:rsidR="00BE7F85" w:rsidRPr="0090649A">
        <w:rPr>
          <w:rFonts w:ascii="Verdana" w:hAnsi="Verdana"/>
          <w:sz w:val="20"/>
          <w:szCs w:val="20"/>
          <w:lang w:val="es-CR"/>
        </w:rPr>
        <w:t xml:space="preserve">con </w:t>
      </w:r>
      <w:r w:rsidRPr="0090649A">
        <w:rPr>
          <w:rFonts w:ascii="Verdana" w:hAnsi="Verdana"/>
          <w:sz w:val="20"/>
          <w:szCs w:val="20"/>
          <w:lang w:val="es-CR"/>
        </w:rPr>
        <w:t>los requisitos establecidos en la Sentencia (</w:t>
      </w:r>
      <w:r w:rsidRPr="0090649A">
        <w:rPr>
          <w:rFonts w:ascii="Verdana" w:hAnsi="Verdana"/>
          <w:i/>
          <w:sz w:val="20"/>
          <w:szCs w:val="20"/>
          <w:lang w:val="es-CR"/>
        </w:rPr>
        <w:t xml:space="preserve">supra </w:t>
      </w:r>
      <w:r w:rsidRPr="0090649A">
        <w:rPr>
          <w:rFonts w:ascii="Verdana" w:hAnsi="Verdana"/>
          <w:sz w:val="20"/>
          <w:szCs w:val="20"/>
          <w:lang w:val="es-CR"/>
        </w:rPr>
        <w:t xml:space="preserve">Considerando </w:t>
      </w:r>
      <w:r w:rsidR="001F3B23" w:rsidRPr="0090649A">
        <w:rPr>
          <w:rFonts w:ascii="Verdana" w:hAnsi="Verdana"/>
          <w:sz w:val="20"/>
          <w:szCs w:val="20"/>
          <w:lang w:val="es-CR"/>
        </w:rPr>
        <w:t>39</w:t>
      </w:r>
      <w:r w:rsidRPr="0090649A">
        <w:rPr>
          <w:rFonts w:ascii="Verdana" w:hAnsi="Verdana"/>
          <w:sz w:val="20"/>
          <w:szCs w:val="20"/>
          <w:lang w:val="es-CR"/>
        </w:rPr>
        <w:t>)</w:t>
      </w:r>
      <w:r w:rsidR="00BE7F85" w:rsidRPr="0090649A">
        <w:rPr>
          <w:rFonts w:ascii="Verdana" w:hAnsi="Verdana"/>
          <w:sz w:val="20"/>
          <w:szCs w:val="20"/>
          <w:lang w:val="es-CR"/>
        </w:rPr>
        <w:t>,</w:t>
      </w:r>
      <w:r w:rsidRPr="0090649A">
        <w:rPr>
          <w:rFonts w:ascii="Verdana" w:hAnsi="Verdana"/>
          <w:sz w:val="20"/>
          <w:szCs w:val="20"/>
          <w:lang w:val="es-CR"/>
        </w:rPr>
        <w:t xml:space="preserve"> relativos a </w:t>
      </w:r>
      <w:r w:rsidR="00BE7F85" w:rsidRPr="0090649A">
        <w:rPr>
          <w:rFonts w:ascii="Verdana" w:hAnsi="Verdana"/>
          <w:sz w:val="20"/>
          <w:szCs w:val="20"/>
          <w:lang w:val="es-CR"/>
        </w:rPr>
        <w:t xml:space="preserve">que </w:t>
      </w:r>
      <w:r w:rsidR="0089531F" w:rsidRPr="0090649A">
        <w:rPr>
          <w:rFonts w:ascii="Verdana" w:hAnsi="Verdana"/>
          <w:sz w:val="20"/>
          <w:szCs w:val="20"/>
          <w:lang w:val="es-CR"/>
        </w:rPr>
        <w:t xml:space="preserve">deben ser </w:t>
      </w:r>
      <w:r w:rsidR="0089531F" w:rsidRPr="0090649A">
        <w:rPr>
          <w:rFonts w:ascii="Verdana" w:hAnsi="Verdana"/>
          <w:sz w:val="20"/>
          <w:lang w:val="es-CR"/>
        </w:rPr>
        <w:t xml:space="preserve">posteriores a la emisión de la Sentencia, </w:t>
      </w:r>
      <w:r w:rsidR="004E4FA0" w:rsidRPr="0090649A">
        <w:rPr>
          <w:rFonts w:ascii="Verdana" w:hAnsi="Verdana"/>
          <w:sz w:val="20"/>
          <w:lang w:val="es-CR"/>
        </w:rPr>
        <w:t xml:space="preserve">razonables y </w:t>
      </w:r>
      <w:r w:rsidR="0089531F" w:rsidRPr="0090649A">
        <w:rPr>
          <w:rFonts w:ascii="Verdana" w:hAnsi="Verdana"/>
          <w:sz w:val="20"/>
          <w:lang w:val="es-CR"/>
        </w:rPr>
        <w:t>debidamente comprobados</w:t>
      </w:r>
      <w:r w:rsidR="004E4FA0" w:rsidRPr="0090649A">
        <w:rPr>
          <w:rFonts w:ascii="Verdana" w:hAnsi="Verdana"/>
          <w:sz w:val="20"/>
          <w:lang w:val="es-CR"/>
        </w:rPr>
        <w:t>.</w:t>
      </w:r>
      <w:r w:rsidR="0089531F" w:rsidRPr="0090649A">
        <w:rPr>
          <w:rFonts w:ascii="Verdana" w:hAnsi="Verdana"/>
          <w:sz w:val="20"/>
          <w:lang w:val="es-CR"/>
        </w:rPr>
        <w:t xml:space="preserve"> </w:t>
      </w:r>
      <w:r w:rsidR="00BE7F85" w:rsidRPr="0090649A">
        <w:rPr>
          <w:rFonts w:ascii="Verdana" w:hAnsi="Verdana"/>
          <w:sz w:val="20"/>
          <w:lang w:val="es-CR"/>
        </w:rPr>
        <w:t xml:space="preserve">Al respecto, la Corte constata que las representantes de las víctimas presentaron copia de </w:t>
      </w:r>
      <w:r w:rsidR="004F7918" w:rsidRPr="0090649A">
        <w:rPr>
          <w:rFonts w:ascii="Verdana" w:hAnsi="Verdana"/>
          <w:sz w:val="20"/>
          <w:lang w:val="es-CR"/>
        </w:rPr>
        <w:t>ocho</w:t>
      </w:r>
      <w:r w:rsidR="00BE7F85" w:rsidRPr="0090649A">
        <w:rPr>
          <w:rFonts w:ascii="Verdana" w:hAnsi="Verdana"/>
          <w:sz w:val="20"/>
          <w:lang w:val="es-CR"/>
        </w:rPr>
        <w:t xml:space="preserve"> facturas de gastos </w:t>
      </w:r>
      <w:r w:rsidR="004F7918" w:rsidRPr="0090649A">
        <w:rPr>
          <w:rFonts w:ascii="Verdana" w:hAnsi="Verdana"/>
          <w:sz w:val="20"/>
          <w:lang w:val="es-CR"/>
        </w:rPr>
        <w:t xml:space="preserve">relacionados con la asistencia del señor López Lone y la señora Flores Lanza </w:t>
      </w:r>
      <w:r w:rsidR="00BE7F85" w:rsidRPr="0090649A">
        <w:rPr>
          <w:rFonts w:ascii="Verdana" w:hAnsi="Verdana"/>
          <w:sz w:val="20"/>
          <w:lang w:val="es-CR"/>
        </w:rPr>
        <w:t>a la audiencia de supervisión de cumplimiento realizada el 10 de febrero de 2017</w:t>
      </w:r>
      <w:r w:rsidR="004E4FA0" w:rsidRPr="0090649A">
        <w:rPr>
          <w:rFonts w:ascii="Verdana" w:hAnsi="Verdana"/>
          <w:sz w:val="20"/>
          <w:lang w:val="es-CR"/>
        </w:rPr>
        <w:t xml:space="preserve">. El Tribunal considera que </w:t>
      </w:r>
      <w:r w:rsidR="006D71A8" w:rsidRPr="0090649A">
        <w:rPr>
          <w:rFonts w:ascii="Verdana" w:hAnsi="Verdana"/>
          <w:sz w:val="20"/>
          <w:lang w:val="es-CR"/>
        </w:rPr>
        <w:t>el tipo de</w:t>
      </w:r>
      <w:r w:rsidR="004E4FA0" w:rsidRPr="0090649A">
        <w:rPr>
          <w:rFonts w:ascii="Verdana" w:hAnsi="Verdana"/>
          <w:sz w:val="20"/>
          <w:lang w:val="es-CR"/>
        </w:rPr>
        <w:t xml:space="preserve"> gastos </w:t>
      </w:r>
      <w:r w:rsidR="0093661F" w:rsidRPr="0090649A">
        <w:rPr>
          <w:rFonts w:ascii="Verdana" w:hAnsi="Verdana"/>
          <w:sz w:val="20"/>
          <w:lang w:val="es-CR"/>
        </w:rPr>
        <w:t xml:space="preserve">que se solicita reembolsar </w:t>
      </w:r>
      <w:r w:rsidR="006D71A8" w:rsidRPr="0090649A">
        <w:rPr>
          <w:rFonts w:ascii="Verdana" w:hAnsi="Verdana"/>
          <w:sz w:val="20"/>
          <w:lang w:val="es-CR"/>
        </w:rPr>
        <w:t xml:space="preserve">es </w:t>
      </w:r>
      <w:r w:rsidR="004E4FA0" w:rsidRPr="0090649A">
        <w:rPr>
          <w:rFonts w:ascii="Verdana" w:hAnsi="Verdana"/>
          <w:sz w:val="20"/>
          <w:lang w:val="es-CR"/>
        </w:rPr>
        <w:t xml:space="preserve">razonable, </w:t>
      </w:r>
      <w:r w:rsidR="002F3986" w:rsidRPr="0090649A">
        <w:rPr>
          <w:rFonts w:ascii="Verdana" w:hAnsi="Verdana"/>
          <w:sz w:val="20"/>
          <w:lang w:val="es-CR"/>
        </w:rPr>
        <w:t>ya que</w:t>
      </w:r>
      <w:r w:rsidR="004E4FA0" w:rsidRPr="0090649A">
        <w:rPr>
          <w:rFonts w:ascii="Verdana" w:hAnsi="Verdana"/>
          <w:sz w:val="20"/>
          <w:lang w:val="es-CR"/>
        </w:rPr>
        <w:t xml:space="preserve"> corresponden a servicios </w:t>
      </w:r>
      <w:r w:rsidR="0093661F" w:rsidRPr="0090649A">
        <w:rPr>
          <w:rFonts w:ascii="Verdana" w:hAnsi="Verdana"/>
          <w:sz w:val="20"/>
          <w:lang w:val="es-CR"/>
        </w:rPr>
        <w:t xml:space="preserve">relativos a </w:t>
      </w:r>
      <w:r w:rsidR="004E4FA0" w:rsidRPr="0090649A">
        <w:rPr>
          <w:rFonts w:ascii="Verdana" w:hAnsi="Verdana"/>
          <w:sz w:val="20"/>
          <w:lang w:val="es-CR"/>
        </w:rPr>
        <w:t xml:space="preserve">la asistencia de dos víctimas del caso a </w:t>
      </w:r>
      <w:r w:rsidR="003D7AD2" w:rsidRPr="0090649A">
        <w:rPr>
          <w:rFonts w:ascii="Verdana" w:hAnsi="Verdana"/>
          <w:sz w:val="20"/>
          <w:lang w:val="es-CR"/>
        </w:rPr>
        <w:t>l</w:t>
      </w:r>
      <w:r w:rsidR="004E4FA0" w:rsidRPr="0090649A">
        <w:rPr>
          <w:rFonts w:ascii="Verdana" w:hAnsi="Verdana"/>
          <w:sz w:val="20"/>
          <w:lang w:val="es-CR"/>
        </w:rPr>
        <w:t>a audiencia de supervisión ante este Tribunal.</w:t>
      </w:r>
      <w:r w:rsidR="00BE7F85" w:rsidRPr="0090649A">
        <w:rPr>
          <w:rFonts w:ascii="Verdana" w:hAnsi="Verdana"/>
          <w:sz w:val="20"/>
          <w:lang w:val="es-CR"/>
        </w:rPr>
        <w:t xml:space="preserve"> </w:t>
      </w:r>
      <w:r w:rsidR="004E4FA0" w:rsidRPr="0090649A">
        <w:rPr>
          <w:rFonts w:ascii="Verdana" w:hAnsi="Verdana"/>
          <w:sz w:val="20"/>
          <w:lang w:val="es-CR"/>
        </w:rPr>
        <w:t xml:space="preserve">Asimismo, </w:t>
      </w:r>
      <w:r w:rsidR="0093661F" w:rsidRPr="0090649A">
        <w:rPr>
          <w:rFonts w:ascii="Verdana" w:hAnsi="Verdana"/>
          <w:sz w:val="20"/>
          <w:lang w:val="es-CR"/>
        </w:rPr>
        <w:t>en lo que respecta</w:t>
      </w:r>
      <w:r w:rsidR="00F01203">
        <w:rPr>
          <w:rFonts w:ascii="Verdana" w:hAnsi="Verdana"/>
          <w:sz w:val="20"/>
          <w:lang w:val="es-CR"/>
        </w:rPr>
        <w:t xml:space="preserve"> a</w:t>
      </w:r>
      <w:r w:rsidR="0093661F" w:rsidRPr="0090649A">
        <w:rPr>
          <w:rFonts w:ascii="Verdana" w:hAnsi="Verdana"/>
          <w:sz w:val="20"/>
          <w:lang w:val="es-CR"/>
        </w:rPr>
        <w:t xml:space="preserve"> la comprobación de los mismos, </w:t>
      </w:r>
      <w:r w:rsidR="004E4FA0" w:rsidRPr="0090649A">
        <w:rPr>
          <w:rFonts w:ascii="Verdana" w:hAnsi="Verdana"/>
          <w:sz w:val="20"/>
          <w:lang w:val="es-CR"/>
        </w:rPr>
        <w:t>la Corte considera que dichos gastos se encuentran debidamente comprobados</w:t>
      </w:r>
      <w:r w:rsidR="003E0353" w:rsidRPr="0090649A">
        <w:rPr>
          <w:rFonts w:ascii="Verdana" w:hAnsi="Verdana"/>
          <w:sz w:val="20"/>
          <w:lang w:val="es-CR"/>
        </w:rPr>
        <w:t xml:space="preserve"> y </w:t>
      </w:r>
      <w:r w:rsidR="006D71A8" w:rsidRPr="0090649A">
        <w:rPr>
          <w:rFonts w:ascii="Verdana" w:hAnsi="Verdana"/>
          <w:sz w:val="20"/>
          <w:lang w:val="es-CR"/>
        </w:rPr>
        <w:t xml:space="preserve">corresponden con </w:t>
      </w:r>
      <w:r w:rsidR="003D7AD2" w:rsidRPr="0090649A">
        <w:rPr>
          <w:rFonts w:ascii="Verdana" w:hAnsi="Verdana"/>
          <w:sz w:val="20"/>
          <w:lang w:val="es-CR"/>
        </w:rPr>
        <w:t>los días de</w:t>
      </w:r>
      <w:r w:rsidR="006D71A8" w:rsidRPr="0090649A">
        <w:rPr>
          <w:rFonts w:ascii="Verdana" w:hAnsi="Verdana"/>
          <w:sz w:val="20"/>
          <w:lang w:val="es-CR"/>
        </w:rPr>
        <w:t xml:space="preserve"> asistencia a dicha audiencia en la sede de la Corte. </w:t>
      </w:r>
    </w:p>
    <w:p w:rsidR="00446D72" w:rsidRPr="0090649A" w:rsidRDefault="00446D72" w:rsidP="00030880">
      <w:pPr>
        <w:pStyle w:val="Sombreadovistoso-nfasis3"/>
        <w:spacing w:line="240" w:lineRule="auto"/>
        <w:ind w:left="0"/>
        <w:rPr>
          <w:rFonts w:ascii="Verdana" w:hAnsi="Verdana"/>
          <w:sz w:val="20"/>
          <w:szCs w:val="20"/>
          <w:lang w:val="es-CR"/>
        </w:rPr>
      </w:pPr>
    </w:p>
    <w:p w:rsidR="00030880" w:rsidRPr="0090649A" w:rsidRDefault="00B2596A" w:rsidP="00453D58">
      <w:pPr>
        <w:pStyle w:val="Sombreadovistoso-nfasis3"/>
        <w:numPr>
          <w:ilvl w:val="0"/>
          <w:numId w:val="17"/>
        </w:numPr>
        <w:spacing w:after="0" w:line="240" w:lineRule="auto"/>
        <w:ind w:left="0" w:firstLine="0"/>
        <w:contextualSpacing w:val="0"/>
        <w:jc w:val="both"/>
        <w:rPr>
          <w:rFonts w:ascii="Verdana" w:hAnsi="Verdana"/>
          <w:sz w:val="20"/>
          <w:szCs w:val="20"/>
          <w:lang w:val="es-CR"/>
        </w:rPr>
      </w:pPr>
      <w:r w:rsidRPr="0090649A">
        <w:rPr>
          <w:rFonts w:ascii="Verdana" w:hAnsi="Verdana"/>
          <w:sz w:val="20"/>
          <w:szCs w:val="20"/>
          <w:lang w:val="es-CR"/>
        </w:rPr>
        <w:t xml:space="preserve">El Estado objetó que se ordene el reembolso </w:t>
      </w:r>
      <w:r w:rsidR="00F01203">
        <w:rPr>
          <w:rFonts w:ascii="Verdana" w:hAnsi="Verdana"/>
          <w:sz w:val="20"/>
          <w:szCs w:val="20"/>
          <w:lang w:val="es-CR"/>
        </w:rPr>
        <w:t xml:space="preserve">ya </w:t>
      </w:r>
      <w:r w:rsidRPr="0090649A">
        <w:rPr>
          <w:rFonts w:ascii="Verdana" w:hAnsi="Verdana"/>
          <w:sz w:val="20"/>
          <w:szCs w:val="20"/>
          <w:lang w:val="es-CR"/>
        </w:rPr>
        <w:t xml:space="preserve">que considera </w:t>
      </w:r>
      <w:r w:rsidR="00030880" w:rsidRPr="0090649A">
        <w:rPr>
          <w:rFonts w:ascii="Verdana" w:hAnsi="Verdana"/>
          <w:sz w:val="20"/>
          <w:szCs w:val="20"/>
          <w:lang w:val="es-CR"/>
        </w:rPr>
        <w:t>que no es necesario realizar</w:t>
      </w:r>
      <w:r w:rsidRPr="0090649A">
        <w:rPr>
          <w:rFonts w:ascii="Verdana" w:hAnsi="Verdana"/>
          <w:sz w:val="20"/>
          <w:szCs w:val="20"/>
          <w:lang w:val="es-CR"/>
        </w:rPr>
        <w:t xml:space="preserve">lo </w:t>
      </w:r>
      <w:r w:rsidR="00030880" w:rsidRPr="0090649A">
        <w:rPr>
          <w:rFonts w:ascii="Verdana" w:hAnsi="Verdana"/>
          <w:sz w:val="20"/>
          <w:szCs w:val="20"/>
          <w:lang w:val="es-CR"/>
        </w:rPr>
        <w:t>porque</w:t>
      </w:r>
      <w:r w:rsidR="00ED26D3" w:rsidRPr="0090649A">
        <w:rPr>
          <w:rFonts w:ascii="Verdana" w:hAnsi="Verdana"/>
          <w:sz w:val="20"/>
          <w:szCs w:val="20"/>
          <w:lang w:val="es-CR"/>
        </w:rPr>
        <w:t>,</w:t>
      </w:r>
      <w:r w:rsidR="00030880" w:rsidRPr="0090649A">
        <w:rPr>
          <w:rFonts w:ascii="Verdana" w:hAnsi="Verdana"/>
          <w:sz w:val="20"/>
          <w:szCs w:val="20"/>
          <w:lang w:val="es-CR"/>
        </w:rPr>
        <w:t xml:space="preserve"> </w:t>
      </w:r>
      <w:r w:rsidR="00ED26D3" w:rsidRPr="0090649A">
        <w:rPr>
          <w:rFonts w:ascii="Verdana" w:hAnsi="Verdana"/>
          <w:sz w:val="20"/>
          <w:szCs w:val="20"/>
          <w:lang w:val="es-CR"/>
        </w:rPr>
        <w:t xml:space="preserve">en lo que respecta a la </w:t>
      </w:r>
      <w:r w:rsidR="005D0984">
        <w:rPr>
          <w:rFonts w:ascii="Verdana" w:hAnsi="Verdana"/>
          <w:sz w:val="20"/>
          <w:szCs w:val="20"/>
          <w:lang w:val="es-CR"/>
        </w:rPr>
        <w:t>medida de restitución</w:t>
      </w:r>
      <w:r w:rsidR="00ED26D3" w:rsidRPr="0090649A">
        <w:rPr>
          <w:rFonts w:ascii="Verdana" w:hAnsi="Verdana"/>
          <w:sz w:val="20"/>
          <w:szCs w:val="20"/>
          <w:lang w:val="es-CR"/>
        </w:rPr>
        <w:t xml:space="preserve"> supervisada en la referida audiencia, </w:t>
      </w:r>
      <w:r w:rsidRPr="0090649A">
        <w:rPr>
          <w:rFonts w:ascii="Verdana" w:hAnsi="Verdana"/>
          <w:sz w:val="20"/>
          <w:szCs w:val="20"/>
          <w:lang w:val="es-CR"/>
        </w:rPr>
        <w:t xml:space="preserve">Honduras </w:t>
      </w:r>
      <w:r w:rsidR="00030880" w:rsidRPr="0090649A">
        <w:rPr>
          <w:rFonts w:ascii="Verdana" w:hAnsi="Verdana"/>
          <w:sz w:val="20"/>
          <w:szCs w:val="20"/>
          <w:lang w:val="es-CR"/>
        </w:rPr>
        <w:t>“ha actuado bajo la promesa de cumplir en su totalidad [la] Sentencia”</w:t>
      </w:r>
      <w:r w:rsidR="00ED26D3" w:rsidRPr="0090649A">
        <w:rPr>
          <w:rFonts w:ascii="Verdana" w:hAnsi="Verdana"/>
          <w:sz w:val="20"/>
          <w:szCs w:val="20"/>
          <w:lang w:val="es-CR"/>
        </w:rPr>
        <w:t xml:space="preserve"> y lo que corresponde es el pago de la indemnización</w:t>
      </w:r>
      <w:r w:rsidR="00F01203">
        <w:rPr>
          <w:rFonts w:ascii="Verdana" w:hAnsi="Verdana"/>
          <w:sz w:val="20"/>
          <w:szCs w:val="20"/>
          <w:lang w:val="es-CR"/>
        </w:rPr>
        <w:t xml:space="preserve"> (</w:t>
      </w:r>
      <w:r w:rsidR="00F01203">
        <w:rPr>
          <w:rFonts w:ascii="Verdana" w:hAnsi="Verdana"/>
          <w:i/>
          <w:sz w:val="20"/>
          <w:szCs w:val="20"/>
          <w:lang w:val="es-CR"/>
        </w:rPr>
        <w:t xml:space="preserve">supra </w:t>
      </w:r>
      <w:r w:rsidR="00F01203">
        <w:rPr>
          <w:rFonts w:ascii="Verdana" w:hAnsi="Verdana"/>
          <w:sz w:val="20"/>
          <w:szCs w:val="20"/>
          <w:lang w:val="es-CR"/>
        </w:rPr>
        <w:t>Considerandos 4 y 10)</w:t>
      </w:r>
      <w:r w:rsidR="00706F8E" w:rsidRPr="0090649A">
        <w:rPr>
          <w:rStyle w:val="Refdenotaalpie"/>
          <w:rFonts w:ascii="Verdana" w:hAnsi="Verdana"/>
          <w:sz w:val="20"/>
          <w:szCs w:val="20"/>
          <w:lang w:val="es-CR"/>
        </w:rPr>
        <w:footnoteReference w:id="53"/>
      </w:r>
      <w:r w:rsidRPr="0090649A">
        <w:rPr>
          <w:rFonts w:ascii="Verdana" w:hAnsi="Verdana"/>
          <w:sz w:val="20"/>
          <w:szCs w:val="20"/>
          <w:lang w:val="es-CR"/>
        </w:rPr>
        <w:t>.</w:t>
      </w:r>
      <w:r w:rsidR="00030880" w:rsidRPr="0090649A">
        <w:rPr>
          <w:rFonts w:ascii="Verdana" w:hAnsi="Verdana"/>
          <w:sz w:val="20"/>
          <w:szCs w:val="20"/>
          <w:lang w:val="es-CR"/>
        </w:rPr>
        <w:t xml:space="preserve"> </w:t>
      </w:r>
      <w:r w:rsidRPr="0090649A">
        <w:rPr>
          <w:rFonts w:ascii="Verdana" w:hAnsi="Verdana"/>
          <w:sz w:val="20"/>
          <w:szCs w:val="20"/>
          <w:lang w:val="es-CR"/>
        </w:rPr>
        <w:t xml:space="preserve">La Corte considera necesario </w:t>
      </w:r>
      <w:r w:rsidR="00A22D3F" w:rsidRPr="0090649A">
        <w:rPr>
          <w:rFonts w:ascii="Verdana" w:hAnsi="Verdana"/>
          <w:sz w:val="20"/>
          <w:szCs w:val="20"/>
          <w:lang w:val="es-CR"/>
        </w:rPr>
        <w:t xml:space="preserve">señalar </w:t>
      </w:r>
      <w:r w:rsidR="00030880" w:rsidRPr="0090649A">
        <w:rPr>
          <w:rFonts w:ascii="Verdana" w:hAnsi="Verdana"/>
          <w:sz w:val="20"/>
          <w:szCs w:val="20"/>
          <w:lang w:val="es-CR"/>
        </w:rPr>
        <w:t xml:space="preserve">que el </w:t>
      </w:r>
      <w:r w:rsidR="00733B33" w:rsidRPr="0090649A">
        <w:rPr>
          <w:rFonts w:ascii="Verdana" w:hAnsi="Verdana"/>
          <w:sz w:val="20"/>
          <w:szCs w:val="20"/>
          <w:lang w:val="es-CR"/>
        </w:rPr>
        <w:t>referido reintegro de gastos</w:t>
      </w:r>
      <w:r w:rsidR="00030880" w:rsidRPr="0090649A">
        <w:rPr>
          <w:rFonts w:ascii="Verdana" w:hAnsi="Verdana"/>
          <w:sz w:val="20"/>
          <w:szCs w:val="20"/>
          <w:lang w:val="es-CR"/>
        </w:rPr>
        <w:t xml:space="preserve"> durante la etapa de supervisión no guarda relación con </w:t>
      </w:r>
      <w:r w:rsidR="00A22D3F" w:rsidRPr="0090649A">
        <w:rPr>
          <w:rFonts w:ascii="Verdana" w:hAnsi="Verdana"/>
          <w:sz w:val="20"/>
          <w:szCs w:val="20"/>
          <w:lang w:val="es-CR"/>
        </w:rPr>
        <w:t xml:space="preserve">que </w:t>
      </w:r>
      <w:r w:rsidR="00C94D2F" w:rsidRPr="0090649A">
        <w:rPr>
          <w:rFonts w:ascii="Verdana" w:hAnsi="Verdana"/>
          <w:sz w:val="20"/>
          <w:szCs w:val="20"/>
          <w:lang w:val="es-CR"/>
        </w:rPr>
        <w:t xml:space="preserve">alguna de las partes </w:t>
      </w:r>
      <w:r w:rsidR="00A22D3F" w:rsidRPr="0090649A">
        <w:rPr>
          <w:rFonts w:ascii="Verdana" w:hAnsi="Verdana"/>
          <w:sz w:val="20"/>
          <w:szCs w:val="20"/>
          <w:lang w:val="es-CR"/>
        </w:rPr>
        <w:t>tenga o no la razón en cuanto a alguna controversia sobre el cumplimiento, sino que lo relevante es que el gasto fuere razonable para avanzar en la ejecución de la Sentencia</w:t>
      </w:r>
      <w:r w:rsidR="00030880" w:rsidRPr="0090649A">
        <w:rPr>
          <w:rFonts w:ascii="Verdana" w:hAnsi="Verdana"/>
          <w:sz w:val="20"/>
          <w:szCs w:val="20"/>
          <w:lang w:val="es-CR"/>
        </w:rPr>
        <w:t xml:space="preserve">. En el presente caso, </w:t>
      </w:r>
      <w:r w:rsidR="00842065" w:rsidRPr="0090649A">
        <w:rPr>
          <w:rFonts w:ascii="Verdana" w:hAnsi="Verdana"/>
          <w:sz w:val="20"/>
          <w:szCs w:val="20"/>
          <w:lang w:val="es-CR"/>
        </w:rPr>
        <w:t xml:space="preserve">fue la propia </w:t>
      </w:r>
      <w:r w:rsidR="00030880" w:rsidRPr="0090649A">
        <w:rPr>
          <w:rFonts w:ascii="Verdana" w:hAnsi="Verdana"/>
          <w:sz w:val="20"/>
          <w:szCs w:val="20"/>
          <w:lang w:val="es-CR"/>
        </w:rPr>
        <w:lastRenderedPageBreak/>
        <w:t xml:space="preserve">Corte </w:t>
      </w:r>
      <w:r w:rsidR="00842065" w:rsidRPr="0090649A">
        <w:rPr>
          <w:rFonts w:ascii="Verdana" w:hAnsi="Verdana"/>
          <w:sz w:val="20"/>
          <w:szCs w:val="20"/>
          <w:lang w:val="es-CR"/>
        </w:rPr>
        <w:t xml:space="preserve">la que </w:t>
      </w:r>
      <w:r w:rsidR="00733B33" w:rsidRPr="0090649A">
        <w:rPr>
          <w:rFonts w:ascii="Verdana" w:hAnsi="Verdana"/>
          <w:sz w:val="20"/>
          <w:szCs w:val="20"/>
          <w:lang w:val="es-CR"/>
        </w:rPr>
        <w:t>consideró</w:t>
      </w:r>
      <w:r w:rsidR="00030880" w:rsidRPr="0090649A">
        <w:rPr>
          <w:rFonts w:ascii="Verdana" w:hAnsi="Verdana"/>
          <w:sz w:val="20"/>
          <w:szCs w:val="20"/>
          <w:lang w:val="es-CR"/>
        </w:rPr>
        <w:t xml:space="preserve"> </w:t>
      </w:r>
      <w:r w:rsidR="00733B33" w:rsidRPr="0090649A">
        <w:rPr>
          <w:rFonts w:ascii="Verdana" w:hAnsi="Verdana"/>
          <w:sz w:val="20"/>
          <w:szCs w:val="20"/>
          <w:lang w:val="es-CR"/>
        </w:rPr>
        <w:t>n</w:t>
      </w:r>
      <w:r w:rsidR="00030880" w:rsidRPr="0090649A">
        <w:rPr>
          <w:rFonts w:ascii="Verdana" w:hAnsi="Verdana"/>
          <w:sz w:val="20"/>
          <w:szCs w:val="20"/>
          <w:lang w:val="es-CR"/>
        </w:rPr>
        <w:t>eces</w:t>
      </w:r>
      <w:r w:rsidR="00733B33" w:rsidRPr="0090649A">
        <w:rPr>
          <w:rFonts w:ascii="Verdana" w:hAnsi="Verdana"/>
          <w:sz w:val="20"/>
          <w:szCs w:val="20"/>
          <w:lang w:val="es-CR"/>
        </w:rPr>
        <w:t>ario</w:t>
      </w:r>
      <w:r w:rsidR="00030880" w:rsidRPr="0090649A">
        <w:rPr>
          <w:rFonts w:ascii="Verdana" w:hAnsi="Verdana"/>
          <w:sz w:val="20"/>
          <w:szCs w:val="20"/>
          <w:lang w:val="es-CR"/>
        </w:rPr>
        <w:t xml:space="preserve"> </w:t>
      </w:r>
      <w:r w:rsidR="00842065" w:rsidRPr="0090649A">
        <w:rPr>
          <w:rFonts w:ascii="Verdana" w:hAnsi="Verdana"/>
          <w:sz w:val="20"/>
          <w:szCs w:val="20"/>
          <w:lang w:val="es-CR"/>
        </w:rPr>
        <w:t xml:space="preserve">acceder a la solicitud de </w:t>
      </w:r>
      <w:r w:rsidR="00030880" w:rsidRPr="0090649A">
        <w:rPr>
          <w:rFonts w:ascii="Verdana" w:hAnsi="Verdana"/>
          <w:sz w:val="20"/>
          <w:szCs w:val="20"/>
          <w:lang w:val="es-CR"/>
        </w:rPr>
        <w:t xml:space="preserve">convocar a una audiencia de supervisión </w:t>
      </w:r>
      <w:r w:rsidR="00733B33" w:rsidRPr="0090649A">
        <w:rPr>
          <w:rFonts w:ascii="Verdana" w:hAnsi="Verdana"/>
          <w:sz w:val="20"/>
          <w:szCs w:val="20"/>
          <w:lang w:val="es-CR"/>
        </w:rPr>
        <w:t>(</w:t>
      </w:r>
      <w:r w:rsidR="00733B33" w:rsidRPr="0090649A">
        <w:rPr>
          <w:rFonts w:ascii="Verdana" w:hAnsi="Verdana"/>
          <w:i/>
          <w:sz w:val="20"/>
          <w:szCs w:val="20"/>
          <w:lang w:val="es-CR"/>
        </w:rPr>
        <w:t xml:space="preserve">supra </w:t>
      </w:r>
      <w:r w:rsidR="00733B33" w:rsidRPr="0090649A">
        <w:rPr>
          <w:rFonts w:ascii="Verdana" w:hAnsi="Verdana"/>
          <w:sz w:val="20"/>
          <w:szCs w:val="20"/>
          <w:lang w:val="es-CR"/>
        </w:rPr>
        <w:t xml:space="preserve">Considerando </w:t>
      </w:r>
      <w:r w:rsidR="000F4D3B" w:rsidRPr="0090649A">
        <w:rPr>
          <w:rFonts w:ascii="Verdana" w:hAnsi="Verdana"/>
          <w:sz w:val="20"/>
          <w:szCs w:val="20"/>
          <w:lang w:val="es-CR"/>
        </w:rPr>
        <w:t>8</w:t>
      </w:r>
      <w:r w:rsidR="00733B33" w:rsidRPr="0090649A">
        <w:rPr>
          <w:rFonts w:ascii="Verdana" w:hAnsi="Verdana"/>
          <w:sz w:val="20"/>
          <w:szCs w:val="20"/>
          <w:lang w:val="es-CR"/>
        </w:rPr>
        <w:t>)</w:t>
      </w:r>
      <w:r w:rsidR="00030880" w:rsidRPr="0090649A">
        <w:rPr>
          <w:rFonts w:ascii="Verdana" w:hAnsi="Verdana"/>
          <w:sz w:val="20"/>
          <w:szCs w:val="20"/>
          <w:lang w:val="es-CR"/>
        </w:rPr>
        <w:t>, de conformidad con las facultades dispuestas en los artículos 15.1 y 69.3 de</w:t>
      </w:r>
      <w:r w:rsidR="00643176">
        <w:rPr>
          <w:rFonts w:ascii="Verdana" w:hAnsi="Verdana"/>
          <w:sz w:val="20"/>
          <w:szCs w:val="20"/>
          <w:lang w:val="es-CR"/>
        </w:rPr>
        <w:t xml:space="preserve"> su</w:t>
      </w:r>
      <w:r w:rsidR="00030880" w:rsidRPr="0090649A">
        <w:rPr>
          <w:rFonts w:ascii="Verdana" w:hAnsi="Verdana"/>
          <w:sz w:val="20"/>
          <w:szCs w:val="20"/>
          <w:lang w:val="es-CR"/>
        </w:rPr>
        <w:t xml:space="preserve"> Reglamento.</w:t>
      </w:r>
    </w:p>
    <w:p w:rsidR="00030880" w:rsidRPr="0090649A" w:rsidRDefault="00030880" w:rsidP="00030880">
      <w:pPr>
        <w:pStyle w:val="Sombreadovistoso-nfasis3"/>
        <w:spacing w:after="0" w:line="240" w:lineRule="auto"/>
        <w:ind w:left="0"/>
        <w:contextualSpacing w:val="0"/>
        <w:jc w:val="both"/>
        <w:rPr>
          <w:rFonts w:ascii="Verdana" w:hAnsi="Verdana"/>
          <w:sz w:val="20"/>
          <w:szCs w:val="20"/>
          <w:lang w:val="es-CR"/>
        </w:rPr>
      </w:pPr>
    </w:p>
    <w:p w:rsidR="00446D72" w:rsidRPr="0090649A" w:rsidRDefault="00446D72" w:rsidP="00453D58">
      <w:pPr>
        <w:pStyle w:val="Sombreadovistoso-nfasis3"/>
        <w:numPr>
          <w:ilvl w:val="0"/>
          <w:numId w:val="17"/>
        </w:numPr>
        <w:spacing w:after="0" w:line="240" w:lineRule="auto"/>
        <w:ind w:left="0" w:firstLine="0"/>
        <w:contextualSpacing w:val="0"/>
        <w:jc w:val="both"/>
        <w:rPr>
          <w:rFonts w:ascii="Verdana" w:hAnsi="Verdana"/>
          <w:sz w:val="20"/>
          <w:szCs w:val="20"/>
          <w:lang w:val="es-CR"/>
        </w:rPr>
      </w:pPr>
      <w:r w:rsidRPr="0090649A">
        <w:rPr>
          <w:rFonts w:ascii="Verdana" w:hAnsi="Verdana"/>
          <w:sz w:val="20"/>
          <w:szCs w:val="20"/>
          <w:lang w:val="es-CR"/>
        </w:rPr>
        <w:t>En razón de lo anterior</w:t>
      </w:r>
      <w:r w:rsidR="00D34B1B" w:rsidRPr="0090649A">
        <w:rPr>
          <w:rFonts w:ascii="Verdana" w:hAnsi="Verdana"/>
          <w:sz w:val="20"/>
          <w:szCs w:val="20"/>
          <w:lang w:val="es-CR"/>
        </w:rPr>
        <w:t xml:space="preserve"> y conforme a lo dispuesto en el párrafo 334 de la Sentencia</w:t>
      </w:r>
      <w:r w:rsidRPr="0090649A">
        <w:rPr>
          <w:rFonts w:ascii="Verdana" w:hAnsi="Verdana"/>
          <w:sz w:val="20"/>
          <w:szCs w:val="20"/>
          <w:lang w:val="es-CR"/>
        </w:rPr>
        <w:t xml:space="preserve">, este Tribunal considera que el Estado debe realizar, </w:t>
      </w:r>
      <w:r w:rsidR="00744FF9" w:rsidRPr="0090649A">
        <w:rPr>
          <w:rFonts w:ascii="Verdana" w:hAnsi="Verdana"/>
          <w:sz w:val="20"/>
          <w:szCs w:val="20"/>
          <w:lang w:val="es-CR"/>
        </w:rPr>
        <w:t>en un plazo de seis meses</w:t>
      </w:r>
      <w:r w:rsidRPr="0090649A">
        <w:rPr>
          <w:rFonts w:ascii="Verdana" w:hAnsi="Verdana"/>
          <w:sz w:val="20"/>
          <w:szCs w:val="20"/>
          <w:lang w:val="es-CR"/>
        </w:rPr>
        <w:t>, el reembolso de</w:t>
      </w:r>
      <w:r w:rsidR="006B72C8" w:rsidRPr="0090649A">
        <w:rPr>
          <w:rFonts w:ascii="Verdana" w:hAnsi="Verdana"/>
          <w:sz w:val="20"/>
          <w:szCs w:val="20"/>
          <w:lang w:val="es-CR"/>
        </w:rPr>
        <w:t>l monto de</w:t>
      </w:r>
      <w:r w:rsidRPr="0090649A">
        <w:rPr>
          <w:rFonts w:ascii="Verdana" w:hAnsi="Verdana"/>
          <w:sz w:val="20"/>
          <w:szCs w:val="20"/>
          <w:lang w:val="es-CR"/>
        </w:rPr>
        <w:t xml:space="preserve"> US$ 1.470,69 (mil cuatrocientos setenta dólares de los Estados Unidos de América con sesenta y nueve </w:t>
      </w:r>
      <w:r w:rsidR="00F67175">
        <w:rPr>
          <w:rFonts w:ascii="Verdana" w:hAnsi="Verdana"/>
          <w:sz w:val="20"/>
          <w:szCs w:val="20"/>
          <w:lang w:val="es-CR"/>
        </w:rPr>
        <w:t>centavos</w:t>
      </w:r>
      <w:r w:rsidRPr="0090649A">
        <w:rPr>
          <w:rFonts w:ascii="Verdana" w:hAnsi="Verdana"/>
          <w:sz w:val="20"/>
          <w:szCs w:val="20"/>
          <w:lang w:val="es-CR"/>
        </w:rPr>
        <w:t>) a las víctimas Adán Guillermo López Lone y Tirza del Carmen Flores Lanza, por concepto de los gastos razonables en los cuales incurrieron las referidas víctimas para asistir a la audiencia de supervisión de cumplimiento, realizada el 10 de febrero de 2017 en la sede de la Corte.</w:t>
      </w:r>
      <w:r w:rsidR="00A94239" w:rsidRPr="0090649A">
        <w:rPr>
          <w:rFonts w:ascii="Verdana" w:hAnsi="Verdana"/>
          <w:sz w:val="20"/>
          <w:szCs w:val="20"/>
          <w:lang w:val="es-CR"/>
        </w:rPr>
        <w:t xml:space="preserve"> </w:t>
      </w:r>
      <w:r w:rsidR="004576B6" w:rsidRPr="0090649A">
        <w:rPr>
          <w:rFonts w:ascii="Verdana" w:hAnsi="Verdana"/>
          <w:sz w:val="20"/>
          <w:szCs w:val="20"/>
          <w:lang w:val="es-CR"/>
        </w:rPr>
        <w:t>La mitad de dicha cantidad deberá ser entregada al señor López Lone y la otra mitad a la señora Flores Lanza.</w:t>
      </w:r>
      <w:r w:rsidR="00046E00" w:rsidRPr="0090649A">
        <w:rPr>
          <w:rFonts w:ascii="Verdana" w:hAnsi="Verdana"/>
          <w:sz w:val="20"/>
          <w:szCs w:val="20"/>
          <w:lang w:val="es-CR"/>
        </w:rPr>
        <w:t xml:space="preserve"> </w:t>
      </w:r>
      <w:r w:rsidR="004576B6" w:rsidRPr="0090649A">
        <w:rPr>
          <w:rFonts w:ascii="Verdana" w:hAnsi="Verdana"/>
          <w:sz w:val="20"/>
          <w:szCs w:val="20"/>
          <w:lang w:val="es-CR"/>
        </w:rPr>
        <w:t>Además</w:t>
      </w:r>
      <w:r w:rsidR="00D34B1B" w:rsidRPr="0090649A">
        <w:rPr>
          <w:rFonts w:ascii="Verdana" w:hAnsi="Verdana"/>
          <w:sz w:val="20"/>
          <w:szCs w:val="20"/>
          <w:lang w:val="es-CR"/>
        </w:rPr>
        <w:t>, en el mismo sentido de lo dispuesto en el párrafo 340 de la Sentencia, e</w:t>
      </w:r>
      <w:r w:rsidR="00046E00" w:rsidRPr="0090649A">
        <w:rPr>
          <w:rFonts w:ascii="Verdana" w:hAnsi="Verdana"/>
          <w:sz w:val="20"/>
          <w:szCs w:val="20"/>
          <w:lang w:val="es-CR"/>
        </w:rPr>
        <w:t>n caso de que el Estado incurriera en mora respecto del referido reembolso, deberá pagar un interés sobre la cantidad adeudada, correspondiente al interés bancario moratorio en la República de Honduras.</w:t>
      </w:r>
    </w:p>
    <w:p w:rsidR="00A54148" w:rsidRDefault="00A54148" w:rsidP="00B4241A">
      <w:pPr>
        <w:pStyle w:val="Sombreadovistoso-nfasis3"/>
        <w:spacing w:after="0" w:line="240" w:lineRule="auto"/>
        <w:ind w:left="0"/>
        <w:contextualSpacing w:val="0"/>
        <w:jc w:val="both"/>
        <w:rPr>
          <w:rFonts w:ascii="Verdana" w:hAnsi="Verdana"/>
          <w:sz w:val="20"/>
          <w:lang w:val="es-CR"/>
        </w:rPr>
      </w:pPr>
    </w:p>
    <w:p w:rsidR="009F78E3" w:rsidRPr="0090649A" w:rsidRDefault="009F78E3" w:rsidP="00B4241A">
      <w:pPr>
        <w:tabs>
          <w:tab w:val="left" w:pos="680"/>
        </w:tabs>
        <w:spacing w:after="0" w:line="240" w:lineRule="auto"/>
        <w:jc w:val="both"/>
        <w:rPr>
          <w:rFonts w:ascii="Verdana" w:hAnsi="Verdana"/>
          <w:b/>
          <w:sz w:val="20"/>
          <w:szCs w:val="20"/>
          <w:lang w:val="es-CR"/>
        </w:rPr>
      </w:pPr>
      <w:r w:rsidRPr="0090649A">
        <w:rPr>
          <w:rFonts w:ascii="Verdana" w:hAnsi="Verdana"/>
          <w:b/>
          <w:sz w:val="20"/>
          <w:szCs w:val="20"/>
          <w:lang w:val="es-CR"/>
        </w:rPr>
        <w:t>POR TANTO:</w:t>
      </w:r>
    </w:p>
    <w:p w:rsidR="009F78E3" w:rsidRPr="00231584" w:rsidRDefault="009F78E3" w:rsidP="00B4241A">
      <w:pPr>
        <w:pStyle w:val="Textoindependiente"/>
        <w:tabs>
          <w:tab w:val="left" w:pos="360"/>
          <w:tab w:val="left" w:pos="567"/>
        </w:tabs>
        <w:spacing w:after="0" w:line="240" w:lineRule="auto"/>
        <w:rPr>
          <w:rFonts w:ascii="Verdana" w:hAnsi="Verdana"/>
          <w:sz w:val="20"/>
          <w:szCs w:val="10"/>
          <w:lang w:val="es-CR"/>
        </w:rPr>
      </w:pPr>
    </w:p>
    <w:p w:rsidR="009F78E3" w:rsidRPr="0090649A" w:rsidRDefault="009F78E3" w:rsidP="00B4241A">
      <w:pPr>
        <w:pStyle w:val="Textoindependiente"/>
        <w:tabs>
          <w:tab w:val="left" w:pos="360"/>
          <w:tab w:val="left" w:pos="567"/>
        </w:tabs>
        <w:spacing w:after="0" w:line="240" w:lineRule="auto"/>
        <w:rPr>
          <w:rFonts w:ascii="Verdana" w:hAnsi="Verdana"/>
          <w:b/>
          <w:sz w:val="20"/>
          <w:lang w:val="es-CR"/>
        </w:rPr>
      </w:pPr>
      <w:r w:rsidRPr="0090649A">
        <w:rPr>
          <w:rFonts w:ascii="Verdana" w:hAnsi="Verdana"/>
          <w:b/>
          <w:sz w:val="20"/>
          <w:lang w:val="es-CR"/>
        </w:rPr>
        <w:t>LA CORTE INTERAMERICANA DE DERECHOS HUMANOS,</w:t>
      </w:r>
    </w:p>
    <w:p w:rsidR="00E50555" w:rsidRPr="0090649A" w:rsidRDefault="00E50555" w:rsidP="00B4241A">
      <w:pPr>
        <w:tabs>
          <w:tab w:val="left" w:pos="567"/>
        </w:tabs>
        <w:spacing w:after="0" w:line="240" w:lineRule="auto"/>
        <w:jc w:val="both"/>
        <w:rPr>
          <w:rFonts w:ascii="Verdana" w:hAnsi="Verdana"/>
          <w:sz w:val="20"/>
          <w:lang w:val="es-CR"/>
        </w:rPr>
      </w:pPr>
    </w:p>
    <w:p w:rsidR="009F78E3" w:rsidRPr="0090649A" w:rsidRDefault="009F78E3" w:rsidP="00B4241A">
      <w:pPr>
        <w:tabs>
          <w:tab w:val="left" w:pos="567"/>
        </w:tabs>
        <w:spacing w:after="0" w:line="240" w:lineRule="auto"/>
        <w:jc w:val="both"/>
        <w:rPr>
          <w:rFonts w:ascii="Verdana" w:hAnsi="Verdana"/>
          <w:sz w:val="20"/>
          <w:lang w:val="es-CR"/>
        </w:rPr>
      </w:pPr>
      <w:proofErr w:type="gramStart"/>
      <w:r w:rsidRPr="0090649A">
        <w:rPr>
          <w:rFonts w:ascii="Verdana" w:hAnsi="Verdana"/>
          <w:sz w:val="20"/>
          <w:lang w:val="es-CR"/>
        </w:rPr>
        <w:t>en</w:t>
      </w:r>
      <w:proofErr w:type="gramEnd"/>
      <w:r w:rsidRPr="0090649A">
        <w:rPr>
          <w:rFonts w:ascii="Verdana" w:hAnsi="Verdana"/>
          <w:sz w:val="20"/>
          <w:lang w:val="es-CR"/>
        </w:rPr>
        <w:t xml:space="preserve"> el ejercicio de sus atribuciones de supervisión del cumplimiento de sus decisiones, de conformidad con los artículos 33, 62.1, 62.3, 65, 67 y 68.1 de la Convención Americana sobre Derechos Humanos, 24, 25 y 30 del Estatuto, y 31.2 y 69 de su Reglamento,</w:t>
      </w:r>
    </w:p>
    <w:p w:rsidR="00B26EB9" w:rsidRPr="0090649A" w:rsidRDefault="00B26EB9" w:rsidP="00B4241A">
      <w:pPr>
        <w:tabs>
          <w:tab w:val="left" w:pos="567"/>
        </w:tabs>
        <w:spacing w:after="0" w:line="240" w:lineRule="auto"/>
        <w:jc w:val="both"/>
        <w:rPr>
          <w:rFonts w:ascii="Verdana" w:hAnsi="Verdana"/>
          <w:sz w:val="20"/>
          <w:szCs w:val="20"/>
          <w:lang w:val="es-CR"/>
        </w:rPr>
      </w:pPr>
    </w:p>
    <w:p w:rsidR="006F0AF8" w:rsidRPr="0090649A" w:rsidRDefault="009F78E3" w:rsidP="00B4241A">
      <w:pPr>
        <w:tabs>
          <w:tab w:val="left" w:pos="567"/>
        </w:tabs>
        <w:spacing w:after="0" w:line="240" w:lineRule="auto"/>
        <w:ind w:right="22"/>
        <w:jc w:val="both"/>
        <w:rPr>
          <w:rFonts w:ascii="Verdana" w:hAnsi="Verdana"/>
          <w:b/>
          <w:sz w:val="20"/>
          <w:lang w:val="es-CR"/>
        </w:rPr>
      </w:pPr>
      <w:r w:rsidRPr="0090649A">
        <w:rPr>
          <w:rFonts w:ascii="Verdana" w:hAnsi="Verdana"/>
          <w:b/>
          <w:sz w:val="20"/>
          <w:lang w:val="es-CR"/>
        </w:rPr>
        <w:t>RESUELVE:</w:t>
      </w:r>
      <w:r w:rsidR="006F0AF8" w:rsidRPr="0090649A">
        <w:rPr>
          <w:rFonts w:ascii="Verdana" w:hAnsi="Verdana"/>
          <w:b/>
          <w:sz w:val="20"/>
          <w:lang w:val="es-CR"/>
        </w:rPr>
        <w:t xml:space="preserve"> </w:t>
      </w:r>
    </w:p>
    <w:p w:rsidR="003375CF" w:rsidRPr="0090649A" w:rsidRDefault="003375CF" w:rsidP="00B4241A">
      <w:pPr>
        <w:tabs>
          <w:tab w:val="left" w:pos="567"/>
        </w:tabs>
        <w:spacing w:after="0" w:line="240" w:lineRule="auto"/>
        <w:jc w:val="both"/>
        <w:rPr>
          <w:rFonts w:ascii="Verdana" w:hAnsi="Verdana"/>
          <w:sz w:val="20"/>
          <w:szCs w:val="20"/>
          <w:lang w:val="es-CR"/>
        </w:rPr>
      </w:pPr>
    </w:p>
    <w:p w:rsidR="00272AA0" w:rsidRPr="0090649A" w:rsidRDefault="003375CF" w:rsidP="007039D6">
      <w:pPr>
        <w:numPr>
          <w:ilvl w:val="0"/>
          <w:numId w:val="4"/>
        </w:numPr>
        <w:tabs>
          <w:tab w:val="left" w:pos="567"/>
        </w:tabs>
        <w:spacing w:after="120" w:line="240" w:lineRule="auto"/>
        <w:ind w:left="0" w:firstLine="0"/>
        <w:jc w:val="both"/>
        <w:rPr>
          <w:rFonts w:ascii="Verdana" w:hAnsi="Verdana"/>
          <w:sz w:val="20"/>
          <w:szCs w:val="20"/>
          <w:lang w:val="es-CR"/>
        </w:rPr>
      </w:pPr>
      <w:r w:rsidRPr="0090649A">
        <w:rPr>
          <w:rFonts w:ascii="Verdana" w:hAnsi="Verdana"/>
          <w:sz w:val="20"/>
          <w:szCs w:val="20"/>
          <w:lang w:val="es-CR"/>
        </w:rPr>
        <w:t xml:space="preserve">Declarar, de conformidad con lo señalado en los Considerandos </w:t>
      </w:r>
      <w:r w:rsidR="00227BF2" w:rsidRPr="0090649A">
        <w:rPr>
          <w:rFonts w:ascii="Verdana" w:hAnsi="Verdana"/>
          <w:sz w:val="20"/>
          <w:szCs w:val="20"/>
          <w:lang w:val="es-CR"/>
        </w:rPr>
        <w:t>12</w:t>
      </w:r>
      <w:r w:rsidRPr="0090649A">
        <w:rPr>
          <w:rFonts w:ascii="Verdana" w:hAnsi="Verdana"/>
          <w:sz w:val="20"/>
          <w:szCs w:val="20"/>
          <w:lang w:val="es-CR"/>
        </w:rPr>
        <w:t xml:space="preserve"> a </w:t>
      </w:r>
      <w:r w:rsidR="00D04425" w:rsidRPr="0090649A">
        <w:rPr>
          <w:rFonts w:ascii="Verdana" w:hAnsi="Verdana"/>
          <w:sz w:val="20"/>
          <w:szCs w:val="20"/>
          <w:lang w:val="es-CR"/>
        </w:rPr>
        <w:t xml:space="preserve">16 y 18 a </w:t>
      </w:r>
      <w:r w:rsidR="00227BF2" w:rsidRPr="0090649A">
        <w:rPr>
          <w:rFonts w:ascii="Verdana" w:hAnsi="Verdana"/>
          <w:sz w:val="20"/>
          <w:szCs w:val="20"/>
          <w:lang w:val="es-CR"/>
        </w:rPr>
        <w:t>2</w:t>
      </w:r>
      <w:r w:rsidR="00D04425" w:rsidRPr="0090649A">
        <w:rPr>
          <w:rFonts w:ascii="Verdana" w:hAnsi="Verdana"/>
          <w:sz w:val="20"/>
          <w:szCs w:val="20"/>
          <w:lang w:val="es-CR"/>
        </w:rPr>
        <w:t>9</w:t>
      </w:r>
      <w:r w:rsidRPr="0090649A">
        <w:rPr>
          <w:rFonts w:ascii="Verdana" w:hAnsi="Verdana"/>
          <w:sz w:val="20"/>
          <w:szCs w:val="20"/>
          <w:lang w:val="es-CR"/>
        </w:rPr>
        <w:t xml:space="preserve"> de la presente Resolución, que </w:t>
      </w:r>
      <w:r w:rsidR="00272AA0" w:rsidRPr="0090649A">
        <w:rPr>
          <w:rFonts w:ascii="Verdana" w:hAnsi="Verdana" w:cs="Arial"/>
          <w:sz w:val="20"/>
          <w:szCs w:val="20"/>
          <w:lang w:val="es-CR"/>
        </w:rPr>
        <w:t xml:space="preserve">el Estado </w:t>
      </w:r>
      <w:r w:rsidR="00BF3660" w:rsidRPr="0090649A">
        <w:rPr>
          <w:rFonts w:ascii="Verdana" w:hAnsi="Verdana" w:cs="Arial"/>
          <w:sz w:val="20"/>
          <w:szCs w:val="20"/>
          <w:lang w:val="es-CR"/>
        </w:rPr>
        <w:t xml:space="preserve">no ha dado cumplimiento </w:t>
      </w:r>
      <w:r w:rsidR="00325905" w:rsidRPr="0090649A">
        <w:rPr>
          <w:rFonts w:ascii="Verdana" w:hAnsi="Verdana" w:cs="Arial"/>
          <w:sz w:val="20"/>
          <w:szCs w:val="20"/>
          <w:lang w:val="es-CR"/>
        </w:rPr>
        <w:t>a</w:t>
      </w:r>
      <w:r w:rsidR="00272AA0" w:rsidRPr="0090649A">
        <w:rPr>
          <w:rFonts w:ascii="Verdana" w:hAnsi="Verdana" w:cs="Arial"/>
          <w:sz w:val="20"/>
          <w:szCs w:val="20"/>
          <w:lang w:val="es-CR"/>
        </w:rPr>
        <w:t xml:space="preserve"> la medida </w:t>
      </w:r>
      <w:r w:rsidR="005C7956" w:rsidRPr="0090649A">
        <w:rPr>
          <w:rFonts w:ascii="Verdana" w:hAnsi="Verdana" w:cs="Arial"/>
          <w:sz w:val="20"/>
          <w:szCs w:val="20"/>
          <w:lang w:val="es-CR"/>
        </w:rPr>
        <w:t>ordenada en el punto dispositivo décimo sexto de la Sentencia</w:t>
      </w:r>
      <w:r w:rsidR="005C7956">
        <w:rPr>
          <w:rFonts w:ascii="Verdana" w:hAnsi="Verdana" w:cs="Arial"/>
          <w:sz w:val="20"/>
          <w:szCs w:val="20"/>
          <w:lang w:val="es-CR"/>
        </w:rPr>
        <w:t>,</w:t>
      </w:r>
      <w:r w:rsidR="005C7956" w:rsidRPr="0090649A">
        <w:rPr>
          <w:rFonts w:ascii="Verdana" w:hAnsi="Verdana" w:cs="Arial"/>
          <w:sz w:val="20"/>
          <w:szCs w:val="20"/>
          <w:lang w:val="es-CR"/>
        </w:rPr>
        <w:t xml:space="preserve"> </w:t>
      </w:r>
      <w:r w:rsidR="00325905" w:rsidRPr="0090649A">
        <w:rPr>
          <w:rFonts w:ascii="Verdana" w:hAnsi="Verdana" w:cs="Arial"/>
          <w:sz w:val="20"/>
          <w:szCs w:val="20"/>
          <w:lang w:val="es-CR"/>
        </w:rPr>
        <w:t xml:space="preserve">relativa </w:t>
      </w:r>
      <w:r w:rsidR="00272AA0" w:rsidRPr="0090649A">
        <w:rPr>
          <w:rFonts w:ascii="Verdana" w:hAnsi="Verdana" w:cs="Arial"/>
          <w:sz w:val="20"/>
          <w:szCs w:val="20"/>
          <w:lang w:val="es-CR"/>
        </w:rPr>
        <w:t xml:space="preserve">a la </w:t>
      </w:r>
      <w:r w:rsidR="001F7A86">
        <w:rPr>
          <w:rFonts w:ascii="Verdana" w:hAnsi="Verdana" w:cs="Arial"/>
          <w:sz w:val="20"/>
          <w:szCs w:val="20"/>
          <w:lang w:val="es-CR"/>
        </w:rPr>
        <w:t>reincorporación</w:t>
      </w:r>
      <w:r w:rsidR="00272AA0" w:rsidRPr="0090649A">
        <w:rPr>
          <w:rFonts w:ascii="Verdana" w:hAnsi="Verdana" w:cs="Arial"/>
          <w:sz w:val="20"/>
          <w:szCs w:val="20"/>
          <w:lang w:val="es-CR"/>
        </w:rPr>
        <w:t xml:space="preserve"> de las víctimas Adán Guillermo López Lone y Tirza del Carmen Flores Lanza a cargos similares a los que desempeñaban al momento </w:t>
      </w:r>
      <w:r w:rsidR="00325905" w:rsidRPr="0090649A">
        <w:rPr>
          <w:rFonts w:ascii="Verdana" w:hAnsi="Verdana" w:cs="Arial"/>
          <w:sz w:val="20"/>
          <w:szCs w:val="20"/>
          <w:lang w:val="es-CR"/>
        </w:rPr>
        <w:t>en que fueron destituidos como juez y magistrada</w:t>
      </w:r>
      <w:r w:rsidR="00272AA0" w:rsidRPr="0090649A">
        <w:rPr>
          <w:rFonts w:ascii="Verdana" w:hAnsi="Verdana" w:cs="Arial"/>
          <w:sz w:val="20"/>
          <w:szCs w:val="20"/>
          <w:lang w:val="es-CR"/>
        </w:rPr>
        <w:t xml:space="preserve">. </w:t>
      </w:r>
    </w:p>
    <w:p w:rsidR="00FC2580" w:rsidRPr="0090649A" w:rsidRDefault="00FC2580" w:rsidP="007039D6">
      <w:pPr>
        <w:numPr>
          <w:ilvl w:val="0"/>
          <w:numId w:val="4"/>
        </w:numPr>
        <w:tabs>
          <w:tab w:val="left" w:pos="567"/>
        </w:tabs>
        <w:spacing w:after="120" w:line="240" w:lineRule="auto"/>
        <w:ind w:left="0" w:firstLine="0"/>
        <w:jc w:val="both"/>
        <w:rPr>
          <w:rFonts w:ascii="Verdana" w:hAnsi="Verdana"/>
          <w:sz w:val="20"/>
          <w:szCs w:val="20"/>
          <w:lang w:val="es-CR"/>
        </w:rPr>
      </w:pPr>
      <w:r w:rsidRPr="0090649A">
        <w:rPr>
          <w:rFonts w:ascii="Verdana" w:hAnsi="Verdana"/>
          <w:sz w:val="20"/>
          <w:szCs w:val="20"/>
          <w:lang w:val="es-CR"/>
        </w:rPr>
        <w:t xml:space="preserve">Declarar, de conformidad con </w:t>
      </w:r>
      <w:r w:rsidR="00D04425" w:rsidRPr="0090649A">
        <w:rPr>
          <w:rFonts w:ascii="Verdana" w:hAnsi="Verdana"/>
          <w:sz w:val="20"/>
          <w:szCs w:val="20"/>
          <w:lang w:val="es-CR"/>
        </w:rPr>
        <w:t>lo señalado en el Considerando 17</w:t>
      </w:r>
      <w:r w:rsidR="00432559">
        <w:rPr>
          <w:rFonts w:ascii="Verdana" w:hAnsi="Verdana"/>
          <w:sz w:val="20"/>
          <w:szCs w:val="20"/>
          <w:lang w:val="es-CR"/>
        </w:rPr>
        <w:t xml:space="preserve"> de la presente Resolución</w:t>
      </w:r>
      <w:r w:rsidRPr="0090649A">
        <w:rPr>
          <w:rFonts w:ascii="Verdana" w:hAnsi="Verdana"/>
          <w:sz w:val="20"/>
          <w:szCs w:val="20"/>
          <w:lang w:val="es-CR"/>
        </w:rPr>
        <w:t xml:space="preserve">, que el Estado ha dado cumplimiento </w:t>
      </w:r>
      <w:r w:rsidR="00D04425" w:rsidRPr="0090649A">
        <w:rPr>
          <w:rFonts w:ascii="Verdana" w:hAnsi="Verdana"/>
          <w:sz w:val="20"/>
          <w:szCs w:val="20"/>
          <w:lang w:val="es-CR"/>
        </w:rPr>
        <w:t xml:space="preserve">a la medida ordenada en el punto </w:t>
      </w:r>
      <w:r w:rsidR="00D04425" w:rsidRPr="0090649A">
        <w:rPr>
          <w:rFonts w:ascii="Verdana" w:hAnsi="Verdana" w:cs="Arial"/>
          <w:sz w:val="20"/>
          <w:szCs w:val="20"/>
          <w:lang w:val="es-CR"/>
        </w:rPr>
        <w:t xml:space="preserve">dispositivo </w:t>
      </w:r>
      <w:r w:rsidR="00D04425" w:rsidRPr="0090649A">
        <w:rPr>
          <w:rFonts w:ascii="Verdana" w:hAnsi="Verdana"/>
          <w:sz w:val="20"/>
          <w:szCs w:val="20"/>
          <w:lang w:val="es-CR"/>
        </w:rPr>
        <w:t>décimo sexto de la Sentencia,</w:t>
      </w:r>
      <w:r w:rsidR="00D04425" w:rsidRPr="0090649A">
        <w:rPr>
          <w:rFonts w:ascii="Verdana" w:hAnsi="Verdana" w:cs="Arial"/>
          <w:sz w:val="20"/>
          <w:szCs w:val="20"/>
          <w:lang w:val="es-CR"/>
        </w:rPr>
        <w:t xml:space="preserve"> </w:t>
      </w:r>
      <w:r w:rsidRPr="0090649A">
        <w:rPr>
          <w:rFonts w:ascii="Verdana" w:hAnsi="Verdana" w:cs="Arial"/>
          <w:sz w:val="20"/>
          <w:szCs w:val="20"/>
          <w:lang w:val="es-CR"/>
        </w:rPr>
        <w:t>en lo que respecta al pago de la indemnización por no reintegro a la víctima Luis Chévez de la Rocha.</w:t>
      </w:r>
    </w:p>
    <w:p w:rsidR="003375CF" w:rsidRPr="0090649A" w:rsidRDefault="006F0AF8" w:rsidP="007039D6">
      <w:pPr>
        <w:numPr>
          <w:ilvl w:val="0"/>
          <w:numId w:val="4"/>
        </w:numPr>
        <w:tabs>
          <w:tab w:val="left" w:pos="567"/>
        </w:tabs>
        <w:spacing w:after="120" w:line="240" w:lineRule="auto"/>
        <w:ind w:left="0" w:firstLine="0"/>
        <w:jc w:val="both"/>
        <w:rPr>
          <w:rFonts w:ascii="Verdana" w:hAnsi="Verdana"/>
          <w:sz w:val="20"/>
          <w:szCs w:val="20"/>
          <w:lang w:val="es-CR"/>
        </w:rPr>
      </w:pPr>
      <w:r w:rsidRPr="0090649A">
        <w:rPr>
          <w:rFonts w:ascii="Verdana" w:hAnsi="Verdana"/>
          <w:sz w:val="20"/>
          <w:szCs w:val="20"/>
          <w:lang w:val="es-CR"/>
        </w:rPr>
        <w:t xml:space="preserve">Declarar, de conformidad con lo señalado en los Considerandos </w:t>
      </w:r>
      <w:r w:rsidR="00D04425" w:rsidRPr="0090649A">
        <w:rPr>
          <w:rFonts w:ascii="Verdana" w:hAnsi="Verdana"/>
          <w:sz w:val="20"/>
          <w:szCs w:val="20"/>
          <w:lang w:val="es-CR"/>
        </w:rPr>
        <w:t>31</w:t>
      </w:r>
      <w:r w:rsidR="003375CF" w:rsidRPr="0090649A">
        <w:rPr>
          <w:rFonts w:ascii="Verdana" w:hAnsi="Verdana"/>
          <w:sz w:val="20"/>
          <w:szCs w:val="20"/>
          <w:lang w:val="es-CR"/>
        </w:rPr>
        <w:t xml:space="preserve"> a </w:t>
      </w:r>
      <w:r w:rsidR="00D04425" w:rsidRPr="0090649A">
        <w:rPr>
          <w:rFonts w:ascii="Verdana" w:hAnsi="Verdana"/>
          <w:sz w:val="20"/>
          <w:szCs w:val="20"/>
          <w:lang w:val="es-CR"/>
        </w:rPr>
        <w:t>34</w:t>
      </w:r>
      <w:r w:rsidRPr="0090649A">
        <w:rPr>
          <w:rFonts w:ascii="Verdana" w:hAnsi="Verdana"/>
          <w:sz w:val="20"/>
          <w:szCs w:val="20"/>
          <w:lang w:val="es-CR"/>
        </w:rPr>
        <w:t xml:space="preserve"> de la presente Resolución, que el Estado ha dado cumplimiento total a</w:t>
      </w:r>
      <w:r w:rsidR="009929D5" w:rsidRPr="0090649A">
        <w:rPr>
          <w:rFonts w:ascii="Verdana" w:hAnsi="Verdana"/>
          <w:sz w:val="20"/>
          <w:szCs w:val="20"/>
          <w:lang w:val="es-CR"/>
        </w:rPr>
        <w:t xml:space="preserve"> la</w:t>
      </w:r>
      <w:r w:rsidR="00432559">
        <w:rPr>
          <w:rFonts w:ascii="Verdana" w:hAnsi="Verdana"/>
          <w:sz w:val="20"/>
          <w:szCs w:val="20"/>
          <w:lang w:val="es-CR"/>
        </w:rPr>
        <w:t>s</w:t>
      </w:r>
      <w:r w:rsidR="009929D5" w:rsidRPr="0090649A">
        <w:rPr>
          <w:rFonts w:ascii="Verdana" w:hAnsi="Verdana"/>
          <w:sz w:val="20"/>
          <w:szCs w:val="20"/>
          <w:lang w:val="es-CR"/>
        </w:rPr>
        <w:t xml:space="preserve"> medida</w:t>
      </w:r>
      <w:r w:rsidR="00432559">
        <w:rPr>
          <w:rFonts w:ascii="Verdana" w:hAnsi="Verdana"/>
          <w:sz w:val="20"/>
          <w:szCs w:val="20"/>
          <w:lang w:val="es-CR"/>
        </w:rPr>
        <w:t>s</w:t>
      </w:r>
      <w:r w:rsidR="009929D5" w:rsidRPr="0090649A">
        <w:rPr>
          <w:rFonts w:ascii="Verdana" w:hAnsi="Verdana"/>
          <w:sz w:val="20"/>
          <w:szCs w:val="20"/>
          <w:lang w:val="es-CR"/>
        </w:rPr>
        <w:t xml:space="preserve"> </w:t>
      </w:r>
      <w:r w:rsidR="00227BF2" w:rsidRPr="0090649A">
        <w:rPr>
          <w:rFonts w:ascii="Verdana" w:hAnsi="Verdana"/>
          <w:sz w:val="20"/>
          <w:szCs w:val="20"/>
          <w:lang w:val="es-CR"/>
        </w:rPr>
        <w:t>ordenada</w:t>
      </w:r>
      <w:r w:rsidR="00432559">
        <w:rPr>
          <w:rFonts w:ascii="Verdana" w:hAnsi="Verdana"/>
          <w:sz w:val="20"/>
          <w:szCs w:val="20"/>
          <w:lang w:val="es-CR"/>
        </w:rPr>
        <w:t>s</w:t>
      </w:r>
      <w:r w:rsidR="00227BF2" w:rsidRPr="0090649A">
        <w:rPr>
          <w:rFonts w:ascii="Verdana" w:hAnsi="Verdana"/>
          <w:sz w:val="20"/>
          <w:szCs w:val="20"/>
          <w:lang w:val="es-CR"/>
        </w:rPr>
        <w:t xml:space="preserve"> en el</w:t>
      </w:r>
      <w:r w:rsidR="009929D5" w:rsidRPr="0090649A">
        <w:rPr>
          <w:rFonts w:ascii="Verdana" w:hAnsi="Verdana"/>
          <w:sz w:val="20"/>
          <w:szCs w:val="20"/>
          <w:lang w:val="es-CR"/>
        </w:rPr>
        <w:t xml:space="preserve"> </w:t>
      </w:r>
      <w:r w:rsidR="00227BF2" w:rsidRPr="0090649A">
        <w:rPr>
          <w:rFonts w:ascii="Verdana" w:hAnsi="Verdana"/>
          <w:sz w:val="20"/>
          <w:szCs w:val="20"/>
          <w:lang w:val="es-CR"/>
        </w:rPr>
        <w:t xml:space="preserve">punto </w:t>
      </w:r>
      <w:r w:rsidR="00227BF2" w:rsidRPr="0090649A">
        <w:rPr>
          <w:rFonts w:ascii="Verdana" w:hAnsi="Verdana" w:cs="Arial"/>
          <w:sz w:val="20"/>
          <w:szCs w:val="20"/>
          <w:lang w:val="es-CR"/>
        </w:rPr>
        <w:t xml:space="preserve">dispositivo </w:t>
      </w:r>
      <w:r w:rsidR="00227BF2" w:rsidRPr="0090649A">
        <w:rPr>
          <w:rFonts w:ascii="Verdana" w:hAnsi="Verdana"/>
          <w:sz w:val="20"/>
          <w:szCs w:val="20"/>
          <w:lang w:val="es-CR"/>
        </w:rPr>
        <w:t xml:space="preserve">décimo séptimo de la Sentencia, </w:t>
      </w:r>
      <w:r w:rsidR="009929D5" w:rsidRPr="0090649A">
        <w:rPr>
          <w:rFonts w:ascii="Verdana" w:hAnsi="Verdana"/>
          <w:sz w:val="20"/>
          <w:szCs w:val="20"/>
          <w:lang w:val="es-CR"/>
        </w:rPr>
        <w:t>relativa</w:t>
      </w:r>
      <w:r w:rsidR="00432559">
        <w:rPr>
          <w:rFonts w:ascii="Verdana" w:hAnsi="Verdana"/>
          <w:sz w:val="20"/>
          <w:szCs w:val="20"/>
          <w:lang w:val="es-CR"/>
        </w:rPr>
        <w:t>s</w:t>
      </w:r>
      <w:r w:rsidR="009929D5" w:rsidRPr="0090649A">
        <w:rPr>
          <w:rFonts w:ascii="Verdana" w:hAnsi="Verdana"/>
          <w:sz w:val="20"/>
          <w:szCs w:val="20"/>
          <w:lang w:val="es-CR"/>
        </w:rPr>
        <w:t xml:space="preserve"> a </w:t>
      </w:r>
      <w:r w:rsidR="003375CF" w:rsidRPr="0090649A">
        <w:rPr>
          <w:rFonts w:ascii="Verdana" w:hAnsi="Verdana"/>
          <w:sz w:val="20"/>
          <w:szCs w:val="20"/>
          <w:lang w:val="es-CR"/>
        </w:rPr>
        <w:t xml:space="preserve">publicar en un plazo de seis meses, contado a partir de la notificación de la Sentencia, el resumen oficial de la Sentencia elaborado por la Corte, por una sola vez en el diario oficial y en un diario de amplia circulación nacional, así como la Sentencia en su integridad, disponible por un período de un </w:t>
      </w:r>
      <w:r w:rsidR="00227BF2" w:rsidRPr="0090649A">
        <w:rPr>
          <w:rFonts w:ascii="Verdana" w:hAnsi="Verdana"/>
          <w:sz w:val="20"/>
          <w:szCs w:val="20"/>
          <w:lang w:val="es-CR"/>
        </w:rPr>
        <w:t>año, en un sitio web oficial</w:t>
      </w:r>
      <w:r w:rsidR="003375CF" w:rsidRPr="0090649A">
        <w:rPr>
          <w:rFonts w:ascii="Verdana" w:hAnsi="Verdana"/>
          <w:sz w:val="20"/>
          <w:szCs w:val="20"/>
          <w:lang w:val="es-CR"/>
        </w:rPr>
        <w:t>.</w:t>
      </w:r>
    </w:p>
    <w:p w:rsidR="000151FB" w:rsidRPr="0090649A" w:rsidRDefault="003375CF" w:rsidP="007039D6">
      <w:pPr>
        <w:numPr>
          <w:ilvl w:val="0"/>
          <w:numId w:val="4"/>
        </w:numPr>
        <w:tabs>
          <w:tab w:val="left" w:pos="567"/>
        </w:tabs>
        <w:spacing w:after="120" w:line="240" w:lineRule="auto"/>
        <w:ind w:left="0" w:firstLine="0"/>
        <w:jc w:val="both"/>
        <w:rPr>
          <w:rFonts w:ascii="Verdana" w:hAnsi="Verdana"/>
          <w:sz w:val="20"/>
          <w:szCs w:val="20"/>
          <w:lang w:val="es-CR"/>
        </w:rPr>
      </w:pPr>
      <w:r w:rsidRPr="0090649A">
        <w:rPr>
          <w:rFonts w:ascii="Verdana" w:hAnsi="Verdana"/>
          <w:sz w:val="20"/>
          <w:szCs w:val="20"/>
          <w:lang w:val="es-CR"/>
        </w:rPr>
        <w:t xml:space="preserve">Declarar, de conformidad con lo señalado en los Considerandos </w:t>
      </w:r>
      <w:r w:rsidR="00D04425" w:rsidRPr="0090649A">
        <w:rPr>
          <w:rFonts w:ascii="Verdana" w:hAnsi="Verdana"/>
          <w:sz w:val="20"/>
          <w:szCs w:val="20"/>
          <w:lang w:val="es-CR"/>
        </w:rPr>
        <w:t>36</w:t>
      </w:r>
      <w:r w:rsidRPr="0090649A">
        <w:rPr>
          <w:rFonts w:ascii="Verdana" w:hAnsi="Verdana"/>
          <w:sz w:val="20"/>
          <w:szCs w:val="20"/>
          <w:lang w:val="es-CR"/>
        </w:rPr>
        <w:t xml:space="preserve"> a </w:t>
      </w:r>
      <w:r w:rsidR="00227BF2" w:rsidRPr="0090649A">
        <w:rPr>
          <w:rFonts w:ascii="Verdana" w:hAnsi="Verdana"/>
          <w:sz w:val="20"/>
          <w:szCs w:val="20"/>
          <w:lang w:val="es-CR"/>
        </w:rPr>
        <w:t>3</w:t>
      </w:r>
      <w:r w:rsidR="00D04425" w:rsidRPr="0090649A">
        <w:rPr>
          <w:rFonts w:ascii="Verdana" w:hAnsi="Verdana"/>
          <w:sz w:val="20"/>
          <w:szCs w:val="20"/>
          <w:lang w:val="es-CR"/>
        </w:rPr>
        <w:t>8</w:t>
      </w:r>
      <w:r w:rsidRPr="0090649A">
        <w:rPr>
          <w:rFonts w:ascii="Verdana" w:hAnsi="Verdana"/>
          <w:sz w:val="20"/>
          <w:szCs w:val="20"/>
          <w:lang w:val="es-CR"/>
        </w:rPr>
        <w:t xml:space="preserve"> de la presente Resolución, que el Estado ha dado cumplimiento </w:t>
      </w:r>
      <w:r w:rsidR="00E650B9" w:rsidRPr="0090649A">
        <w:rPr>
          <w:rFonts w:ascii="Verdana" w:hAnsi="Verdana"/>
          <w:sz w:val="20"/>
          <w:szCs w:val="20"/>
          <w:lang w:val="es-CR"/>
        </w:rPr>
        <w:t>a</w:t>
      </w:r>
      <w:r w:rsidRPr="0090649A">
        <w:rPr>
          <w:rFonts w:ascii="Verdana" w:hAnsi="Verdana"/>
          <w:sz w:val="20"/>
          <w:szCs w:val="20"/>
          <w:lang w:val="es-CR"/>
        </w:rPr>
        <w:t xml:space="preserve"> las medida</w:t>
      </w:r>
      <w:r w:rsidR="00585388" w:rsidRPr="0090649A">
        <w:rPr>
          <w:rFonts w:ascii="Verdana" w:hAnsi="Verdana"/>
          <w:sz w:val="20"/>
          <w:szCs w:val="20"/>
          <w:lang w:val="es-CR"/>
        </w:rPr>
        <w:t>s</w:t>
      </w:r>
      <w:r w:rsidRPr="0090649A">
        <w:rPr>
          <w:rFonts w:ascii="Verdana" w:hAnsi="Verdana"/>
          <w:sz w:val="20"/>
          <w:szCs w:val="20"/>
          <w:lang w:val="es-CR"/>
        </w:rPr>
        <w:t xml:space="preserve"> de reparación</w:t>
      </w:r>
      <w:r w:rsidR="00E650B9" w:rsidRPr="0090649A">
        <w:rPr>
          <w:rFonts w:ascii="Verdana" w:hAnsi="Verdana"/>
          <w:sz w:val="20"/>
          <w:szCs w:val="20"/>
          <w:lang w:val="es-CR"/>
        </w:rPr>
        <w:t xml:space="preserve"> ordenadas en el punto </w:t>
      </w:r>
      <w:r w:rsidR="00E650B9" w:rsidRPr="0090649A">
        <w:rPr>
          <w:rFonts w:ascii="Verdana" w:hAnsi="Verdana" w:cs="Arial"/>
          <w:sz w:val="20"/>
          <w:szCs w:val="20"/>
          <w:lang w:val="es-CR"/>
        </w:rPr>
        <w:t xml:space="preserve">dispositivo </w:t>
      </w:r>
      <w:r w:rsidR="00E650B9" w:rsidRPr="0090649A">
        <w:rPr>
          <w:rFonts w:ascii="Verdana" w:hAnsi="Verdana"/>
          <w:sz w:val="20"/>
          <w:szCs w:val="20"/>
          <w:lang w:val="es-CR"/>
        </w:rPr>
        <w:t>décimo octavo de la Sentencia,</w:t>
      </w:r>
      <w:r w:rsidRPr="0090649A">
        <w:rPr>
          <w:rFonts w:ascii="Verdana" w:hAnsi="Verdana"/>
          <w:sz w:val="20"/>
          <w:szCs w:val="20"/>
          <w:lang w:val="es-CR"/>
        </w:rPr>
        <w:t xml:space="preserve"> relativas al pago de indemnizaciones por concepto de daño</w:t>
      </w:r>
      <w:r w:rsidR="00432559">
        <w:rPr>
          <w:rFonts w:ascii="Verdana" w:hAnsi="Verdana"/>
          <w:sz w:val="20"/>
          <w:szCs w:val="20"/>
          <w:lang w:val="es-CR"/>
        </w:rPr>
        <w:t>s</w:t>
      </w:r>
      <w:r w:rsidRPr="0090649A">
        <w:rPr>
          <w:rFonts w:ascii="Verdana" w:hAnsi="Verdana"/>
          <w:sz w:val="20"/>
          <w:szCs w:val="20"/>
          <w:lang w:val="es-CR"/>
        </w:rPr>
        <w:t xml:space="preserve"> material</w:t>
      </w:r>
      <w:r w:rsidR="00432559">
        <w:rPr>
          <w:rFonts w:ascii="Verdana" w:hAnsi="Verdana"/>
          <w:sz w:val="20"/>
          <w:szCs w:val="20"/>
          <w:lang w:val="es-CR"/>
        </w:rPr>
        <w:t>es</w:t>
      </w:r>
      <w:r w:rsidRPr="0090649A">
        <w:rPr>
          <w:rFonts w:ascii="Verdana" w:hAnsi="Verdana"/>
          <w:sz w:val="20"/>
          <w:szCs w:val="20"/>
          <w:lang w:val="es-CR"/>
        </w:rPr>
        <w:t xml:space="preserve"> e inmaterial</w:t>
      </w:r>
      <w:r w:rsidR="00432559">
        <w:rPr>
          <w:rFonts w:ascii="Verdana" w:hAnsi="Verdana"/>
          <w:sz w:val="20"/>
          <w:szCs w:val="20"/>
          <w:lang w:val="es-CR"/>
        </w:rPr>
        <w:t>es</w:t>
      </w:r>
      <w:r w:rsidRPr="0090649A">
        <w:rPr>
          <w:rFonts w:ascii="Verdana" w:hAnsi="Verdana"/>
          <w:sz w:val="20"/>
          <w:szCs w:val="20"/>
          <w:lang w:val="es-CR"/>
        </w:rPr>
        <w:t xml:space="preserve"> </w:t>
      </w:r>
      <w:r w:rsidR="00432559">
        <w:rPr>
          <w:rFonts w:ascii="Verdana" w:hAnsi="Verdana"/>
          <w:sz w:val="20"/>
          <w:lang w:val="es-CR"/>
        </w:rPr>
        <w:t>a favor</w:t>
      </w:r>
      <w:r w:rsidR="00E650B9" w:rsidRPr="0090649A">
        <w:rPr>
          <w:rFonts w:ascii="Verdana" w:hAnsi="Verdana"/>
          <w:sz w:val="20"/>
          <w:lang w:val="es-CR"/>
        </w:rPr>
        <w:t xml:space="preserve"> de las víctimas </w:t>
      </w:r>
      <w:r w:rsidR="00E650B9" w:rsidRPr="0090649A">
        <w:rPr>
          <w:rFonts w:ascii="Verdana" w:hAnsi="Verdana"/>
          <w:sz w:val="20"/>
          <w:szCs w:val="20"/>
          <w:lang w:val="es-CR"/>
        </w:rPr>
        <w:t xml:space="preserve">Adán Guillermo López Lone, Tirza del </w:t>
      </w:r>
      <w:r w:rsidR="00E650B9" w:rsidRPr="002C0D35">
        <w:rPr>
          <w:rFonts w:ascii="Verdana" w:hAnsi="Verdana"/>
          <w:sz w:val="20"/>
          <w:szCs w:val="20"/>
          <w:lang w:val="es-CR"/>
        </w:rPr>
        <w:t>Carmen Flores Lanza</w:t>
      </w:r>
      <w:r w:rsidR="00922A6F" w:rsidRPr="002C0D35">
        <w:rPr>
          <w:rFonts w:ascii="Verdana" w:hAnsi="Verdana"/>
          <w:sz w:val="20"/>
          <w:szCs w:val="20"/>
          <w:lang w:val="es-CR"/>
        </w:rPr>
        <w:t>,</w:t>
      </w:r>
      <w:r w:rsidR="00E650B9" w:rsidRPr="002C0D35">
        <w:rPr>
          <w:rFonts w:ascii="Verdana" w:hAnsi="Verdana"/>
          <w:sz w:val="20"/>
          <w:szCs w:val="20"/>
          <w:lang w:val="es-CR"/>
        </w:rPr>
        <w:t xml:space="preserve"> Luis Alonso Chévez de la Rocha</w:t>
      </w:r>
      <w:r w:rsidR="00922A6F" w:rsidRPr="002C0D35">
        <w:rPr>
          <w:rFonts w:ascii="Verdana" w:hAnsi="Verdana"/>
          <w:sz w:val="20"/>
          <w:szCs w:val="20"/>
          <w:lang w:val="es-CR"/>
        </w:rPr>
        <w:t xml:space="preserve"> y Ramón Enrique Barrios Maldonado</w:t>
      </w:r>
      <w:r w:rsidR="00E650B9" w:rsidRPr="002C0D35">
        <w:rPr>
          <w:rFonts w:ascii="Verdana" w:hAnsi="Verdana"/>
          <w:sz w:val="20"/>
          <w:szCs w:val="20"/>
          <w:lang w:val="es-CR"/>
        </w:rPr>
        <w:t>, así como del reintegro de costas y gastos a favor de CEJIL y la Asociación Jueces por</w:t>
      </w:r>
      <w:r w:rsidR="00E650B9" w:rsidRPr="0090649A">
        <w:rPr>
          <w:rFonts w:ascii="Verdana" w:hAnsi="Verdana"/>
          <w:sz w:val="20"/>
          <w:szCs w:val="20"/>
          <w:lang w:val="es-CR"/>
        </w:rPr>
        <w:t xml:space="preserve"> la Democracia.</w:t>
      </w:r>
      <w:r w:rsidR="00292618">
        <w:rPr>
          <w:rFonts w:ascii="Verdana" w:hAnsi="Verdana"/>
          <w:sz w:val="20"/>
          <w:szCs w:val="20"/>
          <w:lang w:val="es-CR"/>
        </w:rPr>
        <w:t xml:space="preserve"> </w:t>
      </w:r>
    </w:p>
    <w:p w:rsidR="00432559" w:rsidRDefault="007C6CA4" w:rsidP="00432559">
      <w:pPr>
        <w:numPr>
          <w:ilvl w:val="0"/>
          <w:numId w:val="4"/>
        </w:numPr>
        <w:tabs>
          <w:tab w:val="left" w:pos="567"/>
        </w:tabs>
        <w:spacing w:after="120" w:line="240" w:lineRule="auto"/>
        <w:ind w:left="0" w:firstLine="0"/>
        <w:jc w:val="both"/>
        <w:rPr>
          <w:rFonts w:ascii="Verdana" w:hAnsi="Verdana"/>
          <w:sz w:val="20"/>
          <w:szCs w:val="20"/>
          <w:lang w:val="es-CR"/>
        </w:rPr>
      </w:pPr>
      <w:r w:rsidRPr="0090649A">
        <w:rPr>
          <w:rFonts w:ascii="Verdana" w:hAnsi="Verdana"/>
          <w:sz w:val="20"/>
          <w:szCs w:val="20"/>
          <w:lang w:val="es-CR"/>
        </w:rPr>
        <w:lastRenderedPageBreak/>
        <w:t xml:space="preserve">Declarar, de conformidad con lo señalado en los Considerandos </w:t>
      </w:r>
      <w:r w:rsidR="00D04425" w:rsidRPr="0090649A">
        <w:rPr>
          <w:rFonts w:ascii="Verdana" w:hAnsi="Verdana"/>
          <w:sz w:val="20"/>
          <w:szCs w:val="20"/>
          <w:lang w:val="es-CR"/>
        </w:rPr>
        <w:t>40</w:t>
      </w:r>
      <w:r w:rsidRPr="0090649A">
        <w:rPr>
          <w:rFonts w:ascii="Verdana" w:hAnsi="Verdana"/>
          <w:sz w:val="20"/>
          <w:szCs w:val="20"/>
          <w:lang w:val="es-CR"/>
        </w:rPr>
        <w:t xml:space="preserve"> a </w:t>
      </w:r>
      <w:r w:rsidR="00227BF2" w:rsidRPr="0090649A">
        <w:rPr>
          <w:rFonts w:ascii="Verdana" w:hAnsi="Verdana"/>
          <w:sz w:val="20"/>
          <w:szCs w:val="20"/>
          <w:lang w:val="es-CR"/>
        </w:rPr>
        <w:t>4</w:t>
      </w:r>
      <w:r w:rsidR="00D04425" w:rsidRPr="0090649A">
        <w:rPr>
          <w:rFonts w:ascii="Verdana" w:hAnsi="Verdana"/>
          <w:sz w:val="20"/>
          <w:szCs w:val="20"/>
          <w:lang w:val="es-CR"/>
        </w:rPr>
        <w:t>3</w:t>
      </w:r>
      <w:r w:rsidRPr="0090649A">
        <w:rPr>
          <w:rFonts w:ascii="Verdana" w:hAnsi="Verdana"/>
          <w:sz w:val="20"/>
          <w:szCs w:val="20"/>
          <w:lang w:val="es-CR"/>
        </w:rPr>
        <w:t xml:space="preserve"> de la presente Resolución</w:t>
      </w:r>
      <w:r w:rsidR="004576B6" w:rsidRPr="0090649A">
        <w:rPr>
          <w:rFonts w:ascii="Verdana" w:hAnsi="Verdana"/>
          <w:sz w:val="20"/>
          <w:szCs w:val="20"/>
          <w:lang w:val="es-CR"/>
        </w:rPr>
        <w:t xml:space="preserve"> y el párrafo 334 de la Sentencia</w:t>
      </w:r>
      <w:r w:rsidRPr="0090649A">
        <w:rPr>
          <w:rFonts w:ascii="Verdana" w:hAnsi="Verdana"/>
          <w:sz w:val="20"/>
          <w:szCs w:val="20"/>
          <w:lang w:val="es-CR"/>
        </w:rPr>
        <w:t>, que el Estado debe reembolsar</w:t>
      </w:r>
      <w:r w:rsidR="007B791D" w:rsidRPr="0090649A">
        <w:rPr>
          <w:rFonts w:ascii="Verdana" w:hAnsi="Verdana"/>
          <w:sz w:val="20"/>
          <w:szCs w:val="20"/>
          <w:lang w:val="es-CR"/>
        </w:rPr>
        <w:t xml:space="preserve">, en un plazo de seis meses, la cantidad de US$ 1.470,69 (mil cuatrocientos setenta dólares de los Estados Unidos de América con sesenta y nueve </w:t>
      </w:r>
      <w:r w:rsidR="00F67175">
        <w:rPr>
          <w:rFonts w:ascii="Verdana" w:hAnsi="Verdana"/>
          <w:sz w:val="20"/>
          <w:szCs w:val="20"/>
          <w:lang w:val="es-CR"/>
        </w:rPr>
        <w:t>centavos</w:t>
      </w:r>
      <w:r w:rsidR="007B791D" w:rsidRPr="0090649A">
        <w:rPr>
          <w:rFonts w:ascii="Verdana" w:hAnsi="Verdana"/>
          <w:sz w:val="20"/>
          <w:szCs w:val="20"/>
          <w:lang w:val="es-CR"/>
        </w:rPr>
        <w:t>)</w:t>
      </w:r>
      <w:r w:rsidR="000833BB" w:rsidRPr="0090649A">
        <w:rPr>
          <w:rFonts w:ascii="Verdana" w:hAnsi="Verdana"/>
          <w:sz w:val="20"/>
          <w:szCs w:val="20"/>
          <w:lang w:val="es-CR"/>
        </w:rPr>
        <w:t xml:space="preserve">, </w:t>
      </w:r>
      <w:r w:rsidR="007B791D" w:rsidRPr="0090649A">
        <w:rPr>
          <w:rFonts w:ascii="Verdana" w:hAnsi="Verdana"/>
          <w:sz w:val="20"/>
          <w:szCs w:val="20"/>
          <w:lang w:val="es-CR"/>
        </w:rPr>
        <w:t xml:space="preserve">por concepto de los gastos razonables en los cuales incurrieron las víctimas </w:t>
      </w:r>
      <w:r w:rsidR="007A3ED8">
        <w:rPr>
          <w:rFonts w:ascii="Verdana" w:hAnsi="Verdana"/>
          <w:sz w:val="20"/>
          <w:szCs w:val="20"/>
          <w:lang w:val="es-CR"/>
        </w:rPr>
        <w:t xml:space="preserve">Adán Guillermo López Lone y Tirza del Carmen Flores Lanza </w:t>
      </w:r>
      <w:r w:rsidR="007B791D" w:rsidRPr="0090649A">
        <w:rPr>
          <w:rFonts w:ascii="Verdana" w:hAnsi="Verdana"/>
          <w:sz w:val="20"/>
          <w:szCs w:val="20"/>
          <w:lang w:val="es-CR"/>
        </w:rPr>
        <w:t xml:space="preserve">para asistir a la audiencia de supervisión de cumplimiento, realizada el 10 de febrero de 2017 en la sede de la Corte IDH. </w:t>
      </w:r>
      <w:r w:rsidR="004576B6" w:rsidRPr="0090649A">
        <w:rPr>
          <w:rFonts w:ascii="Verdana" w:hAnsi="Verdana"/>
          <w:sz w:val="20"/>
          <w:szCs w:val="20"/>
          <w:lang w:val="es-CR"/>
        </w:rPr>
        <w:t xml:space="preserve">La mitad de dicha cantidad deberá ser entregada al señor López Lone y la otra mitad a la señora Flores Lanza. </w:t>
      </w:r>
    </w:p>
    <w:p w:rsidR="00585388" w:rsidRPr="00432559" w:rsidRDefault="009F78E3" w:rsidP="00432559">
      <w:pPr>
        <w:numPr>
          <w:ilvl w:val="0"/>
          <w:numId w:val="4"/>
        </w:numPr>
        <w:tabs>
          <w:tab w:val="left" w:pos="567"/>
        </w:tabs>
        <w:spacing w:after="120" w:line="240" w:lineRule="auto"/>
        <w:ind w:left="0" w:firstLine="0"/>
        <w:jc w:val="both"/>
        <w:rPr>
          <w:rFonts w:ascii="Verdana" w:hAnsi="Verdana"/>
          <w:sz w:val="20"/>
          <w:szCs w:val="20"/>
          <w:lang w:val="es-CR"/>
        </w:rPr>
      </w:pPr>
      <w:r w:rsidRPr="00432559">
        <w:rPr>
          <w:rFonts w:ascii="Verdana" w:hAnsi="Verdana"/>
          <w:sz w:val="20"/>
          <w:szCs w:val="20"/>
          <w:lang w:val="es-CR"/>
        </w:rPr>
        <w:t>Mantener abierto el procedimiento de supervisión de cumplimiento respecto de la medida</w:t>
      </w:r>
      <w:r w:rsidR="007C6037" w:rsidRPr="00432559">
        <w:rPr>
          <w:rFonts w:ascii="Verdana" w:hAnsi="Verdana"/>
          <w:sz w:val="20"/>
          <w:szCs w:val="20"/>
          <w:lang w:val="es-CR"/>
        </w:rPr>
        <w:t xml:space="preserve"> de reparación</w:t>
      </w:r>
      <w:r w:rsidRPr="00432559">
        <w:rPr>
          <w:rFonts w:ascii="Verdana" w:hAnsi="Verdana"/>
          <w:sz w:val="20"/>
          <w:szCs w:val="20"/>
          <w:lang w:val="es-CR"/>
        </w:rPr>
        <w:t xml:space="preserve"> </w:t>
      </w:r>
      <w:r w:rsidR="00432559" w:rsidRPr="00432559">
        <w:rPr>
          <w:rFonts w:ascii="Verdana" w:hAnsi="Verdana"/>
          <w:sz w:val="20"/>
          <w:szCs w:val="20"/>
          <w:lang w:val="es-CR"/>
        </w:rPr>
        <w:t xml:space="preserve">ordenada </w:t>
      </w:r>
      <w:r w:rsidR="00432559" w:rsidRPr="00432559">
        <w:rPr>
          <w:rFonts w:ascii="Verdana" w:hAnsi="Verdana" w:cs="Arial"/>
          <w:sz w:val="20"/>
          <w:szCs w:val="20"/>
          <w:lang w:val="es-CR"/>
        </w:rPr>
        <w:t>en el punto dispositivo décimo sexto de la Sentencia, relativa a la reincorporación de las víctimas Adán Guillermo López Lone y Tirza del Carmen Flores Lanza a cargos similares a los que desempeñaban al momento en que fueron destituidos como juez y magistrada</w:t>
      </w:r>
      <w:r w:rsidR="00432559" w:rsidRPr="00432559">
        <w:rPr>
          <w:rFonts w:ascii="Verdana" w:hAnsi="Verdana"/>
          <w:sz w:val="20"/>
          <w:szCs w:val="20"/>
          <w:lang w:val="es-CR"/>
        </w:rPr>
        <w:t>,</w:t>
      </w:r>
      <w:r w:rsidRPr="00432559">
        <w:rPr>
          <w:rFonts w:ascii="Verdana" w:hAnsi="Verdana"/>
          <w:sz w:val="20"/>
          <w:szCs w:val="20"/>
          <w:lang w:val="es-CR"/>
        </w:rPr>
        <w:t xml:space="preserve"> de conformidad con los Considerandos</w:t>
      </w:r>
      <w:r w:rsidR="00676B37" w:rsidRPr="00432559">
        <w:rPr>
          <w:rFonts w:ascii="Verdana" w:hAnsi="Verdana"/>
          <w:sz w:val="20"/>
          <w:szCs w:val="20"/>
          <w:lang w:val="es-CR"/>
        </w:rPr>
        <w:t xml:space="preserve"> </w:t>
      </w:r>
      <w:r w:rsidR="00227BF2" w:rsidRPr="00432559">
        <w:rPr>
          <w:rFonts w:ascii="Verdana" w:hAnsi="Verdana"/>
          <w:sz w:val="20"/>
          <w:szCs w:val="20"/>
          <w:lang w:val="es-CR"/>
        </w:rPr>
        <w:t>12</w:t>
      </w:r>
      <w:r w:rsidR="00676B37" w:rsidRPr="00432559">
        <w:rPr>
          <w:rFonts w:ascii="Verdana" w:hAnsi="Verdana"/>
          <w:sz w:val="20"/>
          <w:szCs w:val="20"/>
          <w:lang w:val="es-CR"/>
        </w:rPr>
        <w:t xml:space="preserve"> a </w:t>
      </w:r>
      <w:r w:rsidR="00A765C0" w:rsidRPr="00432559">
        <w:rPr>
          <w:rFonts w:ascii="Verdana" w:hAnsi="Verdana"/>
          <w:sz w:val="20"/>
          <w:szCs w:val="20"/>
          <w:lang w:val="es-CR"/>
        </w:rPr>
        <w:t>16</w:t>
      </w:r>
      <w:r w:rsidR="00432559" w:rsidRPr="00432559">
        <w:rPr>
          <w:rFonts w:ascii="Verdana" w:hAnsi="Verdana"/>
          <w:sz w:val="20"/>
          <w:szCs w:val="20"/>
          <w:lang w:val="es-CR"/>
        </w:rPr>
        <w:t xml:space="preserve"> y</w:t>
      </w:r>
      <w:r w:rsidR="00676B37" w:rsidRPr="00432559">
        <w:rPr>
          <w:rFonts w:ascii="Verdana" w:hAnsi="Verdana"/>
          <w:sz w:val="20"/>
          <w:szCs w:val="20"/>
          <w:lang w:val="es-CR"/>
        </w:rPr>
        <w:t xml:space="preserve"> </w:t>
      </w:r>
      <w:r w:rsidR="00A765C0" w:rsidRPr="00432559">
        <w:rPr>
          <w:rFonts w:ascii="Verdana" w:hAnsi="Verdana"/>
          <w:sz w:val="20"/>
          <w:szCs w:val="20"/>
          <w:lang w:val="es-CR"/>
        </w:rPr>
        <w:t>18 a 29</w:t>
      </w:r>
      <w:r w:rsidR="00585388" w:rsidRPr="00432559">
        <w:rPr>
          <w:rFonts w:ascii="Verdana" w:hAnsi="Verdana"/>
          <w:sz w:val="20"/>
          <w:szCs w:val="20"/>
          <w:lang w:val="es-CR"/>
        </w:rPr>
        <w:t xml:space="preserve"> </w:t>
      </w:r>
      <w:r w:rsidR="00432559" w:rsidRPr="00432559">
        <w:rPr>
          <w:rFonts w:ascii="Verdana" w:hAnsi="Verdana"/>
          <w:sz w:val="20"/>
          <w:szCs w:val="20"/>
          <w:lang w:val="es-CR"/>
        </w:rPr>
        <w:t xml:space="preserve">de la presente Resolución. Asimismo, la Corte supervisará el cumplimiento del reintegro </w:t>
      </w:r>
      <w:r w:rsidR="001D1742">
        <w:rPr>
          <w:rFonts w:ascii="Verdana" w:hAnsi="Verdana"/>
          <w:sz w:val="20"/>
          <w:szCs w:val="20"/>
          <w:lang w:val="es-CR"/>
        </w:rPr>
        <w:t xml:space="preserve">de </w:t>
      </w:r>
      <w:r w:rsidR="00432559" w:rsidRPr="001D1742">
        <w:rPr>
          <w:rFonts w:ascii="Verdana" w:hAnsi="Verdana"/>
          <w:sz w:val="20"/>
          <w:szCs w:val="20"/>
          <w:lang w:val="es-CR"/>
        </w:rPr>
        <w:t>los gastos razonables en los cuales las referidas víctimas incurrieron para asistir a la audiencia de supervisión de cumplimiento de 10 de febrero de 2017</w:t>
      </w:r>
      <w:r w:rsidR="001D1742">
        <w:rPr>
          <w:rFonts w:ascii="Verdana" w:hAnsi="Verdana"/>
          <w:sz w:val="20"/>
          <w:szCs w:val="20"/>
          <w:lang w:val="es-CR"/>
        </w:rPr>
        <w:t xml:space="preserve">, de conformidad con el </w:t>
      </w:r>
      <w:r w:rsidR="001D1742" w:rsidRPr="00432559">
        <w:rPr>
          <w:rFonts w:ascii="Verdana" w:hAnsi="Verdana"/>
          <w:sz w:val="20"/>
          <w:szCs w:val="20"/>
          <w:lang w:val="es-CR"/>
        </w:rPr>
        <w:t>párrafo 334 de la Sentencia</w:t>
      </w:r>
      <w:r w:rsidR="001D1742">
        <w:rPr>
          <w:rFonts w:ascii="Verdana" w:hAnsi="Verdana"/>
          <w:sz w:val="20"/>
          <w:szCs w:val="20"/>
          <w:lang w:val="es-CR"/>
        </w:rPr>
        <w:t xml:space="preserve"> y los Considerandos 40 a 43 de la presente Resolución</w:t>
      </w:r>
      <w:r w:rsidR="00432559" w:rsidRPr="001D1742">
        <w:rPr>
          <w:rFonts w:ascii="Verdana" w:hAnsi="Verdana"/>
          <w:sz w:val="20"/>
          <w:szCs w:val="20"/>
          <w:lang w:val="es-CR"/>
        </w:rPr>
        <w:t>.</w:t>
      </w:r>
      <w:r w:rsidR="000833BB" w:rsidRPr="00432559">
        <w:rPr>
          <w:rFonts w:ascii="Verdana" w:hAnsi="Verdana"/>
          <w:sz w:val="18"/>
          <w:szCs w:val="20"/>
          <w:lang w:val="es-CR"/>
        </w:rPr>
        <w:t xml:space="preserve"> </w:t>
      </w:r>
    </w:p>
    <w:p w:rsidR="005A15A6" w:rsidRPr="0090649A" w:rsidRDefault="009F78E3" w:rsidP="007039D6">
      <w:pPr>
        <w:numPr>
          <w:ilvl w:val="0"/>
          <w:numId w:val="4"/>
        </w:numPr>
        <w:tabs>
          <w:tab w:val="left" w:pos="567"/>
        </w:tabs>
        <w:spacing w:after="120" w:line="240" w:lineRule="auto"/>
        <w:ind w:left="0" w:hanging="11"/>
        <w:jc w:val="both"/>
        <w:rPr>
          <w:rFonts w:ascii="Verdana" w:hAnsi="Verdana"/>
          <w:sz w:val="20"/>
          <w:lang w:val="es-CR"/>
        </w:rPr>
      </w:pPr>
      <w:r w:rsidRPr="0090649A">
        <w:rPr>
          <w:rFonts w:ascii="Verdana" w:hAnsi="Verdana"/>
          <w:sz w:val="20"/>
          <w:szCs w:val="20"/>
          <w:lang w:val="es-CR"/>
        </w:rPr>
        <w:t xml:space="preserve">Disponer que el Estado presente a la Corte Interamericana de Derechos Humanos, a más tardar el </w:t>
      </w:r>
      <w:r w:rsidR="00635374" w:rsidRPr="0090649A">
        <w:rPr>
          <w:rFonts w:ascii="Verdana" w:hAnsi="Verdana"/>
          <w:sz w:val="20"/>
          <w:szCs w:val="20"/>
          <w:lang w:val="es-CR"/>
        </w:rPr>
        <w:t>2</w:t>
      </w:r>
      <w:r w:rsidR="008D639A">
        <w:rPr>
          <w:rFonts w:ascii="Verdana" w:hAnsi="Verdana"/>
          <w:sz w:val="20"/>
          <w:szCs w:val="20"/>
          <w:lang w:val="es-CR"/>
        </w:rPr>
        <w:t>5</w:t>
      </w:r>
      <w:r w:rsidR="00C062F5" w:rsidRPr="0090649A">
        <w:rPr>
          <w:rFonts w:ascii="Verdana" w:hAnsi="Verdana"/>
          <w:sz w:val="20"/>
          <w:szCs w:val="20"/>
          <w:lang w:val="es-CR"/>
        </w:rPr>
        <w:t xml:space="preserve"> </w:t>
      </w:r>
      <w:r w:rsidRPr="0090649A">
        <w:rPr>
          <w:rFonts w:ascii="Verdana" w:hAnsi="Verdana"/>
          <w:sz w:val="20"/>
          <w:szCs w:val="20"/>
          <w:lang w:val="es-CR"/>
        </w:rPr>
        <w:t xml:space="preserve">de </w:t>
      </w:r>
      <w:r w:rsidR="00635374" w:rsidRPr="0090649A">
        <w:rPr>
          <w:rFonts w:ascii="Verdana" w:hAnsi="Verdana"/>
          <w:sz w:val="20"/>
          <w:szCs w:val="20"/>
          <w:lang w:val="es-CR"/>
        </w:rPr>
        <w:t>agosto</w:t>
      </w:r>
      <w:r w:rsidR="00520868" w:rsidRPr="0090649A">
        <w:rPr>
          <w:rFonts w:ascii="Verdana" w:hAnsi="Verdana"/>
          <w:sz w:val="20"/>
          <w:szCs w:val="20"/>
          <w:lang w:val="es-CR"/>
        </w:rPr>
        <w:t xml:space="preserve"> de </w:t>
      </w:r>
      <w:r w:rsidR="005A15A6" w:rsidRPr="0090649A">
        <w:rPr>
          <w:rFonts w:ascii="Verdana" w:hAnsi="Verdana"/>
          <w:sz w:val="20"/>
          <w:szCs w:val="20"/>
          <w:lang w:val="es-CR"/>
        </w:rPr>
        <w:t>2017</w:t>
      </w:r>
      <w:r w:rsidRPr="0090649A">
        <w:rPr>
          <w:rFonts w:ascii="Verdana" w:hAnsi="Verdana"/>
          <w:sz w:val="20"/>
          <w:szCs w:val="20"/>
          <w:lang w:val="es-CR"/>
        </w:rPr>
        <w:t>, un informe sobre el cumplimiento de la</w:t>
      </w:r>
      <w:r w:rsidR="00A357D4">
        <w:rPr>
          <w:rFonts w:ascii="Verdana" w:hAnsi="Verdana"/>
          <w:sz w:val="20"/>
          <w:szCs w:val="20"/>
          <w:lang w:val="es-CR"/>
        </w:rPr>
        <w:t xml:space="preserve"> reparación</w:t>
      </w:r>
      <w:r w:rsidRPr="0090649A">
        <w:rPr>
          <w:rFonts w:ascii="Verdana" w:hAnsi="Verdana"/>
          <w:sz w:val="20"/>
          <w:szCs w:val="20"/>
          <w:lang w:val="es-CR"/>
        </w:rPr>
        <w:t xml:space="preserve"> ordenada en</w:t>
      </w:r>
      <w:r w:rsidR="00F9143D" w:rsidRPr="0090649A">
        <w:rPr>
          <w:rFonts w:ascii="Verdana" w:hAnsi="Verdana"/>
          <w:sz w:val="20"/>
          <w:szCs w:val="20"/>
          <w:lang w:val="es-CR"/>
        </w:rPr>
        <w:t xml:space="preserve"> </w:t>
      </w:r>
      <w:r w:rsidR="008D639A">
        <w:rPr>
          <w:rFonts w:ascii="Verdana" w:hAnsi="Verdana"/>
          <w:sz w:val="20"/>
          <w:szCs w:val="20"/>
          <w:lang w:val="es-CR"/>
        </w:rPr>
        <w:t>e</w:t>
      </w:r>
      <w:r w:rsidR="00F9143D" w:rsidRPr="0090649A">
        <w:rPr>
          <w:rFonts w:ascii="Verdana" w:hAnsi="Verdana"/>
          <w:sz w:val="20"/>
          <w:szCs w:val="20"/>
          <w:lang w:val="es-CR"/>
        </w:rPr>
        <w:t>l</w:t>
      </w:r>
      <w:r w:rsidRPr="0090649A">
        <w:rPr>
          <w:rFonts w:ascii="Verdana" w:hAnsi="Verdana"/>
          <w:sz w:val="20"/>
          <w:szCs w:val="20"/>
          <w:lang w:val="es-CR"/>
        </w:rPr>
        <w:t xml:space="preserve"> punto </w:t>
      </w:r>
      <w:r w:rsidR="009929D5" w:rsidRPr="0090649A">
        <w:rPr>
          <w:rFonts w:ascii="Verdana" w:hAnsi="Verdana"/>
          <w:sz w:val="20"/>
          <w:szCs w:val="20"/>
          <w:lang w:val="es-CR"/>
        </w:rPr>
        <w:t>resolutivo</w:t>
      </w:r>
      <w:r w:rsidR="00F9143D" w:rsidRPr="0090649A">
        <w:rPr>
          <w:rFonts w:ascii="Verdana" w:hAnsi="Verdana"/>
          <w:sz w:val="20"/>
          <w:szCs w:val="20"/>
          <w:lang w:val="es-CR"/>
        </w:rPr>
        <w:t xml:space="preserve"> </w:t>
      </w:r>
      <w:r w:rsidR="007C6037" w:rsidRPr="0090649A">
        <w:rPr>
          <w:rFonts w:ascii="Verdana" w:hAnsi="Verdana"/>
          <w:sz w:val="20"/>
          <w:szCs w:val="20"/>
          <w:lang w:val="es-CR"/>
        </w:rPr>
        <w:t xml:space="preserve">décimo </w:t>
      </w:r>
      <w:r w:rsidR="00635374" w:rsidRPr="0090649A">
        <w:rPr>
          <w:rFonts w:ascii="Verdana" w:hAnsi="Verdana"/>
          <w:sz w:val="20"/>
          <w:szCs w:val="20"/>
          <w:lang w:val="es-CR"/>
        </w:rPr>
        <w:t>sexto</w:t>
      </w:r>
      <w:r w:rsidRPr="0090649A">
        <w:rPr>
          <w:rFonts w:ascii="Verdana" w:hAnsi="Verdana"/>
          <w:sz w:val="20"/>
          <w:szCs w:val="20"/>
          <w:lang w:val="es-CR"/>
        </w:rPr>
        <w:t xml:space="preserve"> de la Sentencia,</w:t>
      </w:r>
      <w:r w:rsidR="00A357D4" w:rsidRPr="00A357D4">
        <w:rPr>
          <w:rFonts w:ascii="Verdana" w:hAnsi="Verdana" w:cs="Arial"/>
          <w:sz w:val="20"/>
          <w:szCs w:val="20"/>
          <w:lang w:val="es-CR"/>
        </w:rPr>
        <w:t xml:space="preserve"> </w:t>
      </w:r>
      <w:r w:rsidR="00A357D4" w:rsidRPr="0090649A">
        <w:rPr>
          <w:rFonts w:ascii="Verdana" w:hAnsi="Verdana" w:cs="Arial"/>
          <w:sz w:val="20"/>
          <w:szCs w:val="20"/>
          <w:lang w:val="es-CR"/>
        </w:rPr>
        <w:t xml:space="preserve">relativa a la </w:t>
      </w:r>
      <w:r w:rsidR="00A357D4">
        <w:rPr>
          <w:rFonts w:ascii="Verdana" w:hAnsi="Verdana" w:cs="Arial"/>
          <w:sz w:val="20"/>
          <w:szCs w:val="20"/>
          <w:lang w:val="es-CR"/>
        </w:rPr>
        <w:t>reincorporación</w:t>
      </w:r>
      <w:r w:rsidR="00A357D4" w:rsidRPr="0090649A">
        <w:rPr>
          <w:rFonts w:ascii="Verdana" w:hAnsi="Verdana" w:cs="Arial"/>
          <w:sz w:val="20"/>
          <w:szCs w:val="20"/>
          <w:lang w:val="es-CR"/>
        </w:rPr>
        <w:t xml:space="preserve"> de las víctimas Adán Guillermo López Lone y Tirza del Carmen Flores Lanza a cargos similares a los que desempeñaban al momento en que fueron destituidos como juez y magistrada</w:t>
      </w:r>
      <w:r w:rsidR="00A357D4">
        <w:rPr>
          <w:rFonts w:ascii="Verdana" w:hAnsi="Verdana" w:cs="Arial"/>
          <w:sz w:val="20"/>
          <w:szCs w:val="20"/>
          <w:lang w:val="es-CR"/>
        </w:rPr>
        <w:t>,</w:t>
      </w:r>
      <w:r w:rsidRPr="0090649A">
        <w:rPr>
          <w:rFonts w:ascii="Verdana" w:hAnsi="Verdana"/>
          <w:sz w:val="20"/>
          <w:szCs w:val="20"/>
          <w:lang w:val="es-CR"/>
        </w:rPr>
        <w:t xml:space="preserve"> de conformidad con lo indicado en los Considerando</w:t>
      </w:r>
      <w:r w:rsidR="00C062F5" w:rsidRPr="0090649A">
        <w:rPr>
          <w:rFonts w:ascii="Verdana" w:hAnsi="Verdana"/>
          <w:sz w:val="20"/>
          <w:szCs w:val="20"/>
          <w:lang w:val="es-CR"/>
        </w:rPr>
        <w:t>s</w:t>
      </w:r>
      <w:r w:rsidRPr="0090649A">
        <w:rPr>
          <w:rFonts w:ascii="Verdana" w:hAnsi="Verdana"/>
          <w:sz w:val="20"/>
          <w:szCs w:val="20"/>
          <w:lang w:val="es-CR"/>
        </w:rPr>
        <w:t xml:space="preserve"> </w:t>
      </w:r>
      <w:r w:rsidR="00635374" w:rsidRPr="0090649A">
        <w:rPr>
          <w:rFonts w:ascii="Verdana" w:hAnsi="Verdana"/>
          <w:sz w:val="20"/>
          <w:szCs w:val="20"/>
          <w:lang w:val="es-CR"/>
        </w:rPr>
        <w:t xml:space="preserve">12 a </w:t>
      </w:r>
      <w:r w:rsidR="008D639A">
        <w:rPr>
          <w:rFonts w:ascii="Verdana" w:hAnsi="Verdana"/>
          <w:sz w:val="20"/>
          <w:szCs w:val="20"/>
          <w:lang w:val="es-CR"/>
        </w:rPr>
        <w:t>16</w:t>
      </w:r>
      <w:r w:rsidR="00A357D4">
        <w:rPr>
          <w:rFonts w:ascii="Verdana" w:hAnsi="Verdana"/>
          <w:sz w:val="20"/>
          <w:szCs w:val="20"/>
          <w:lang w:val="es-CR"/>
        </w:rPr>
        <w:t xml:space="preserve"> y</w:t>
      </w:r>
      <w:r w:rsidR="00635374" w:rsidRPr="0090649A">
        <w:rPr>
          <w:rFonts w:ascii="Verdana" w:hAnsi="Verdana"/>
          <w:sz w:val="20"/>
          <w:szCs w:val="20"/>
          <w:lang w:val="es-CR"/>
        </w:rPr>
        <w:t xml:space="preserve"> </w:t>
      </w:r>
      <w:r w:rsidR="008D639A">
        <w:rPr>
          <w:rFonts w:ascii="Verdana" w:hAnsi="Verdana"/>
          <w:sz w:val="20"/>
          <w:szCs w:val="20"/>
          <w:lang w:val="es-CR"/>
        </w:rPr>
        <w:t>18 a 29</w:t>
      </w:r>
      <w:r w:rsidR="00635374" w:rsidRPr="0090649A">
        <w:rPr>
          <w:rFonts w:ascii="Verdana" w:hAnsi="Verdana"/>
          <w:sz w:val="20"/>
          <w:szCs w:val="20"/>
          <w:lang w:val="es-CR"/>
        </w:rPr>
        <w:t xml:space="preserve"> </w:t>
      </w:r>
      <w:r w:rsidRPr="0090649A">
        <w:rPr>
          <w:rFonts w:ascii="Verdana" w:hAnsi="Verdana"/>
          <w:sz w:val="20"/>
          <w:szCs w:val="20"/>
          <w:lang w:val="es-CR"/>
        </w:rPr>
        <w:t xml:space="preserve">de la presente Resolución. </w:t>
      </w:r>
    </w:p>
    <w:p w:rsidR="009F78E3" w:rsidRPr="0090649A" w:rsidRDefault="009F78E3" w:rsidP="007039D6">
      <w:pPr>
        <w:numPr>
          <w:ilvl w:val="0"/>
          <w:numId w:val="4"/>
        </w:numPr>
        <w:tabs>
          <w:tab w:val="left" w:pos="567"/>
        </w:tabs>
        <w:spacing w:after="120" w:line="240" w:lineRule="auto"/>
        <w:ind w:left="0" w:firstLine="0"/>
        <w:jc w:val="both"/>
        <w:rPr>
          <w:rFonts w:ascii="Verdana" w:hAnsi="Verdana"/>
          <w:sz w:val="20"/>
          <w:lang w:val="es-CR"/>
        </w:rPr>
      </w:pPr>
      <w:r w:rsidRPr="0090649A">
        <w:rPr>
          <w:rFonts w:ascii="Verdana" w:hAnsi="Verdana"/>
          <w:sz w:val="20"/>
          <w:lang w:val="es-CR"/>
        </w:rPr>
        <w:t xml:space="preserve">Disponer que </w:t>
      </w:r>
      <w:r w:rsidR="009929D5" w:rsidRPr="0090649A">
        <w:rPr>
          <w:rFonts w:ascii="Verdana" w:hAnsi="Verdana"/>
          <w:sz w:val="20"/>
          <w:lang w:val="es-CR"/>
        </w:rPr>
        <w:t>las</w:t>
      </w:r>
      <w:r w:rsidRPr="0090649A">
        <w:rPr>
          <w:rFonts w:ascii="Verdana" w:hAnsi="Verdana"/>
          <w:sz w:val="20"/>
          <w:lang w:val="es-CR"/>
        </w:rPr>
        <w:t xml:space="preserve"> representantes</w:t>
      </w:r>
      <w:r w:rsidR="005A15A6" w:rsidRPr="0090649A">
        <w:rPr>
          <w:rFonts w:ascii="Verdana" w:hAnsi="Verdana"/>
          <w:sz w:val="20"/>
          <w:lang w:val="es-CR"/>
        </w:rPr>
        <w:t xml:space="preserve"> </w:t>
      </w:r>
      <w:r w:rsidRPr="0090649A">
        <w:rPr>
          <w:rFonts w:ascii="Verdana" w:hAnsi="Verdana"/>
          <w:sz w:val="20"/>
          <w:lang w:val="es-CR"/>
        </w:rPr>
        <w:t>de la</w:t>
      </w:r>
      <w:r w:rsidR="009929D5" w:rsidRPr="0090649A">
        <w:rPr>
          <w:rFonts w:ascii="Verdana" w:hAnsi="Verdana"/>
          <w:sz w:val="20"/>
          <w:lang w:val="es-CR"/>
        </w:rPr>
        <w:t>s</w:t>
      </w:r>
      <w:r w:rsidRPr="0090649A">
        <w:rPr>
          <w:rFonts w:ascii="Verdana" w:hAnsi="Verdana"/>
          <w:sz w:val="20"/>
          <w:lang w:val="es-CR"/>
        </w:rPr>
        <w:t xml:space="preserve"> víctima</w:t>
      </w:r>
      <w:r w:rsidR="009929D5" w:rsidRPr="0090649A">
        <w:rPr>
          <w:rFonts w:ascii="Verdana" w:hAnsi="Verdana"/>
          <w:sz w:val="20"/>
          <w:lang w:val="es-CR"/>
        </w:rPr>
        <w:t>s</w:t>
      </w:r>
      <w:r w:rsidRPr="0090649A">
        <w:rPr>
          <w:rFonts w:ascii="Verdana" w:hAnsi="Verdana"/>
          <w:sz w:val="20"/>
          <w:lang w:val="es-CR"/>
        </w:rPr>
        <w:t xml:space="preserve"> y la Comisión Interamericana de Derechos Humanos presenten observaciones al informe del Estado mencionado en el punto resolutivo anterior, en los plazos de cuatro y seis semanas, respectivamente, contados a partir de la recepción del informe.</w:t>
      </w:r>
    </w:p>
    <w:p w:rsidR="00635374" w:rsidRPr="0090649A" w:rsidRDefault="00635374" w:rsidP="007039D6">
      <w:pPr>
        <w:numPr>
          <w:ilvl w:val="0"/>
          <w:numId w:val="4"/>
        </w:numPr>
        <w:tabs>
          <w:tab w:val="left" w:pos="567"/>
        </w:tabs>
        <w:spacing w:after="120" w:line="240" w:lineRule="auto"/>
        <w:ind w:left="0" w:firstLine="0"/>
        <w:jc w:val="both"/>
        <w:rPr>
          <w:rFonts w:ascii="Verdana" w:hAnsi="Verdana"/>
          <w:sz w:val="20"/>
          <w:lang w:val="es-CR"/>
        </w:rPr>
      </w:pPr>
      <w:r w:rsidRPr="0090649A">
        <w:rPr>
          <w:rFonts w:ascii="Verdana" w:hAnsi="Verdana"/>
          <w:sz w:val="20"/>
          <w:szCs w:val="20"/>
          <w:lang w:val="es-CR"/>
        </w:rPr>
        <w:t xml:space="preserve">Disponer que, de conformidad con </w:t>
      </w:r>
      <w:r w:rsidR="0023721E" w:rsidRPr="0090649A">
        <w:rPr>
          <w:rFonts w:ascii="Verdana" w:hAnsi="Verdana"/>
          <w:sz w:val="20"/>
          <w:szCs w:val="20"/>
          <w:lang w:val="es-CR"/>
        </w:rPr>
        <w:t xml:space="preserve">los </w:t>
      </w:r>
      <w:r w:rsidRPr="0090649A">
        <w:rPr>
          <w:rFonts w:ascii="Verdana" w:hAnsi="Verdana"/>
          <w:sz w:val="20"/>
          <w:szCs w:val="20"/>
          <w:lang w:val="es-CR"/>
        </w:rPr>
        <w:t>artículo</w:t>
      </w:r>
      <w:r w:rsidR="0023721E" w:rsidRPr="0090649A">
        <w:rPr>
          <w:rFonts w:ascii="Verdana" w:hAnsi="Verdana"/>
          <w:sz w:val="20"/>
          <w:szCs w:val="20"/>
          <w:lang w:val="es-CR"/>
        </w:rPr>
        <w:t>s</w:t>
      </w:r>
      <w:r w:rsidRPr="0090649A">
        <w:rPr>
          <w:rFonts w:ascii="Verdana" w:hAnsi="Verdana"/>
          <w:sz w:val="20"/>
          <w:szCs w:val="20"/>
          <w:lang w:val="es-CR"/>
        </w:rPr>
        <w:t xml:space="preserve"> </w:t>
      </w:r>
      <w:r w:rsidR="0023721E" w:rsidRPr="0090649A">
        <w:rPr>
          <w:rFonts w:ascii="Verdana" w:hAnsi="Verdana"/>
          <w:sz w:val="20"/>
          <w:szCs w:val="20"/>
          <w:lang w:val="es-CR"/>
        </w:rPr>
        <w:t xml:space="preserve">4.1.f y </w:t>
      </w:r>
      <w:r w:rsidRPr="0090649A">
        <w:rPr>
          <w:rFonts w:ascii="Verdana" w:hAnsi="Verdana"/>
          <w:sz w:val="20"/>
          <w:szCs w:val="20"/>
          <w:lang w:val="es-CR"/>
        </w:rPr>
        <w:t>69 de su Reglamento</w:t>
      </w:r>
      <w:r w:rsidR="001A6AAA" w:rsidRPr="0090649A">
        <w:rPr>
          <w:rFonts w:ascii="Verdana" w:hAnsi="Verdana"/>
          <w:sz w:val="20"/>
          <w:szCs w:val="20"/>
          <w:lang w:val="es-CR"/>
        </w:rPr>
        <w:t xml:space="preserve"> y lo indicado en el Considerando 29 de esta Resolución</w:t>
      </w:r>
      <w:r w:rsidRPr="0090649A">
        <w:rPr>
          <w:rFonts w:ascii="Verdana" w:hAnsi="Verdana"/>
          <w:sz w:val="20"/>
          <w:szCs w:val="20"/>
          <w:lang w:val="es-CR"/>
        </w:rPr>
        <w:t xml:space="preserve">, de ser necesario, el Presidente de la Corte podrá delegar a uno o más jueces de la Corte o funcionarios de la Secretaría la realización de una visita a Honduras con el fin de obtener de forma directa información relevante de las partes para supervisar el cumplimiento de la </w:t>
      </w:r>
      <w:r w:rsidR="00821D83">
        <w:rPr>
          <w:rFonts w:ascii="Verdana" w:hAnsi="Verdana"/>
          <w:sz w:val="20"/>
          <w:szCs w:val="20"/>
          <w:lang w:val="es-CR"/>
        </w:rPr>
        <w:t>reincorporación</w:t>
      </w:r>
      <w:r w:rsidRPr="0090649A">
        <w:rPr>
          <w:rFonts w:ascii="Verdana" w:hAnsi="Verdana"/>
          <w:sz w:val="20"/>
          <w:szCs w:val="20"/>
          <w:lang w:val="es-CR"/>
        </w:rPr>
        <w:t xml:space="preserve"> de las víctimas</w:t>
      </w:r>
      <w:r w:rsidRPr="0090649A">
        <w:rPr>
          <w:rFonts w:ascii="Verdana" w:hAnsi="Verdana" w:cs="Arial"/>
          <w:sz w:val="20"/>
          <w:szCs w:val="20"/>
          <w:lang w:val="es-CR"/>
        </w:rPr>
        <w:t xml:space="preserve"> Adán Guillermo López Lone y Tirza del Carmen Flores Lanza,</w:t>
      </w:r>
      <w:r w:rsidRPr="0090649A">
        <w:rPr>
          <w:rFonts w:ascii="Verdana" w:hAnsi="Verdana"/>
          <w:sz w:val="20"/>
          <w:szCs w:val="20"/>
          <w:lang w:val="es-CR"/>
        </w:rPr>
        <w:t xml:space="preserve"> según fue ordenada en el punto dispositivo décimo sexto de la Sentencia</w:t>
      </w:r>
      <w:r w:rsidRPr="0090649A">
        <w:rPr>
          <w:rFonts w:ascii="Verdana" w:hAnsi="Verdana"/>
          <w:i/>
          <w:sz w:val="20"/>
          <w:szCs w:val="20"/>
          <w:lang w:val="es-CR"/>
        </w:rPr>
        <w:t xml:space="preserve">, </w:t>
      </w:r>
      <w:r w:rsidRPr="0090649A">
        <w:rPr>
          <w:rFonts w:ascii="Verdana" w:hAnsi="Verdana"/>
          <w:sz w:val="20"/>
          <w:szCs w:val="20"/>
          <w:lang w:val="es-CR"/>
        </w:rPr>
        <w:t>previo consentimiento y coordinación con el Estado de Honduras.</w:t>
      </w:r>
    </w:p>
    <w:p w:rsidR="008F657F" w:rsidRPr="008F657F" w:rsidRDefault="009F78E3" w:rsidP="008F657F">
      <w:pPr>
        <w:numPr>
          <w:ilvl w:val="0"/>
          <w:numId w:val="4"/>
        </w:numPr>
        <w:tabs>
          <w:tab w:val="left" w:pos="567"/>
        </w:tabs>
        <w:spacing w:after="120" w:line="240" w:lineRule="auto"/>
        <w:ind w:left="0" w:firstLine="0"/>
        <w:jc w:val="both"/>
        <w:rPr>
          <w:rFonts w:ascii="Verdana" w:hAnsi="Verdana"/>
          <w:sz w:val="20"/>
          <w:lang w:val="es-CR"/>
        </w:rPr>
      </w:pPr>
      <w:r w:rsidRPr="0090649A">
        <w:rPr>
          <w:rFonts w:ascii="Verdana" w:hAnsi="Verdana"/>
          <w:sz w:val="20"/>
          <w:lang w:val="es-CR"/>
        </w:rPr>
        <w:t xml:space="preserve">Disponer que la Secretaría de la Corte notifique la presente Resolución al Estado, a </w:t>
      </w:r>
      <w:r w:rsidR="008D6DFB" w:rsidRPr="0090649A">
        <w:rPr>
          <w:rFonts w:ascii="Verdana" w:hAnsi="Verdana"/>
          <w:sz w:val="20"/>
          <w:lang w:val="es-CR"/>
        </w:rPr>
        <w:t>las representantes</w:t>
      </w:r>
      <w:r w:rsidRPr="0090649A">
        <w:rPr>
          <w:rFonts w:ascii="Verdana" w:hAnsi="Verdana"/>
          <w:sz w:val="20"/>
          <w:lang w:val="es-CR"/>
        </w:rPr>
        <w:t xml:space="preserve"> de la</w:t>
      </w:r>
      <w:r w:rsidR="00D34B1B" w:rsidRPr="0090649A">
        <w:rPr>
          <w:rFonts w:ascii="Verdana" w:hAnsi="Verdana"/>
          <w:sz w:val="20"/>
          <w:lang w:val="es-CR"/>
        </w:rPr>
        <w:t>s</w:t>
      </w:r>
      <w:r w:rsidRPr="0090649A">
        <w:rPr>
          <w:rFonts w:ascii="Verdana" w:hAnsi="Verdana"/>
          <w:sz w:val="20"/>
          <w:lang w:val="es-CR"/>
        </w:rPr>
        <w:t xml:space="preserve"> víctima</w:t>
      </w:r>
      <w:r w:rsidR="00D34B1B" w:rsidRPr="0090649A">
        <w:rPr>
          <w:rFonts w:ascii="Verdana" w:hAnsi="Verdana"/>
          <w:sz w:val="20"/>
          <w:lang w:val="es-CR"/>
        </w:rPr>
        <w:t>s</w:t>
      </w:r>
      <w:r w:rsidRPr="0090649A">
        <w:rPr>
          <w:rFonts w:ascii="Verdana" w:hAnsi="Verdana"/>
          <w:sz w:val="20"/>
          <w:lang w:val="es-CR"/>
        </w:rPr>
        <w:t xml:space="preserve"> y a la Comisión Interamericana de Derechos Humanos.</w:t>
      </w:r>
    </w:p>
    <w:p w:rsidR="008F657F" w:rsidRPr="004B7A1D" w:rsidRDefault="008F657F" w:rsidP="008F657F">
      <w:pPr>
        <w:jc w:val="both"/>
        <w:rPr>
          <w:rFonts w:ascii="Verdana" w:hAnsi="Verdana"/>
          <w:sz w:val="20"/>
          <w:lang w:val="es-ES"/>
        </w:rPr>
      </w:pPr>
    </w:p>
    <w:p w:rsidR="008F657F" w:rsidRPr="008F657F" w:rsidRDefault="008F657F" w:rsidP="008F657F">
      <w:pPr>
        <w:keepNext/>
        <w:jc w:val="both"/>
        <w:outlineLvl w:val="0"/>
        <w:rPr>
          <w:rFonts w:ascii="Verdana" w:hAnsi="Verdana" w:cs="Verdana"/>
          <w:b/>
          <w:bCs/>
          <w:sz w:val="20"/>
          <w:lang w:val="es-ES"/>
        </w:rPr>
      </w:pPr>
      <w:r w:rsidRPr="00524655">
        <w:rPr>
          <w:rFonts w:ascii="Verdana" w:hAnsi="Verdana" w:cs="Courier New"/>
          <w:noProof/>
          <w:sz w:val="20"/>
          <w:lang w:val="es-AR"/>
        </w:rPr>
        <w:t xml:space="preserve">Corte IDH. </w:t>
      </w:r>
      <w:r w:rsidRPr="00BC31ED">
        <w:rPr>
          <w:rFonts w:ascii="Verdana" w:hAnsi="Verdana"/>
          <w:bCs/>
          <w:i/>
          <w:sz w:val="20"/>
          <w:lang w:val="es-CR"/>
        </w:rPr>
        <w:t xml:space="preserve">Caso López </w:t>
      </w:r>
      <w:proofErr w:type="spellStart"/>
      <w:r w:rsidRPr="00BC31ED">
        <w:rPr>
          <w:rFonts w:ascii="Verdana" w:hAnsi="Verdana"/>
          <w:bCs/>
          <w:i/>
          <w:sz w:val="20"/>
          <w:lang w:val="es-CR"/>
        </w:rPr>
        <w:t>Lone</w:t>
      </w:r>
      <w:proofErr w:type="spellEnd"/>
      <w:r w:rsidRPr="00BC31ED">
        <w:rPr>
          <w:rFonts w:ascii="Verdana" w:hAnsi="Verdana"/>
          <w:bCs/>
          <w:i/>
          <w:sz w:val="20"/>
          <w:lang w:val="es-CR"/>
        </w:rPr>
        <w:t xml:space="preserve"> y otros Vs. Honduras</w:t>
      </w:r>
      <w:r w:rsidRPr="00831AC2">
        <w:rPr>
          <w:rFonts w:ascii="Verdana" w:hAnsi="Verdana"/>
          <w:i/>
          <w:sz w:val="20"/>
          <w:lang w:val="es-ES"/>
        </w:rPr>
        <w:t>.</w:t>
      </w:r>
      <w:r w:rsidRPr="00831AC2">
        <w:rPr>
          <w:rFonts w:ascii="Verdana" w:hAnsi="Verdana" w:cs="Arial"/>
          <w:i/>
          <w:sz w:val="20"/>
          <w:lang w:val="es-CR"/>
        </w:rPr>
        <w:t xml:space="preserve"> </w:t>
      </w:r>
      <w:r>
        <w:rPr>
          <w:rFonts w:ascii="Verdana" w:hAnsi="Verdana"/>
          <w:sz w:val="20"/>
          <w:lang w:val="es-CR"/>
        </w:rPr>
        <w:t xml:space="preserve">Supervisión de cumplimiento de sentencia. </w:t>
      </w:r>
      <w:r>
        <w:rPr>
          <w:rFonts w:ascii="Verdana" w:hAnsi="Verdana"/>
          <w:sz w:val="20"/>
          <w:lang w:val="es-ES"/>
        </w:rPr>
        <w:t>Resolución</w:t>
      </w:r>
      <w:r w:rsidRPr="008C6E98">
        <w:rPr>
          <w:rFonts w:ascii="Verdana" w:hAnsi="Verdana"/>
          <w:sz w:val="20"/>
          <w:lang w:val="es-ES"/>
        </w:rPr>
        <w:t xml:space="preserve"> de la Corte Interamericana de Derechos Humanos</w:t>
      </w:r>
      <w:r>
        <w:rPr>
          <w:rFonts w:ascii="Verdana" w:hAnsi="Verdana"/>
          <w:sz w:val="20"/>
          <w:lang w:val="es-ES"/>
        </w:rPr>
        <w:t xml:space="preserve"> de </w:t>
      </w:r>
      <w:r>
        <w:rPr>
          <w:rFonts w:ascii="Verdana" w:hAnsi="Verdana"/>
          <w:sz w:val="20"/>
          <w:lang w:val="es-CR"/>
        </w:rPr>
        <w:t>25</w:t>
      </w:r>
      <w:r w:rsidRPr="00831AC2">
        <w:rPr>
          <w:rFonts w:ascii="Verdana" w:hAnsi="Verdana"/>
          <w:sz w:val="20"/>
          <w:lang w:val="es-CR"/>
        </w:rPr>
        <w:t xml:space="preserve"> de </w:t>
      </w:r>
      <w:r>
        <w:rPr>
          <w:rFonts w:ascii="Verdana" w:hAnsi="Verdana"/>
          <w:sz w:val="20"/>
          <w:lang w:val="es-CR"/>
        </w:rPr>
        <w:t>mayo</w:t>
      </w:r>
      <w:r w:rsidRPr="00831AC2">
        <w:rPr>
          <w:rFonts w:ascii="Verdana" w:hAnsi="Verdana"/>
          <w:sz w:val="20"/>
          <w:lang w:val="es-CR"/>
        </w:rPr>
        <w:t xml:space="preserve"> de 2017</w:t>
      </w:r>
      <w:r>
        <w:rPr>
          <w:rFonts w:ascii="Verdana" w:hAnsi="Verdana"/>
          <w:sz w:val="20"/>
          <w:lang w:val="es-ES"/>
        </w:rPr>
        <w:t xml:space="preserve">. </w:t>
      </w:r>
    </w:p>
    <w:p w:rsidR="008F657F" w:rsidRPr="004B7A1D" w:rsidRDefault="008F657F" w:rsidP="008F657F">
      <w:pPr>
        <w:jc w:val="center"/>
        <w:rPr>
          <w:rFonts w:ascii="Verdana" w:hAnsi="Verdana"/>
          <w:sz w:val="20"/>
          <w:lang w:val="es-ES"/>
        </w:rPr>
      </w:pPr>
      <w:r>
        <w:rPr>
          <w:rFonts w:ascii="Verdana" w:hAnsi="Verdana"/>
          <w:sz w:val="20"/>
          <w:lang w:val="es-ES"/>
        </w:rPr>
        <w:t>Roberto F. Caldas</w:t>
      </w:r>
    </w:p>
    <w:p w:rsidR="008F657F" w:rsidRPr="004B7A1D" w:rsidRDefault="008F657F" w:rsidP="008F657F">
      <w:pPr>
        <w:jc w:val="center"/>
        <w:rPr>
          <w:rFonts w:ascii="Verdana" w:hAnsi="Verdana"/>
          <w:sz w:val="20"/>
          <w:lang w:val="es-ES"/>
        </w:rPr>
      </w:pPr>
      <w:r w:rsidRPr="004B7A1D">
        <w:rPr>
          <w:rFonts w:ascii="Verdana" w:hAnsi="Verdana"/>
          <w:sz w:val="20"/>
          <w:lang w:val="es-ES"/>
        </w:rPr>
        <w:t xml:space="preserve">Presidente </w:t>
      </w:r>
    </w:p>
    <w:p w:rsidR="008F657F" w:rsidRPr="004B7A1D" w:rsidRDefault="008F657F" w:rsidP="008F657F">
      <w:pPr>
        <w:jc w:val="both"/>
        <w:rPr>
          <w:rFonts w:ascii="Verdana" w:hAnsi="Verdana"/>
          <w:sz w:val="20"/>
          <w:lang w:val="es-ES"/>
        </w:rPr>
      </w:pPr>
    </w:p>
    <w:p w:rsidR="008F657F" w:rsidRPr="004B7A1D" w:rsidRDefault="008F657F" w:rsidP="008F657F">
      <w:pPr>
        <w:jc w:val="both"/>
        <w:rPr>
          <w:rFonts w:ascii="Verdana" w:hAnsi="Verdana"/>
          <w:sz w:val="20"/>
          <w:lang w:val="es-ES"/>
        </w:rPr>
      </w:pPr>
      <w:r>
        <w:rPr>
          <w:rFonts w:ascii="Verdana" w:hAnsi="Verdana"/>
          <w:sz w:val="20"/>
          <w:lang w:val="es-ES"/>
        </w:rPr>
        <w:lastRenderedPageBreak/>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Pr>
          <w:rFonts w:ascii="Verdana" w:hAnsi="Verdana"/>
          <w:sz w:val="20"/>
          <w:lang w:val="es-ES"/>
        </w:rPr>
        <w:t xml:space="preserve">       Eduardo Vio Grossi</w:t>
      </w:r>
    </w:p>
    <w:p w:rsidR="008F657F" w:rsidRPr="004B7A1D" w:rsidRDefault="008F657F" w:rsidP="008F657F">
      <w:pPr>
        <w:jc w:val="both"/>
        <w:rPr>
          <w:rFonts w:ascii="Verdana" w:hAnsi="Verdana"/>
          <w:sz w:val="20"/>
          <w:lang w:val="es-ES"/>
        </w:rPr>
      </w:pPr>
    </w:p>
    <w:p w:rsidR="008F657F" w:rsidRDefault="008F657F" w:rsidP="008F657F">
      <w:pPr>
        <w:jc w:val="both"/>
        <w:rPr>
          <w:rFonts w:ascii="Verdana" w:hAnsi="Verdana"/>
          <w:sz w:val="20"/>
          <w:lang w:val="es-ES"/>
        </w:rPr>
      </w:pPr>
      <w:r>
        <w:rPr>
          <w:rFonts w:ascii="Verdana" w:hAnsi="Verdana"/>
          <w:sz w:val="20"/>
          <w:lang w:val="es-ES"/>
        </w:rPr>
        <w:t>Humberto Antonio Sierra Porto</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Elizabeth Odio Benito</w:t>
      </w:r>
    </w:p>
    <w:p w:rsidR="008F657F" w:rsidRPr="004B7A1D" w:rsidRDefault="008F657F" w:rsidP="008F657F">
      <w:pPr>
        <w:jc w:val="both"/>
        <w:rPr>
          <w:rFonts w:ascii="Verdana" w:hAnsi="Verdana"/>
          <w:sz w:val="20"/>
          <w:lang w:val="es-ES"/>
        </w:rPr>
      </w:pPr>
    </w:p>
    <w:p w:rsidR="008F657F" w:rsidRPr="004B7A1D" w:rsidRDefault="008F657F" w:rsidP="008F657F">
      <w:pPr>
        <w:rPr>
          <w:rFonts w:ascii="Verdana" w:hAnsi="Verdana"/>
          <w:sz w:val="20"/>
          <w:lang w:val="es-ES"/>
        </w:rPr>
      </w:pPr>
      <w:r>
        <w:rPr>
          <w:rFonts w:ascii="Verdana" w:hAnsi="Verdana"/>
          <w:sz w:val="20"/>
          <w:lang w:val="es-ES"/>
        </w:rPr>
        <w:t xml:space="preserve">Eugenio Raúl </w:t>
      </w:r>
      <w:proofErr w:type="spellStart"/>
      <w:r>
        <w:rPr>
          <w:rFonts w:ascii="Verdana" w:hAnsi="Verdana"/>
          <w:sz w:val="20"/>
          <w:lang w:val="es-ES"/>
        </w:rPr>
        <w:t>Zaffaroni</w:t>
      </w:r>
      <w:proofErr w:type="spellEnd"/>
      <w:r w:rsidRPr="004B7A1D">
        <w:rPr>
          <w:rFonts w:ascii="Verdana" w:hAnsi="Verdana"/>
          <w:sz w:val="20"/>
          <w:lang w:val="es-ES"/>
        </w:rPr>
        <w:t xml:space="preserve"> </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L. Patricio Pazmiño Freire</w:t>
      </w:r>
    </w:p>
    <w:p w:rsidR="008F657F" w:rsidRPr="004B7A1D" w:rsidRDefault="008F657F" w:rsidP="008F657F">
      <w:pPr>
        <w:jc w:val="both"/>
        <w:rPr>
          <w:rFonts w:ascii="Verdana" w:hAnsi="Verdana"/>
          <w:sz w:val="20"/>
          <w:lang w:val="es-ES"/>
        </w:rPr>
      </w:pPr>
    </w:p>
    <w:p w:rsidR="008F657F" w:rsidRPr="008F657F" w:rsidRDefault="008F657F" w:rsidP="008F657F">
      <w:pPr>
        <w:jc w:val="both"/>
        <w:rPr>
          <w:rFonts w:ascii="Verdana" w:hAnsi="Verdana"/>
          <w:sz w:val="20"/>
          <w:lang w:val="es-CR"/>
        </w:rPr>
      </w:pPr>
    </w:p>
    <w:p w:rsidR="008F657F" w:rsidRPr="004B7A1D" w:rsidRDefault="008F657F" w:rsidP="008F657F">
      <w:pPr>
        <w:jc w:val="center"/>
        <w:rPr>
          <w:rFonts w:ascii="Verdana" w:hAnsi="Verdana"/>
          <w:sz w:val="20"/>
          <w:lang w:val="es-ES"/>
        </w:rPr>
      </w:pPr>
      <w:r w:rsidRPr="004B7A1D">
        <w:rPr>
          <w:rFonts w:ascii="Verdana" w:hAnsi="Verdana"/>
          <w:sz w:val="20"/>
          <w:lang w:val="es-ES"/>
        </w:rPr>
        <w:t>Pablo Saavedra Alessandri</w:t>
      </w:r>
    </w:p>
    <w:p w:rsidR="008F657F" w:rsidRPr="004B7A1D" w:rsidRDefault="008F657F" w:rsidP="008F657F">
      <w:pPr>
        <w:jc w:val="center"/>
        <w:rPr>
          <w:rFonts w:ascii="Verdana" w:hAnsi="Verdana"/>
          <w:sz w:val="20"/>
          <w:lang w:val="es-ES"/>
        </w:rPr>
      </w:pPr>
      <w:r w:rsidRPr="004B7A1D">
        <w:rPr>
          <w:rFonts w:ascii="Verdana" w:hAnsi="Verdana"/>
          <w:sz w:val="20"/>
          <w:lang w:val="es-ES"/>
        </w:rPr>
        <w:t>Secretario</w:t>
      </w:r>
    </w:p>
    <w:p w:rsidR="008F657F" w:rsidRPr="004B7A1D" w:rsidRDefault="008F657F" w:rsidP="008F657F">
      <w:pPr>
        <w:pStyle w:val="Textonotapie"/>
        <w:rPr>
          <w:rFonts w:ascii="Verdana" w:hAnsi="Verdana"/>
          <w:lang w:val="es-ES"/>
        </w:rPr>
      </w:pPr>
    </w:p>
    <w:p w:rsidR="008F657F" w:rsidRPr="004B7A1D" w:rsidRDefault="008F657F" w:rsidP="008F657F">
      <w:pPr>
        <w:jc w:val="both"/>
        <w:rPr>
          <w:rFonts w:ascii="Verdana" w:hAnsi="Verdana"/>
          <w:sz w:val="20"/>
          <w:lang w:val="es-ES"/>
        </w:rPr>
      </w:pPr>
      <w:r w:rsidRPr="004B7A1D">
        <w:rPr>
          <w:rFonts w:ascii="Verdana" w:hAnsi="Verdana"/>
          <w:sz w:val="20"/>
          <w:lang w:val="es-ES"/>
        </w:rPr>
        <w:t>Comuníquese y ejecútese,</w:t>
      </w:r>
    </w:p>
    <w:p w:rsidR="008F657F" w:rsidRPr="004B7A1D" w:rsidRDefault="008F657F" w:rsidP="008F657F">
      <w:pPr>
        <w:jc w:val="both"/>
        <w:rPr>
          <w:rFonts w:ascii="Verdana" w:hAnsi="Verdana"/>
          <w:sz w:val="20"/>
          <w:lang w:val="es-ES"/>
        </w:rPr>
      </w:pPr>
    </w:p>
    <w:p w:rsidR="008F657F" w:rsidRPr="004B7A1D" w:rsidRDefault="008F657F" w:rsidP="008F657F">
      <w:pPr>
        <w:jc w:val="both"/>
        <w:rPr>
          <w:rFonts w:ascii="Verdana" w:hAnsi="Verdana"/>
          <w:sz w:val="20"/>
          <w:lang w:val="es-ES"/>
        </w:rPr>
      </w:pPr>
    </w:p>
    <w:p w:rsidR="008F657F" w:rsidRPr="004B7A1D" w:rsidRDefault="008F657F" w:rsidP="008F657F">
      <w:pPr>
        <w:ind w:left="4956" w:firstLine="708"/>
        <w:jc w:val="center"/>
        <w:rPr>
          <w:rFonts w:ascii="Verdana" w:hAnsi="Verdana"/>
          <w:sz w:val="20"/>
          <w:lang w:val="es-ES"/>
        </w:rPr>
      </w:pPr>
      <w:r>
        <w:rPr>
          <w:rFonts w:ascii="Verdana" w:hAnsi="Verdana"/>
          <w:sz w:val="20"/>
          <w:lang w:val="es-ES"/>
        </w:rPr>
        <w:t>Roberto F. Caldas</w:t>
      </w:r>
    </w:p>
    <w:p w:rsidR="008F657F" w:rsidRPr="004B7A1D" w:rsidRDefault="008F657F" w:rsidP="008F657F">
      <w:pPr>
        <w:ind w:left="4956" w:firstLine="708"/>
        <w:jc w:val="center"/>
        <w:rPr>
          <w:rFonts w:ascii="Verdana" w:hAnsi="Verdana"/>
          <w:sz w:val="20"/>
          <w:lang w:val="es-ES"/>
        </w:rPr>
      </w:pPr>
      <w:r w:rsidRPr="004B7A1D">
        <w:rPr>
          <w:rFonts w:ascii="Verdana" w:hAnsi="Verdana"/>
          <w:sz w:val="20"/>
          <w:lang w:val="es-ES"/>
        </w:rPr>
        <w:t xml:space="preserve">Presidente </w:t>
      </w:r>
    </w:p>
    <w:p w:rsidR="008F657F" w:rsidRPr="004B7A1D" w:rsidRDefault="008F657F" w:rsidP="008F657F">
      <w:pPr>
        <w:jc w:val="both"/>
        <w:rPr>
          <w:rFonts w:ascii="Verdana" w:hAnsi="Verdana"/>
          <w:sz w:val="20"/>
          <w:lang w:val="es-ES"/>
        </w:rPr>
      </w:pPr>
    </w:p>
    <w:p w:rsidR="008F657F" w:rsidRPr="004B7A1D" w:rsidRDefault="008F657F" w:rsidP="008F657F">
      <w:pPr>
        <w:jc w:val="both"/>
        <w:rPr>
          <w:rFonts w:ascii="Verdana" w:hAnsi="Verdana"/>
          <w:sz w:val="20"/>
          <w:lang w:val="es-ES"/>
        </w:rPr>
      </w:pPr>
    </w:p>
    <w:p w:rsidR="008F657F" w:rsidRPr="004B7A1D" w:rsidRDefault="008F657F" w:rsidP="008F657F">
      <w:pPr>
        <w:jc w:val="both"/>
        <w:rPr>
          <w:rFonts w:ascii="Verdana" w:hAnsi="Verdana"/>
          <w:sz w:val="20"/>
          <w:lang w:val="es-ES"/>
        </w:rPr>
      </w:pPr>
      <w:r w:rsidRPr="004B7A1D">
        <w:rPr>
          <w:rFonts w:ascii="Verdana" w:hAnsi="Verdana"/>
          <w:sz w:val="20"/>
          <w:lang w:val="es-ES"/>
        </w:rPr>
        <w:t>Pablo Saavedra Alessandri</w:t>
      </w:r>
    </w:p>
    <w:p w:rsidR="008F657F" w:rsidRPr="004B7A1D" w:rsidRDefault="008F657F" w:rsidP="008F657F">
      <w:pPr>
        <w:rPr>
          <w:rFonts w:ascii="Verdana" w:hAnsi="Verdana"/>
          <w:sz w:val="20"/>
          <w:lang w:val="es-CR"/>
        </w:rPr>
      </w:pPr>
      <w:r w:rsidRPr="004B7A1D">
        <w:rPr>
          <w:rFonts w:ascii="Verdana" w:hAnsi="Verdana"/>
          <w:sz w:val="20"/>
          <w:lang w:val="es-ES"/>
        </w:rPr>
        <w:tab/>
      </w:r>
      <w:r w:rsidRPr="004B7A1D">
        <w:rPr>
          <w:rFonts w:ascii="Verdana" w:hAnsi="Verdana"/>
          <w:sz w:val="20"/>
          <w:lang w:val="es-CR"/>
        </w:rPr>
        <w:t>Secretario</w:t>
      </w:r>
    </w:p>
    <w:p w:rsidR="008F657F" w:rsidRDefault="008F657F" w:rsidP="008F657F"/>
    <w:p w:rsidR="008F657F" w:rsidRPr="0090649A" w:rsidRDefault="008F657F" w:rsidP="008F657F">
      <w:pPr>
        <w:tabs>
          <w:tab w:val="left" w:pos="567"/>
        </w:tabs>
        <w:spacing w:after="120" w:line="240" w:lineRule="auto"/>
        <w:jc w:val="both"/>
        <w:rPr>
          <w:rFonts w:ascii="Verdana" w:hAnsi="Verdana"/>
          <w:sz w:val="20"/>
          <w:lang w:val="es-CR"/>
        </w:rPr>
      </w:pPr>
    </w:p>
    <w:sectPr w:rsidR="008F657F" w:rsidRPr="0090649A" w:rsidSect="002F6082">
      <w:headerReference w:type="default" r:id="rId8"/>
      <w:foot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342" w:rsidRDefault="008E4342" w:rsidP="005A1B3D">
      <w:pPr>
        <w:spacing w:after="0" w:line="240" w:lineRule="auto"/>
      </w:pPr>
      <w:r>
        <w:separator/>
      </w:r>
    </w:p>
  </w:endnote>
  <w:endnote w:type="continuationSeparator" w:id="0">
    <w:p w:rsidR="008E4342" w:rsidRDefault="008E4342"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E70" w:rsidRDefault="007C0E70" w:rsidP="0006620E">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342" w:rsidRDefault="008E4342" w:rsidP="005A1B3D">
      <w:pPr>
        <w:spacing w:after="0" w:line="240" w:lineRule="auto"/>
      </w:pPr>
      <w:r>
        <w:separator/>
      </w:r>
    </w:p>
  </w:footnote>
  <w:footnote w:type="continuationSeparator" w:id="0">
    <w:p w:rsidR="008E4342" w:rsidRDefault="008E4342" w:rsidP="005A1B3D">
      <w:pPr>
        <w:spacing w:after="0" w:line="240" w:lineRule="auto"/>
      </w:pPr>
      <w:r>
        <w:continuationSeparator/>
      </w:r>
    </w:p>
  </w:footnote>
  <w:footnote w:id="1">
    <w:p w:rsidR="00981F90" w:rsidRPr="006F1717" w:rsidRDefault="00981F90" w:rsidP="00DE6711">
      <w:pPr>
        <w:pStyle w:val="Textonotapie"/>
        <w:tabs>
          <w:tab w:val="left" w:pos="540"/>
        </w:tabs>
        <w:jc w:val="both"/>
        <w:rPr>
          <w:rFonts w:ascii="Verdana" w:hAnsi="Verdana"/>
          <w:color w:val="000000"/>
          <w:sz w:val="16"/>
          <w:szCs w:val="16"/>
          <w:lang w:val="es-CR"/>
        </w:rPr>
      </w:pPr>
      <w:r w:rsidRPr="006F1717">
        <w:rPr>
          <w:rStyle w:val="Refdenotaalpie"/>
          <w:rFonts w:ascii="Verdana" w:hAnsi="Verdana"/>
          <w:color w:val="000000"/>
          <w:sz w:val="16"/>
          <w:szCs w:val="16"/>
        </w:rPr>
        <w:footnoteRef/>
      </w:r>
      <w:r w:rsidR="00092353" w:rsidRPr="006F1717">
        <w:rPr>
          <w:rFonts w:ascii="Verdana" w:hAnsi="Verdana"/>
          <w:color w:val="000000"/>
          <w:sz w:val="16"/>
          <w:szCs w:val="16"/>
          <w:lang w:val="es-CR"/>
        </w:rPr>
        <w:t xml:space="preserve"> </w:t>
      </w:r>
      <w:r w:rsidR="00092353" w:rsidRPr="006F1717">
        <w:rPr>
          <w:rFonts w:ascii="Verdana" w:hAnsi="Verdana"/>
          <w:color w:val="000000"/>
          <w:sz w:val="16"/>
          <w:szCs w:val="16"/>
          <w:lang w:val="es-CR"/>
        </w:rPr>
        <w:tab/>
      </w:r>
      <w:r w:rsidRPr="006F1717">
        <w:rPr>
          <w:rFonts w:ascii="Verdana" w:hAnsi="Verdana"/>
          <w:i/>
          <w:color w:val="000000"/>
          <w:sz w:val="16"/>
          <w:szCs w:val="16"/>
          <w:lang w:val="es-CR"/>
        </w:rPr>
        <w:t xml:space="preserve">Cfr. Caso López Lone y otros Vs. Honduras. Excepción Preliminar, Fondo, Reparaciones y Costas. </w:t>
      </w:r>
      <w:r w:rsidRPr="006F1717">
        <w:rPr>
          <w:rFonts w:ascii="Verdana" w:hAnsi="Verdana"/>
          <w:color w:val="000000"/>
          <w:sz w:val="16"/>
          <w:szCs w:val="16"/>
          <w:lang w:val="es-CR"/>
        </w:rPr>
        <w:t xml:space="preserve">Sentencia de 5 de octubre de 2015. Serie C No. 302. El texto íntegro de la Sentencia se encuentra disponible en: </w:t>
      </w:r>
      <w:hyperlink r:id="rId1" w:history="1">
        <w:r w:rsidRPr="006F1717">
          <w:rPr>
            <w:rStyle w:val="Hipervnculo"/>
            <w:rFonts w:ascii="Verdana" w:hAnsi="Verdana"/>
            <w:sz w:val="16"/>
            <w:szCs w:val="16"/>
            <w:lang w:val="es-CR"/>
          </w:rPr>
          <w:t>http://www.corteidh.or.cr/docs/casos/articulos/seriec_302_esp.pdf</w:t>
        </w:r>
      </w:hyperlink>
      <w:r w:rsidRPr="006F1717">
        <w:rPr>
          <w:rFonts w:ascii="Verdana" w:hAnsi="Verdana"/>
          <w:color w:val="000000"/>
          <w:sz w:val="16"/>
          <w:szCs w:val="16"/>
          <w:lang w:val="es-CR"/>
        </w:rPr>
        <w:t xml:space="preserve">. La Sentencia fue notificada al Estado el 10 de noviembre de 2015. Asimismo, la Corte emitió una Sentencia de interpretación. </w:t>
      </w:r>
      <w:r w:rsidRPr="006F1717">
        <w:rPr>
          <w:rFonts w:ascii="Verdana" w:hAnsi="Verdana"/>
          <w:i/>
          <w:color w:val="000000"/>
          <w:sz w:val="16"/>
          <w:szCs w:val="16"/>
          <w:lang w:val="es-CR"/>
        </w:rPr>
        <w:t xml:space="preserve">Cfr. Caso López Lone y otros Vs. Honduras. Interpretación de la Sentencia de Excepción Preliminar, Fondo, Reparaciones y Costas. </w:t>
      </w:r>
      <w:r w:rsidRPr="006F1717">
        <w:rPr>
          <w:rFonts w:ascii="Verdana" w:hAnsi="Verdana"/>
          <w:color w:val="000000"/>
          <w:sz w:val="16"/>
          <w:szCs w:val="16"/>
          <w:lang w:val="es-CR"/>
        </w:rPr>
        <w:t>Sentencia de 2 de septiembre de 2016. Serie C No. 317,</w:t>
      </w:r>
      <w:r w:rsidRPr="006F1717">
        <w:rPr>
          <w:rFonts w:ascii="Verdana" w:hAnsi="Verdana"/>
          <w:i/>
          <w:color w:val="000000"/>
          <w:sz w:val="16"/>
          <w:szCs w:val="16"/>
          <w:lang w:val="es-CR"/>
        </w:rPr>
        <w:t xml:space="preserve"> </w:t>
      </w:r>
      <w:r w:rsidRPr="006F1717">
        <w:rPr>
          <w:rFonts w:ascii="Verdana" w:hAnsi="Verdana"/>
          <w:color w:val="000000"/>
          <w:sz w:val="16"/>
          <w:szCs w:val="16"/>
          <w:lang w:val="es-CR"/>
        </w:rPr>
        <w:t xml:space="preserve">disponible en: </w:t>
      </w:r>
      <w:hyperlink r:id="rId2" w:history="1">
        <w:r w:rsidRPr="006F1717">
          <w:rPr>
            <w:rStyle w:val="Hipervnculo"/>
            <w:rFonts w:ascii="Verdana" w:hAnsi="Verdana"/>
            <w:sz w:val="16"/>
            <w:szCs w:val="16"/>
            <w:lang w:val="es-CR"/>
          </w:rPr>
          <w:t>http://www.corteidh.or.cr/docs/casos/articulos/seriec_317_esp.pdf</w:t>
        </w:r>
      </w:hyperlink>
      <w:r w:rsidRPr="006F1717">
        <w:rPr>
          <w:rFonts w:ascii="Verdana" w:hAnsi="Verdana"/>
          <w:i/>
          <w:color w:val="000000"/>
          <w:sz w:val="16"/>
          <w:szCs w:val="16"/>
          <w:lang w:val="es-CR"/>
        </w:rPr>
        <w:t xml:space="preserve">. </w:t>
      </w:r>
    </w:p>
  </w:footnote>
  <w:footnote w:id="2">
    <w:p w:rsidR="00981F90" w:rsidRPr="006F1717" w:rsidRDefault="00981F9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Escritos de 18 de noviembre y 12 de diciembre de 2016, así como de 23 de enero</w:t>
      </w:r>
      <w:r w:rsidR="00E86F7B" w:rsidRPr="006F1717">
        <w:rPr>
          <w:rFonts w:ascii="Verdana" w:hAnsi="Verdana"/>
          <w:sz w:val="16"/>
          <w:szCs w:val="16"/>
          <w:lang w:val="es-CR"/>
        </w:rPr>
        <w:t xml:space="preserve"> de 2017. </w:t>
      </w:r>
    </w:p>
  </w:footnote>
  <w:footnote w:id="3">
    <w:p w:rsidR="00981F90" w:rsidRPr="006F1717" w:rsidRDefault="00981F9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Las organizaciones no gubernamentales Centro por la Justicia y el Derecho Internacional (CEJIL) y Asociación de Jueces por la Democracia (AJD).</w:t>
      </w:r>
    </w:p>
  </w:footnote>
  <w:footnote w:id="4">
    <w:p w:rsidR="00981F90" w:rsidRPr="006F1717" w:rsidRDefault="00981F9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Escritos de 7 de junio, 21 de noviembre y 21 de diciembre de</w:t>
      </w:r>
      <w:r w:rsidR="00C1634F" w:rsidRPr="006F1717">
        <w:rPr>
          <w:rFonts w:ascii="Verdana" w:hAnsi="Verdana"/>
          <w:sz w:val="16"/>
          <w:szCs w:val="16"/>
          <w:lang w:val="es-CR"/>
        </w:rPr>
        <w:t xml:space="preserve"> 2016.</w:t>
      </w:r>
    </w:p>
  </w:footnote>
  <w:footnote w:id="5">
    <w:p w:rsidR="00981F90" w:rsidRPr="006F1717" w:rsidRDefault="00981F90" w:rsidP="00DE6711">
      <w:pPr>
        <w:pStyle w:val="Textonotapie"/>
        <w:tabs>
          <w:tab w:val="left" w:pos="540"/>
        </w:tabs>
        <w:jc w:val="both"/>
        <w:rPr>
          <w:rFonts w:ascii="Verdana" w:hAnsi="Verdana"/>
          <w:b/>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Fue convocada siguiendo instrucciones del Presidente de la Corte Interamericana, mediante nota de la Secretaría</w:t>
      </w:r>
      <w:r w:rsidR="00B33AA4" w:rsidRPr="006F1717">
        <w:rPr>
          <w:rFonts w:ascii="Verdana" w:hAnsi="Verdana"/>
          <w:sz w:val="16"/>
          <w:szCs w:val="16"/>
          <w:lang w:val="es-CR"/>
        </w:rPr>
        <w:t xml:space="preserve"> de la Corte</w:t>
      </w:r>
      <w:r w:rsidRPr="006F1717">
        <w:rPr>
          <w:rFonts w:ascii="Verdana" w:hAnsi="Verdana"/>
          <w:sz w:val="16"/>
          <w:szCs w:val="16"/>
          <w:lang w:val="es-CR"/>
        </w:rPr>
        <w:t xml:space="preserve"> de 10 de enero de 2017. </w:t>
      </w:r>
    </w:p>
  </w:footnote>
  <w:footnote w:id="6">
    <w:p w:rsidR="00981F90" w:rsidRPr="006F1717" w:rsidRDefault="00981F9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 xml:space="preserve">A esta audiencia comparecieron: a) por el Estado: Ricardo Lara Watson, agente alterno y Sub Procurador General de la República; Nelson Molina Flores, agente alterno y Director Nacional de Consultoría, Derechos Humanos y Litigios Internacionales de la Procuraduría General de la República, y Roberto Ramos Bustos, </w:t>
      </w:r>
      <w:r w:rsidR="002E46CD" w:rsidRPr="006F1717">
        <w:rPr>
          <w:rFonts w:ascii="Verdana" w:hAnsi="Verdana"/>
          <w:sz w:val="16"/>
          <w:szCs w:val="16"/>
          <w:lang w:val="es-CR"/>
        </w:rPr>
        <w:t>“</w:t>
      </w:r>
      <w:r w:rsidRPr="006F1717">
        <w:rPr>
          <w:rFonts w:ascii="Verdana" w:hAnsi="Verdana"/>
          <w:sz w:val="16"/>
          <w:szCs w:val="16"/>
          <w:lang w:val="es-CR"/>
        </w:rPr>
        <w:t>consultor externo en materia de derechos humanos de la Corte Suprema de Justicia</w:t>
      </w:r>
      <w:r w:rsidR="002E46CD" w:rsidRPr="006F1717">
        <w:rPr>
          <w:rFonts w:ascii="Verdana" w:hAnsi="Verdana"/>
          <w:sz w:val="16"/>
          <w:szCs w:val="16"/>
          <w:lang w:val="es-CR"/>
        </w:rPr>
        <w:t>”</w:t>
      </w:r>
      <w:r w:rsidRPr="006F1717">
        <w:rPr>
          <w:rFonts w:ascii="Verdana" w:hAnsi="Verdana"/>
          <w:sz w:val="16"/>
          <w:szCs w:val="16"/>
          <w:lang w:val="es-CR"/>
        </w:rPr>
        <w:t xml:space="preserve">; b) por las víctimas y sus </w:t>
      </w:r>
      <w:r w:rsidRPr="006F1717">
        <w:rPr>
          <w:rFonts w:ascii="Verdana" w:hAnsi="Verdana"/>
          <w:color w:val="000000"/>
          <w:sz w:val="16"/>
          <w:szCs w:val="16"/>
          <w:shd w:val="clear" w:color="auto" w:fill="FFFFFF"/>
          <w:lang w:val="es-CR"/>
        </w:rPr>
        <w:t>representantes</w:t>
      </w:r>
      <w:r w:rsidRPr="006F1717">
        <w:rPr>
          <w:rFonts w:ascii="Verdana" w:hAnsi="Verdana"/>
          <w:sz w:val="16"/>
          <w:szCs w:val="16"/>
          <w:lang w:val="es-CR"/>
        </w:rPr>
        <w:t xml:space="preserve">: </w:t>
      </w:r>
      <w:r w:rsidR="00096102" w:rsidRPr="006F1717">
        <w:rPr>
          <w:rFonts w:ascii="Verdana" w:hAnsi="Verdana"/>
          <w:sz w:val="16"/>
          <w:szCs w:val="16"/>
          <w:lang w:val="es-CR"/>
        </w:rPr>
        <w:t xml:space="preserve">Adán </w:t>
      </w:r>
      <w:r w:rsidRPr="006F1717">
        <w:rPr>
          <w:rFonts w:ascii="Verdana" w:hAnsi="Verdana"/>
          <w:sz w:val="16"/>
          <w:szCs w:val="16"/>
          <w:lang w:val="es-CR"/>
        </w:rPr>
        <w:t>Guillermo López Lone y Tirza Flores Lanza, víctimas; Adriana Orocu por la Asociación de Jueces por la Democracia</w:t>
      </w:r>
      <w:r w:rsidR="00B33AA4" w:rsidRPr="006F1717">
        <w:rPr>
          <w:rFonts w:ascii="Verdana" w:hAnsi="Verdana"/>
          <w:sz w:val="16"/>
          <w:szCs w:val="16"/>
          <w:lang w:val="es-CR"/>
        </w:rPr>
        <w:t xml:space="preserve"> (AJD)</w:t>
      </w:r>
      <w:r w:rsidRPr="006F1717">
        <w:rPr>
          <w:rFonts w:ascii="Verdana" w:hAnsi="Verdana"/>
          <w:sz w:val="16"/>
          <w:szCs w:val="16"/>
          <w:lang w:val="es-CR"/>
        </w:rPr>
        <w:t>, y Marcia Aguiluz, Marcela Martino, Francisca Stuardo, Paola Fernández, Carlos Escoffié y Esther Beceiro por el Centro por la Justicia y el Derecho Internacional (CEJIL), y c) por la Comisión Interamericana: Silvia Serrano</w:t>
      </w:r>
      <w:r w:rsidR="002E46CD" w:rsidRPr="006F1717">
        <w:rPr>
          <w:rFonts w:ascii="Verdana" w:hAnsi="Verdana"/>
          <w:sz w:val="16"/>
          <w:szCs w:val="16"/>
          <w:lang w:val="es-CR"/>
        </w:rPr>
        <w:t xml:space="preserve"> Guzmán y Selene Sot</w:t>
      </w:r>
      <w:r w:rsidRPr="006F1717">
        <w:rPr>
          <w:rFonts w:ascii="Verdana" w:hAnsi="Verdana"/>
          <w:sz w:val="16"/>
          <w:szCs w:val="16"/>
          <w:lang w:val="es-CR"/>
        </w:rPr>
        <w:t>o, abogadas de la Secretaría Ejecutiva. En la audiencia participó el pleno de la Corte, salvo el Juez L. Patricio Pazmiño Freire quien no participó por motivos de fuerza mayor.</w:t>
      </w:r>
      <w:r w:rsidR="00C1634F" w:rsidRPr="006F1717">
        <w:rPr>
          <w:rFonts w:ascii="Verdana" w:hAnsi="Verdana"/>
          <w:sz w:val="16"/>
          <w:szCs w:val="16"/>
          <w:lang w:val="es-CR"/>
        </w:rPr>
        <w:t xml:space="preserve"> Tanto el Estado como las representantes de las víctimas presentaron escritos durante la audiencia.</w:t>
      </w:r>
    </w:p>
  </w:footnote>
  <w:footnote w:id="7">
    <w:p w:rsidR="00E86F7B" w:rsidRPr="006F1717" w:rsidRDefault="00E86F7B"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 xml:space="preserve">Los escritos del Estado son </w:t>
      </w:r>
      <w:r w:rsidR="00884C2F" w:rsidRPr="006F1717">
        <w:rPr>
          <w:rFonts w:ascii="Verdana" w:hAnsi="Verdana"/>
          <w:sz w:val="16"/>
          <w:szCs w:val="16"/>
          <w:lang w:val="es-CR"/>
        </w:rPr>
        <w:t xml:space="preserve">de </w:t>
      </w:r>
      <w:r w:rsidRPr="006F1717">
        <w:rPr>
          <w:rFonts w:ascii="Verdana" w:hAnsi="Verdana"/>
          <w:sz w:val="16"/>
          <w:szCs w:val="16"/>
          <w:lang w:val="es-CR"/>
        </w:rPr>
        <w:t>14 de marzo,</w:t>
      </w:r>
      <w:r w:rsidR="00884C2F" w:rsidRPr="006F1717">
        <w:rPr>
          <w:rFonts w:ascii="Verdana" w:hAnsi="Verdana"/>
          <w:sz w:val="16"/>
          <w:szCs w:val="16"/>
          <w:lang w:val="es-CR"/>
        </w:rPr>
        <w:t xml:space="preserve"> y</w:t>
      </w:r>
      <w:r w:rsidRPr="006F1717">
        <w:rPr>
          <w:rFonts w:ascii="Verdana" w:hAnsi="Verdana"/>
          <w:sz w:val="16"/>
          <w:szCs w:val="16"/>
          <w:lang w:val="es-CR"/>
        </w:rPr>
        <w:t xml:space="preserve"> 24 y 28 de abril de 2017</w:t>
      </w:r>
      <w:r w:rsidR="00884C2F" w:rsidRPr="006F1717">
        <w:rPr>
          <w:rFonts w:ascii="Verdana" w:hAnsi="Verdana"/>
          <w:sz w:val="16"/>
          <w:szCs w:val="16"/>
          <w:lang w:val="es-CR"/>
        </w:rPr>
        <w:t>. L</w:t>
      </w:r>
      <w:r w:rsidRPr="006F1717">
        <w:rPr>
          <w:rFonts w:ascii="Verdana" w:hAnsi="Verdana"/>
          <w:sz w:val="16"/>
          <w:szCs w:val="16"/>
          <w:lang w:val="es-CR"/>
        </w:rPr>
        <w:t xml:space="preserve">as representantes de las víctimas </w:t>
      </w:r>
      <w:r w:rsidR="00884C2F" w:rsidRPr="006F1717">
        <w:rPr>
          <w:rFonts w:ascii="Verdana" w:hAnsi="Verdana"/>
          <w:sz w:val="16"/>
          <w:szCs w:val="16"/>
          <w:lang w:val="es-CR"/>
        </w:rPr>
        <w:t xml:space="preserve">presentaron observaciones el </w:t>
      </w:r>
      <w:r w:rsidRPr="006F1717">
        <w:rPr>
          <w:rFonts w:ascii="Verdana" w:hAnsi="Verdana"/>
          <w:sz w:val="16"/>
          <w:szCs w:val="16"/>
          <w:lang w:val="es-CR"/>
        </w:rPr>
        <w:t>30 de marzo y 3 de mayo de 2017.</w:t>
      </w:r>
      <w:r w:rsidR="00884C2F" w:rsidRPr="006F1717">
        <w:rPr>
          <w:rFonts w:ascii="Verdana" w:hAnsi="Verdana"/>
          <w:sz w:val="16"/>
          <w:szCs w:val="16"/>
          <w:lang w:val="es-CR"/>
        </w:rPr>
        <w:t xml:space="preserve"> La Comisión Interamericana no presentó observaciones a los</w:t>
      </w:r>
      <w:r w:rsidR="00B33AA4" w:rsidRPr="006F1717">
        <w:rPr>
          <w:rFonts w:ascii="Verdana" w:hAnsi="Verdana"/>
          <w:sz w:val="16"/>
          <w:szCs w:val="16"/>
          <w:lang w:val="es-CR"/>
        </w:rPr>
        <w:t xml:space="preserve"> referidos</w:t>
      </w:r>
      <w:r w:rsidR="00884C2F" w:rsidRPr="006F1717">
        <w:rPr>
          <w:rFonts w:ascii="Verdana" w:hAnsi="Verdana"/>
          <w:sz w:val="16"/>
          <w:szCs w:val="16"/>
          <w:lang w:val="es-CR"/>
        </w:rPr>
        <w:t xml:space="preserve"> informes estatales. </w:t>
      </w:r>
    </w:p>
  </w:footnote>
  <w:footnote w:id="8">
    <w:p w:rsidR="00981F90" w:rsidRPr="006F1717" w:rsidRDefault="00981F9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 xml:space="preserve">Facultad que además </w:t>
      </w:r>
      <w:r w:rsidRPr="006F1717">
        <w:rPr>
          <w:rFonts w:ascii="Verdana" w:hAnsi="Verdana"/>
          <w:sz w:val="16"/>
          <w:szCs w:val="16"/>
          <w:lang w:val="es-ES"/>
        </w:rPr>
        <w:t xml:space="preserve">se desprende de lo dispuesto en los artículos 33, 62.1, 62.3 y 65 de la Convención Americana y </w:t>
      </w:r>
      <w:r w:rsidRPr="006F1717">
        <w:rPr>
          <w:rFonts w:ascii="Verdana" w:hAnsi="Verdana"/>
          <w:sz w:val="16"/>
          <w:szCs w:val="16"/>
          <w:lang w:val="es-CR"/>
        </w:rPr>
        <w:t>30 de su Estatuto y se encuentra regulada en el artículo 69 de su Reglamento.</w:t>
      </w:r>
    </w:p>
  </w:footnote>
  <w:footnote w:id="9">
    <w:p w:rsidR="00981F90" w:rsidRPr="006F1717" w:rsidRDefault="00981F90" w:rsidP="00DE6711">
      <w:pPr>
        <w:pStyle w:val="Textonotapie"/>
        <w:tabs>
          <w:tab w:val="left" w:pos="540"/>
        </w:tabs>
        <w:jc w:val="both"/>
        <w:rPr>
          <w:rFonts w:ascii="Verdana" w:hAnsi="Verdana"/>
          <w:sz w:val="16"/>
          <w:szCs w:val="16"/>
          <w:lang w:val="es-ES_tradnl"/>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ES_tradnl"/>
        </w:rPr>
        <w:tab/>
        <w:t xml:space="preserve">No se ordenó esta medida respecto de la víctima </w:t>
      </w:r>
      <w:r w:rsidRPr="006F1717">
        <w:rPr>
          <w:rFonts w:ascii="Verdana" w:hAnsi="Verdana"/>
          <w:sz w:val="16"/>
          <w:szCs w:val="16"/>
          <w:lang w:val="es-CR"/>
        </w:rPr>
        <w:t>Ramón Enrique Barrios Maldonado</w:t>
      </w:r>
      <w:r w:rsidR="003A78D8">
        <w:rPr>
          <w:rFonts w:ascii="Verdana" w:hAnsi="Verdana"/>
          <w:sz w:val="16"/>
          <w:szCs w:val="16"/>
          <w:lang w:val="es-CR"/>
        </w:rPr>
        <w:t>,</w:t>
      </w:r>
      <w:r w:rsidRPr="006F1717">
        <w:rPr>
          <w:rFonts w:ascii="Verdana" w:hAnsi="Verdana"/>
          <w:sz w:val="16"/>
          <w:szCs w:val="16"/>
          <w:lang w:val="es-CR"/>
        </w:rPr>
        <w:t xml:space="preserve"> ya que el 24 de agosto de 2011 el Consejo de la Carrera Judicial del Poder Judicial de Honduras decidió dejar sin valor y efecto el despido del señor Barrios resuelto por la Corte Suprema de Justicia el 16 de junio de 2010 y, por tanto, se le mantuvo en el cargo de juez de sentencia. </w:t>
      </w:r>
      <w:r w:rsidRPr="006F1717">
        <w:rPr>
          <w:rFonts w:ascii="Verdana" w:hAnsi="Verdana"/>
          <w:i/>
          <w:sz w:val="16"/>
          <w:szCs w:val="16"/>
          <w:lang w:val="es-CR"/>
        </w:rPr>
        <w:t xml:space="preserve">Cfr. Caso López Lone y otros Vs. Honduras, supra </w:t>
      </w:r>
      <w:r w:rsidRPr="006F1717">
        <w:rPr>
          <w:rFonts w:ascii="Verdana" w:hAnsi="Verdana"/>
          <w:sz w:val="16"/>
          <w:szCs w:val="16"/>
          <w:lang w:val="es-CR"/>
        </w:rPr>
        <w:t>nota 1, párr. 14</w:t>
      </w:r>
      <w:r w:rsidR="009D3954" w:rsidRPr="006F1717">
        <w:rPr>
          <w:rFonts w:ascii="Verdana" w:hAnsi="Verdana"/>
          <w:sz w:val="16"/>
          <w:szCs w:val="16"/>
          <w:lang w:val="es-CR"/>
        </w:rPr>
        <w:t>7</w:t>
      </w:r>
      <w:r w:rsidRPr="006F1717">
        <w:rPr>
          <w:rFonts w:ascii="Verdana" w:hAnsi="Verdana"/>
          <w:sz w:val="16"/>
          <w:szCs w:val="16"/>
          <w:lang w:val="es-CR"/>
        </w:rPr>
        <w:t xml:space="preserve">. </w:t>
      </w:r>
    </w:p>
  </w:footnote>
  <w:footnote w:id="10">
    <w:p w:rsidR="00981F90" w:rsidRPr="006F1717" w:rsidRDefault="00981F9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Los argumentos</w:t>
      </w:r>
      <w:r w:rsidR="001028A3" w:rsidRPr="006F1717">
        <w:rPr>
          <w:rFonts w:ascii="Verdana" w:hAnsi="Verdana"/>
          <w:sz w:val="16"/>
          <w:szCs w:val="16"/>
          <w:lang w:val="es-CR"/>
        </w:rPr>
        <w:t xml:space="preserve"> ahí</w:t>
      </w:r>
      <w:r w:rsidRPr="006F1717">
        <w:rPr>
          <w:rFonts w:ascii="Verdana" w:hAnsi="Verdana"/>
          <w:sz w:val="16"/>
          <w:szCs w:val="16"/>
          <w:lang w:val="es-CR"/>
        </w:rPr>
        <w:t xml:space="preserve"> expuestos por las víctimas son similares a los expuestos por sus representantes en </w:t>
      </w:r>
      <w:r w:rsidR="00481355">
        <w:rPr>
          <w:rFonts w:ascii="Verdana" w:hAnsi="Verdana"/>
          <w:sz w:val="16"/>
          <w:szCs w:val="16"/>
          <w:lang w:val="es-CR"/>
        </w:rPr>
        <w:t xml:space="preserve">el </w:t>
      </w:r>
      <w:r w:rsidRPr="006F1717">
        <w:rPr>
          <w:rFonts w:ascii="Verdana" w:hAnsi="Verdana"/>
          <w:sz w:val="16"/>
          <w:szCs w:val="16"/>
          <w:lang w:val="es-CR"/>
        </w:rPr>
        <w:t>escrito de 21 de diciembre de 2016</w:t>
      </w:r>
      <w:r w:rsidR="00481355">
        <w:rPr>
          <w:rFonts w:ascii="Verdana" w:hAnsi="Verdana"/>
          <w:sz w:val="16"/>
          <w:szCs w:val="16"/>
          <w:lang w:val="es-CR"/>
        </w:rPr>
        <w:t xml:space="preserve"> presentado a esta Corte</w:t>
      </w:r>
      <w:r w:rsidRPr="006F1717">
        <w:rPr>
          <w:rFonts w:ascii="Verdana" w:hAnsi="Verdana"/>
          <w:sz w:val="16"/>
          <w:szCs w:val="16"/>
          <w:lang w:val="es-CR"/>
        </w:rPr>
        <w:t xml:space="preserve"> (</w:t>
      </w:r>
      <w:r w:rsidRPr="006F1717">
        <w:rPr>
          <w:rFonts w:ascii="Verdana" w:hAnsi="Verdana"/>
          <w:i/>
          <w:sz w:val="16"/>
          <w:szCs w:val="16"/>
          <w:lang w:val="es-CR"/>
        </w:rPr>
        <w:t>infra</w:t>
      </w:r>
      <w:r w:rsidRPr="006F1717">
        <w:rPr>
          <w:rFonts w:ascii="Verdana" w:hAnsi="Verdana"/>
          <w:sz w:val="16"/>
          <w:szCs w:val="16"/>
          <w:lang w:val="es-CR"/>
        </w:rPr>
        <w:t xml:space="preserve"> Considerando</w:t>
      </w:r>
      <w:r w:rsidR="004B7DB2" w:rsidRPr="006F1717">
        <w:rPr>
          <w:rFonts w:ascii="Verdana" w:hAnsi="Verdana"/>
          <w:sz w:val="16"/>
          <w:szCs w:val="16"/>
          <w:lang w:val="es-CR"/>
        </w:rPr>
        <w:t>s 6 y 11</w:t>
      </w:r>
      <w:r w:rsidRPr="006F1717">
        <w:rPr>
          <w:rFonts w:ascii="Verdana" w:hAnsi="Verdana"/>
          <w:sz w:val="16"/>
          <w:szCs w:val="16"/>
          <w:lang w:val="es-CR"/>
        </w:rPr>
        <w:t>).</w:t>
      </w:r>
    </w:p>
  </w:footnote>
  <w:footnote w:id="11">
    <w:p w:rsidR="00F25848" w:rsidRPr="006F1717" w:rsidRDefault="00F25848" w:rsidP="00DE6711">
      <w:pPr>
        <w:pStyle w:val="Textonotapie"/>
        <w:tabs>
          <w:tab w:val="left" w:pos="540"/>
        </w:tabs>
        <w:jc w:val="both"/>
        <w:rPr>
          <w:rFonts w:ascii="Verdana" w:hAnsi="Verdana"/>
          <w:sz w:val="16"/>
          <w:szCs w:val="16"/>
          <w:lang w:val="es-ES_tradnl"/>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ES_tradnl"/>
        </w:rPr>
        <w:tab/>
      </w:r>
      <w:r w:rsidRPr="006F1717">
        <w:rPr>
          <w:rFonts w:ascii="Verdana" w:hAnsi="Verdana"/>
          <w:sz w:val="16"/>
          <w:szCs w:val="16"/>
          <w:lang w:val="es-CR"/>
        </w:rPr>
        <w:t xml:space="preserve">Honduras informó que, cinco días después, se procedió “a congelar” de la cuenta que mantiene el Poder Judicial con determinada institución bancaria la cantidad necesaria para garantizar el pago de la referida reparación. El Estado aportó sustento documental respecto de </w:t>
      </w:r>
      <w:r w:rsidR="001028A3" w:rsidRPr="006F1717">
        <w:rPr>
          <w:rFonts w:ascii="Verdana" w:hAnsi="Verdana"/>
          <w:sz w:val="16"/>
          <w:szCs w:val="16"/>
          <w:lang w:val="es-CR"/>
        </w:rPr>
        <w:t>dicha</w:t>
      </w:r>
      <w:r w:rsidRPr="006F1717">
        <w:rPr>
          <w:rFonts w:ascii="Verdana" w:hAnsi="Verdana"/>
          <w:sz w:val="16"/>
          <w:szCs w:val="16"/>
          <w:lang w:val="es-CR"/>
        </w:rPr>
        <w:t xml:space="preserve"> </w:t>
      </w:r>
      <w:r w:rsidR="00481355">
        <w:rPr>
          <w:rFonts w:ascii="Verdana" w:hAnsi="Verdana"/>
          <w:sz w:val="16"/>
          <w:szCs w:val="16"/>
          <w:lang w:val="es-CR"/>
        </w:rPr>
        <w:t>reserva</w:t>
      </w:r>
      <w:r w:rsidRPr="006F1717">
        <w:rPr>
          <w:rFonts w:ascii="Verdana" w:hAnsi="Verdana"/>
          <w:sz w:val="16"/>
          <w:szCs w:val="16"/>
          <w:lang w:val="es-CR"/>
        </w:rPr>
        <w:t xml:space="preserve">. </w:t>
      </w:r>
    </w:p>
  </w:footnote>
  <w:footnote w:id="12">
    <w:p w:rsidR="00B63C33" w:rsidRPr="006F1717" w:rsidRDefault="00B63C33" w:rsidP="00DE6711">
      <w:pPr>
        <w:tabs>
          <w:tab w:val="left" w:pos="540"/>
        </w:tabs>
        <w:autoSpaceDE w:val="0"/>
        <w:autoSpaceDN w:val="0"/>
        <w:adjustRightInd w:val="0"/>
        <w:spacing w:after="0" w:line="240" w:lineRule="auto"/>
        <w:jc w:val="both"/>
        <w:rPr>
          <w:rFonts w:ascii="Verdana" w:hAnsi="Verdana"/>
          <w:b/>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Sostuvieron que si el Estado cuenta con la capacidad financiera para asumir las indemnizaciones por no reintegro</w:t>
      </w:r>
      <w:r w:rsidR="001028A3" w:rsidRPr="006F1717">
        <w:rPr>
          <w:rFonts w:ascii="Verdana" w:hAnsi="Verdana"/>
          <w:sz w:val="16"/>
          <w:szCs w:val="16"/>
          <w:lang w:val="es-CR"/>
        </w:rPr>
        <w:t xml:space="preserve"> de las víctimas</w:t>
      </w:r>
      <w:r w:rsidRPr="006F1717">
        <w:rPr>
          <w:rFonts w:ascii="Verdana" w:hAnsi="Verdana"/>
          <w:sz w:val="16"/>
          <w:szCs w:val="16"/>
          <w:lang w:val="es-CR"/>
        </w:rPr>
        <w:t>, “dichos montos podrían ser utilizados para la creación de nue</w:t>
      </w:r>
      <w:r w:rsidR="003A359F" w:rsidRPr="006F1717">
        <w:rPr>
          <w:rFonts w:ascii="Verdana" w:hAnsi="Verdana"/>
          <w:sz w:val="16"/>
          <w:szCs w:val="16"/>
          <w:lang w:val="es-CR"/>
        </w:rPr>
        <w:t>vas plazas en el Poder Judicial</w:t>
      </w:r>
      <w:r w:rsidRPr="006F1717">
        <w:rPr>
          <w:rFonts w:ascii="Verdana" w:hAnsi="Verdana"/>
          <w:sz w:val="16"/>
          <w:szCs w:val="16"/>
          <w:lang w:val="es-CR"/>
        </w:rPr>
        <w:t xml:space="preserve">”. </w:t>
      </w:r>
      <w:r w:rsidR="003A359F" w:rsidRPr="006F1717">
        <w:rPr>
          <w:rFonts w:ascii="Verdana" w:hAnsi="Verdana"/>
          <w:sz w:val="16"/>
          <w:szCs w:val="16"/>
          <w:lang w:val="es-CR"/>
        </w:rPr>
        <w:t xml:space="preserve">También </w:t>
      </w:r>
      <w:r w:rsidRPr="006F1717">
        <w:rPr>
          <w:rFonts w:ascii="Verdana" w:hAnsi="Verdana"/>
          <w:sz w:val="16"/>
          <w:szCs w:val="16"/>
          <w:lang w:val="es-CR"/>
        </w:rPr>
        <w:t xml:space="preserve">indicaron que “si el Estado tiene la capacidad presupuestal para crear una jurisdicción nacional para atender la problemática de corrupción en el país, también la tiene para crear las plazas acordes a los términos de la [S]entencia”. </w:t>
      </w:r>
    </w:p>
  </w:footnote>
  <w:footnote w:id="13">
    <w:p w:rsidR="00981F90" w:rsidRPr="006F1717" w:rsidRDefault="00981F9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En este sentido, las representantes señalaron que “el artículo 313 […] de la Constitución hondureña, le confiere a la [Corte Suprema de Justicia] la facultad de: ‘[c]rear, suprimir, fusionar o trasladar los Juzgados, Cortes de Apelaciones y demás dependencias […]’”.</w:t>
      </w:r>
    </w:p>
  </w:footnote>
  <w:footnote w:id="14">
    <w:p w:rsidR="00C31390" w:rsidRPr="006F1717" w:rsidRDefault="00C3139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También indicaron que, además, se les informó que “existen 4 plazas vacantes de Jueces de Letras, 2 de ell</w:t>
      </w:r>
      <w:r w:rsidR="00076C3D" w:rsidRPr="006F1717">
        <w:rPr>
          <w:rFonts w:ascii="Verdana" w:hAnsi="Verdana"/>
          <w:sz w:val="16"/>
          <w:szCs w:val="16"/>
          <w:lang w:val="es-CR"/>
        </w:rPr>
        <w:t>[a]</w:t>
      </w:r>
      <w:r w:rsidRPr="006F1717">
        <w:rPr>
          <w:rFonts w:ascii="Verdana" w:hAnsi="Verdana"/>
          <w:sz w:val="16"/>
          <w:szCs w:val="16"/>
          <w:lang w:val="es-CR"/>
        </w:rPr>
        <w:t>s en San Pedro Sula”.</w:t>
      </w:r>
    </w:p>
  </w:footnote>
  <w:footnote w:id="15">
    <w:p w:rsidR="003C624F" w:rsidRPr="006F1717" w:rsidRDefault="003C624F"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 xml:space="preserve">En ambos escritos de noviembre y diciembre de 2016, las </w:t>
      </w:r>
      <w:r w:rsidRPr="006F1717">
        <w:rPr>
          <w:rFonts w:ascii="Verdana" w:hAnsi="Verdana"/>
          <w:i/>
          <w:sz w:val="16"/>
          <w:szCs w:val="16"/>
          <w:lang w:val="es-CR"/>
        </w:rPr>
        <w:t>representantes</w:t>
      </w:r>
      <w:r w:rsidRPr="006F1717">
        <w:rPr>
          <w:rFonts w:ascii="Verdana" w:hAnsi="Verdana"/>
          <w:sz w:val="16"/>
          <w:szCs w:val="16"/>
          <w:lang w:val="es-CR"/>
        </w:rPr>
        <w:t xml:space="preserve"> de las víctimas solicitaron que se realizara una audiencia pública de supervisión, </w:t>
      </w:r>
      <w:r w:rsidRPr="006F1717">
        <w:rPr>
          <w:rFonts w:ascii="Verdana" w:hAnsi="Verdana"/>
          <w:bCs/>
          <w:sz w:val="16"/>
          <w:szCs w:val="16"/>
          <w:lang w:val="es-CR"/>
        </w:rPr>
        <w:t xml:space="preserve">con base en que “no </w:t>
      </w:r>
      <w:proofErr w:type="gramStart"/>
      <w:r w:rsidRPr="006F1717">
        <w:rPr>
          <w:rFonts w:ascii="Verdana" w:hAnsi="Verdana"/>
          <w:bCs/>
          <w:sz w:val="16"/>
          <w:szCs w:val="16"/>
          <w:lang w:val="es-CR"/>
        </w:rPr>
        <w:t>c[</w:t>
      </w:r>
      <w:proofErr w:type="gramEnd"/>
      <w:r w:rsidRPr="006F1717">
        <w:rPr>
          <w:rFonts w:ascii="Verdana" w:hAnsi="Verdana"/>
          <w:bCs/>
          <w:sz w:val="16"/>
          <w:szCs w:val="16"/>
          <w:lang w:val="es-CR"/>
        </w:rPr>
        <w:t xml:space="preserve">ontaban] con canales abiertos de diálogo con las autoridades hondureñas, quienes han asumido que no tienen la obligación de cumplir con el reintegro e insisten en reducir la sentencia a un mero pago económico”. </w:t>
      </w:r>
    </w:p>
  </w:footnote>
  <w:footnote w:id="16">
    <w:p w:rsidR="00847E85" w:rsidRPr="006F1717" w:rsidRDefault="00847E85"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Solicitaron información</w:t>
      </w:r>
      <w:r w:rsidR="00F64595" w:rsidRPr="006F1717">
        <w:rPr>
          <w:rFonts w:ascii="Verdana" w:hAnsi="Verdana"/>
          <w:sz w:val="16"/>
          <w:szCs w:val="16"/>
          <w:lang w:val="es-CR"/>
        </w:rPr>
        <w:t>, entre otros,</w:t>
      </w:r>
      <w:r w:rsidRPr="006F1717">
        <w:rPr>
          <w:rFonts w:ascii="Verdana" w:hAnsi="Verdana"/>
          <w:sz w:val="16"/>
          <w:szCs w:val="16"/>
          <w:lang w:val="es-CR"/>
        </w:rPr>
        <w:t xml:space="preserve"> sobre: el listado de las plazas de jueces de </w:t>
      </w:r>
      <w:r w:rsidR="00602995" w:rsidRPr="006F1717">
        <w:rPr>
          <w:rFonts w:ascii="Verdana" w:hAnsi="Verdana"/>
          <w:sz w:val="16"/>
          <w:szCs w:val="16"/>
          <w:lang w:val="es-CR"/>
        </w:rPr>
        <w:t xml:space="preserve">paz, de </w:t>
      </w:r>
      <w:r w:rsidRPr="006F1717">
        <w:rPr>
          <w:rFonts w:ascii="Verdana" w:hAnsi="Verdana"/>
          <w:sz w:val="16"/>
          <w:szCs w:val="16"/>
          <w:lang w:val="es-CR"/>
        </w:rPr>
        <w:t>letras, de sentencia, de ejecución y magistrados propietarios e integrantes de cortes de apelaciones</w:t>
      </w:r>
      <w:r w:rsidR="00F64595" w:rsidRPr="006F1717">
        <w:rPr>
          <w:rFonts w:ascii="Verdana" w:hAnsi="Verdana"/>
          <w:sz w:val="16"/>
          <w:szCs w:val="16"/>
          <w:lang w:val="es-CR"/>
        </w:rPr>
        <w:t xml:space="preserve"> </w:t>
      </w:r>
      <w:r w:rsidRPr="006F1717">
        <w:rPr>
          <w:rFonts w:ascii="Verdana" w:hAnsi="Verdana"/>
          <w:sz w:val="16"/>
          <w:szCs w:val="16"/>
          <w:lang w:val="es-CR"/>
        </w:rPr>
        <w:t>que existen en San Pedro Sula y que “</w:t>
      </w:r>
      <w:r w:rsidR="00602995" w:rsidRPr="006F1717">
        <w:rPr>
          <w:rFonts w:ascii="Verdana" w:hAnsi="Verdana"/>
          <w:sz w:val="16"/>
          <w:szCs w:val="16"/>
          <w:lang w:val="es-CR"/>
        </w:rPr>
        <w:t xml:space="preserve">hayan sido creadas desde el año 2009 hasta [16 de enero de 2017]”. </w:t>
      </w:r>
    </w:p>
  </w:footnote>
  <w:footnote w:id="17">
    <w:p w:rsidR="002E46CD" w:rsidRPr="006F1717" w:rsidRDefault="002E46CD"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00F06EB5" w:rsidRPr="006F1717">
        <w:rPr>
          <w:rFonts w:ascii="Verdana" w:hAnsi="Verdana"/>
          <w:sz w:val="16"/>
          <w:szCs w:val="16"/>
          <w:lang w:val="es-CR"/>
        </w:rPr>
        <w:t xml:space="preserve"> </w:t>
      </w:r>
      <w:r w:rsidR="00F06EB5" w:rsidRPr="006F1717">
        <w:rPr>
          <w:rFonts w:ascii="Verdana" w:hAnsi="Verdana"/>
          <w:sz w:val="16"/>
          <w:szCs w:val="16"/>
          <w:lang w:val="es-CR"/>
        </w:rPr>
        <w:tab/>
        <w:t>A</w:t>
      </w:r>
      <w:r w:rsidRPr="006F1717">
        <w:rPr>
          <w:rFonts w:ascii="Verdana" w:hAnsi="Verdana"/>
          <w:sz w:val="16"/>
          <w:szCs w:val="16"/>
          <w:lang w:val="es-CR"/>
        </w:rPr>
        <w:t>portaron</w:t>
      </w:r>
      <w:r w:rsidR="00602995" w:rsidRPr="006F1717">
        <w:rPr>
          <w:rFonts w:ascii="Verdana" w:hAnsi="Verdana"/>
          <w:sz w:val="16"/>
          <w:szCs w:val="16"/>
          <w:lang w:val="es-CR"/>
        </w:rPr>
        <w:t xml:space="preserve"> también</w:t>
      </w:r>
      <w:r w:rsidRPr="006F1717">
        <w:rPr>
          <w:rFonts w:ascii="Verdana" w:hAnsi="Verdana"/>
          <w:sz w:val="16"/>
          <w:szCs w:val="16"/>
          <w:lang w:val="es-CR"/>
        </w:rPr>
        <w:t xml:space="preserve"> copia del “Plan Operativo Anual 2017” del Poder Judicial y cuatro notas de prensa.</w:t>
      </w:r>
    </w:p>
  </w:footnote>
  <w:footnote w:id="18">
    <w:p w:rsidR="008A1A09" w:rsidRPr="006F1717" w:rsidRDefault="008A1A09"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 xml:space="preserve">Indicaron que el Presidente de la Corte Suprema de Justicia realizó recientes afirmaciones consignadas por la prensa que </w:t>
      </w:r>
      <w:r w:rsidR="003C491E" w:rsidRPr="006F1717">
        <w:rPr>
          <w:rFonts w:ascii="Verdana" w:hAnsi="Verdana"/>
          <w:sz w:val="16"/>
          <w:szCs w:val="16"/>
          <w:lang w:val="es-CR"/>
        </w:rPr>
        <w:t>“</w:t>
      </w:r>
      <w:r w:rsidRPr="006F1717">
        <w:rPr>
          <w:rFonts w:ascii="Verdana" w:hAnsi="Verdana"/>
          <w:sz w:val="16"/>
          <w:szCs w:val="16"/>
          <w:lang w:val="es-CR"/>
        </w:rPr>
        <w:t>demuestra</w:t>
      </w:r>
      <w:r w:rsidR="003C491E" w:rsidRPr="006F1717">
        <w:rPr>
          <w:rFonts w:ascii="Verdana" w:hAnsi="Verdana"/>
          <w:sz w:val="16"/>
          <w:szCs w:val="16"/>
          <w:lang w:val="es-CR"/>
        </w:rPr>
        <w:t>[</w:t>
      </w:r>
      <w:r w:rsidRPr="006F1717">
        <w:rPr>
          <w:rFonts w:ascii="Verdana" w:hAnsi="Verdana"/>
          <w:sz w:val="16"/>
          <w:szCs w:val="16"/>
          <w:lang w:val="es-CR"/>
        </w:rPr>
        <w:t>n</w:t>
      </w:r>
      <w:r w:rsidR="003C491E" w:rsidRPr="006F1717">
        <w:rPr>
          <w:rFonts w:ascii="Verdana" w:hAnsi="Verdana"/>
          <w:sz w:val="16"/>
          <w:szCs w:val="16"/>
          <w:lang w:val="es-CR"/>
        </w:rPr>
        <w:t>]</w:t>
      </w:r>
      <w:r w:rsidRPr="006F1717">
        <w:rPr>
          <w:rFonts w:ascii="Verdana" w:hAnsi="Verdana"/>
          <w:sz w:val="16"/>
          <w:szCs w:val="16"/>
          <w:lang w:val="es-CR"/>
        </w:rPr>
        <w:t xml:space="preserve"> que no existe la alegada imposibilidad de reincorporar</w:t>
      </w:r>
      <w:r w:rsidR="003C491E" w:rsidRPr="006F1717">
        <w:rPr>
          <w:rFonts w:ascii="Verdana" w:hAnsi="Verdana"/>
          <w:sz w:val="16"/>
          <w:szCs w:val="16"/>
          <w:lang w:val="es-CR"/>
        </w:rPr>
        <w:t>”</w:t>
      </w:r>
      <w:r w:rsidRPr="006F1717">
        <w:rPr>
          <w:rFonts w:ascii="Verdana" w:hAnsi="Verdana"/>
          <w:sz w:val="16"/>
          <w:szCs w:val="16"/>
          <w:lang w:val="es-CR"/>
        </w:rPr>
        <w:t xml:space="preserve"> a las víctimas. Al respecto, aportaron </w:t>
      </w:r>
      <w:r w:rsidR="00175494">
        <w:rPr>
          <w:rFonts w:ascii="Verdana" w:hAnsi="Verdana"/>
          <w:sz w:val="16"/>
          <w:szCs w:val="16"/>
          <w:lang w:val="es-CR"/>
        </w:rPr>
        <w:t xml:space="preserve">un artículo periodístico, publicado el </w:t>
      </w:r>
      <w:r w:rsidRPr="006F1717">
        <w:rPr>
          <w:rFonts w:ascii="Verdana" w:hAnsi="Verdana"/>
          <w:sz w:val="16"/>
          <w:szCs w:val="16"/>
          <w:lang w:val="es-CR"/>
        </w:rPr>
        <w:t>19 de febrero de 2017</w:t>
      </w:r>
      <w:r w:rsidR="00175494">
        <w:rPr>
          <w:rFonts w:ascii="Verdana" w:hAnsi="Verdana"/>
          <w:sz w:val="16"/>
          <w:szCs w:val="16"/>
          <w:lang w:val="es-CR"/>
        </w:rPr>
        <w:t xml:space="preserve"> en el Diario La Prensa</w:t>
      </w:r>
      <w:r w:rsidRPr="006F1717">
        <w:rPr>
          <w:rFonts w:ascii="Verdana" w:hAnsi="Verdana"/>
          <w:sz w:val="16"/>
          <w:szCs w:val="16"/>
          <w:lang w:val="es-CR"/>
        </w:rPr>
        <w:t xml:space="preserve">, en </w:t>
      </w:r>
      <w:r w:rsidR="00175494">
        <w:rPr>
          <w:rFonts w:ascii="Verdana" w:hAnsi="Verdana"/>
          <w:sz w:val="16"/>
          <w:szCs w:val="16"/>
          <w:lang w:val="es-CR"/>
        </w:rPr>
        <w:t>el</w:t>
      </w:r>
      <w:r w:rsidRPr="006F1717">
        <w:rPr>
          <w:rFonts w:ascii="Verdana" w:hAnsi="Verdana"/>
          <w:sz w:val="16"/>
          <w:szCs w:val="16"/>
          <w:lang w:val="es-CR"/>
        </w:rPr>
        <w:t xml:space="preserve"> cual se sostiene que el referido jerarca señaló que en su primer año de gestión “[u]no de los problemas que encontramos es que había muchas plazas vacantes de jueces y magistrados y juzgados y tribunales, así como cortes de apelaciones a medio funcionar” y que “[e]n ese sentido, se procedió a nombrar de manera interna y como lo establece la ley, a algunos jueces y magistrados que reúnen los requisitos”.</w:t>
      </w:r>
    </w:p>
  </w:footnote>
  <w:footnote w:id="19">
    <w:p w:rsidR="007C0E70" w:rsidRPr="006F1717" w:rsidRDefault="007C0E7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Pr="006F1717">
        <w:rPr>
          <w:rFonts w:ascii="Verdana" w:hAnsi="Verdana"/>
          <w:i/>
          <w:sz w:val="16"/>
          <w:szCs w:val="16"/>
          <w:lang w:val="es-CR"/>
        </w:rPr>
        <w:t xml:space="preserve">Cfr. </w:t>
      </w:r>
      <w:r w:rsidRPr="006F1717">
        <w:rPr>
          <w:rFonts w:ascii="Verdana" w:hAnsi="Verdana"/>
          <w:i/>
          <w:color w:val="000000"/>
          <w:sz w:val="16"/>
          <w:szCs w:val="16"/>
          <w:lang w:val="es-CR"/>
        </w:rPr>
        <w:t xml:space="preserve">Caso López Lone y otros Vs. Honduras. Excepción Preliminar, Fondo, Reparaciones y Costas, supra </w:t>
      </w:r>
      <w:r w:rsidRPr="006F1717">
        <w:rPr>
          <w:rFonts w:ascii="Verdana" w:hAnsi="Verdana"/>
          <w:color w:val="000000"/>
          <w:sz w:val="16"/>
          <w:szCs w:val="16"/>
          <w:lang w:val="es-CR"/>
        </w:rPr>
        <w:t>nota 1, párr. 29</w:t>
      </w:r>
      <w:r w:rsidR="006D5DD4" w:rsidRPr="006F1717">
        <w:rPr>
          <w:rFonts w:ascii="Verdana" w:hAnsi="Verdana"/>
          <w:color w:val="000000"/>
          <w:sz w:val="16"/>
          <w:szCs w:val="16"/>
          <w:lang w:val="es-CR"/>
        </w:rPr>
        <w:t>7</w:t>
      </w:r>
      <w:r w:rsidRPr="006F1717">
        <w:rPr>
          <w:rFonts w:ascii="Verdana" w:hAnsi="Verdana"/>
          <w:sz w:val="16"/>
          <w:szCs w:val="16"/>
          <w:lang w:val="es-CR"/>
        </w:rPr>
        <w:t>.</w:t>
      </w:r>
    </w:p>
  </w:footnote>
  <w:footnote w:id="20">
    <w:p w:rsidR="007C0E70" w:rsidRPr="006F1717" w:rsidRDefault="007C0E7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Pr="006F1717">
        <w:rPr>
          <w:rFonts w:ascii="Verdana" w:hAnsi="Verdana"/>
          <w:i/>
          <w:sz w:val="16"/>
          <w:szCs w:val="16"/>
          <w:lang w:val="es-CR"/>
        </w:rPr>
        <w:t xml:space="preserve">Cfr. </w:t>
      </w:r>
      <w:r w:rsidRPr="006F1717">
        <w:rPr>
          <w:rFonts w:ascii="Verdana" w:hAnsi="Verdana"/>
          <w:i/>
          <w:color w:val="000000"/>
          <w:sz w:val="16"/>
          <w:szCs w:val="16"/>
          <w:lang w:val="es-CR"/>
        </w:rPr>
        <w:t xml:space="preserve">Caso López Lone y otros Vs. Honduras. Excepción Preliminar, Fondo, Reparaciones y Costas, supra </w:t>
      </w:r>
      <w:r w:rsidRPr="006F1717">
        <w:rPr>
          <w:rFonts w:ascii="Verdana" w:hAnsi="Verdana"/>
          <w:color w:val="000000"/>
          <w:sz w:val="16"/>
          <w:szCs w:val="16"/>
          <w:lang w:val="es-CR"/>
        </w:rPr>
        <w:t>nota 1, párrs. 296 y 297.</w:t>
      </w:r>
    </w:p>
  </w:footnote>
  <w:footnote w:id="21">
    <w:p w:rsidR="000B5D44" w:rsidRPr="006F1717" w:rsidRDefault="000B5D44"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Pr="006F1717">
        <w:rPr>
          <w:rFonts w:ascii="Verdana" w:hAnsi="Verdana"/>
          <w:i/>
          <w:sz w:val="16"/>
          <w:szCs w:val="16"/>
          <w:lang w:val="es-CR"/>
        </w:rPr>
        <w:t>Cfr. Caso Castillo Petruzzi y otros Vs. Perú. Supervisión de Cumplimiento de Sentencia.</w:t>
      </w:r>
      <w:r w:rsidRPr="006F1717">
        <w:rPr>
          <w:rFonts w:ascii="Verdana" w:hAnsi="Verdana"/>
          <w:sz w:val="16"/>
          <w:szCs w:val="16"/>
          <w:lang w:val="es-CR"/>
        </w:rPr>
        <w:t xml:space="preserve"> Resolución de la Corte Interamericana de Derechos Humanos de 17 de noviembre de 1999, Considerando tercero, y </w:t>
      </w:r>
      <w:r w:rsidR="00DD5273" w:rsidRPr="006F1717">
        <w:rPr>
          <w:rFonts w:ascii="Verdana" w:hAnsi="Verdana"/>
          <w:i/>
          <w:sz w:val="16"/>
          <w:szCs w:val="16"/>
          <w:lang w:val="es-CR"/>
        </w:rPr>
        <w:t>Caso del Penal Miguel Castro C</w:t>
      </w:r>
      <w:r w:rsidR="001C3747">
        <w:rPr>
          <w:rFonts w:ascii="Verdana" w:hAnsi="Verdana"/>
          <w:i/>
          <w:sz w:val="16"/>
          <w:szCs w:val="16"/>
          <w:lang w:val="es-CR"/>
        </w:rPr>
        <w:t>astro Vs. Perú. Supervisión de cumplimiento de s</w:t>
      </w:r>
      <w:r w:rsidR="00DD5273" w:rsidRPr="006F1717">
        <w:rPr>
          <w:rFonts w:ascii="Verdana" w:hAnsi="Verdana"/>
          <w:i/>
          <w:sz w:val="16"/>
          <w:szCs w:val="16"/>
          <w:lang w:val="es-CR"/>
        </w:rPr>
        <w:t xml:space="preserve">entencia. </w:t>
      </w:r>
      <w:r w:rsidR="00DD5273" w:rsidRPr="006F1717">
        <w:rPr>
          <w:rFonts w:ascii="Verdana" w:hAnsi="Verdana"/>
          <w:sz w:val="16"/>
          <w:szCs w:val="16"/>
          <w:lang w:val="es-CR"/>
        </w:rPr>
        <w:t>Resolución de la Corte Interamericana de Derechos Humanos de 9 de febrero de 2017, Considerando trigésimo octavo.</w:t>
      </w:r>
      <w:r w:rsidRPr="006F1717">
        <w:rPr>
          <w:rFonts w:ascii="Verdana" w:hAnsi="Verdana"/>
          <w:sz w:val="16"/>
          <w:szCs w:val="16"/>
          <w:lang w:val="es-CR"/>
        </w:rPr>
        <w:t xml:space="preserve"> </w:t>
      </w:r>
    </w:p>
  </w:footnote>
  <w:footnote w:id="22">
    <w:p w:rsidR="000B5D44" w:rsidRPr="006F1717" w:rsidRDefault="000B5D44" w:rsidP="00DE6711">
      <w:pPr>
        <w:pStyle w:val="Textonotapie"/>
        <w:tabs>
          <w:tab w:val="left" w:pos="540"/>
          <w:tab w:val="left" w:pos="567"/>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ab/>
      </w:r>
      <w:r w:rsidRPr="006F1717">
        <w:rPr>
          <w:rFonts w:ascii="Verdana" w:hAnsi="Verdana"/>
          <w:i/>
          <w:sz w:val="16"/>
          <w:szCs w:val="16"/>
          <w:lang w:val="es-CR"/>
        </w:rPr>
        <w:t>Cfr. Caso Castillo Petruzzi</w:t>
      </w:r>
      <w:r w:rsidR="001C3747">
        <w:rPr>
          <w:rFonts w:ascii="Verdana" w:hAnsi="Verdana"/>
          <w:i/>
          <w:sz w:val="16"/>
          <w:szCs w:val="16"/>
          <w:lang w:val="es-CR"/>
        </w:rPr>
        <w:t xml:space="preserve"> y otros</w:t>
      </w:r>
      <w:r w:rsidRPr="006F1717">
        <w:rPr>
          <w:rFonts w:ascii="Verdana" w:hAnsi="Verdana"/>
          <w:i/>
          <w:sz w:val="16"/>
          <w:szCs w:val="16"/>
          <w:lang w:val="es-CR"/>
        </w:rPr>
        <w:t xml:space="preserve">, supra </w:t>
      </w:r>
      <w:r w:rsidRPr="006F1717">
        <w:rPr>
          <w:rFonts w:ascii="Verdana" w:hAnsi="Verdana"/>
          <w:sz w:val="16"/>
          <w:szCs w:val="16"/>
          <w:lang w:val="es-CR"/>
        </w:rPr>
        <w:t>nota</w:t>
      </w:r>
      <w:r w:rsidR="000F4D3B" w:rsidRPr="006F1717">
        <w:rPr>
          <w:rFonts w:ascii="Verdana" w:hAnsi="Verdana"/>
          <w:sz w:val="16"/>
          <w:szCs w:val="16"/>
          <w:lang w:val="es-CR"/>
        </w:rPr>
        <w:t xml:space="preserve"> 21</w:t>
      </w:r>
      <w:r w:rsidRPr="006F1717">
        <w:rPr>
          <w:rFonts w:ascii="Verdana" w:hAnsi="Verdana"/>
          <w:i/>
          <w:sz w:val="16"/>
          <w:szCs w:val="16"/>
          <w:lang w:val="es-CR"/>
        </w:rPr>
        <w:t>,</w:t>
      </w:r>
      <w:r w:rsidR="001C3747">
        <w:rPr>
          <w:rFonts w:ascii="Verdana" w:hAnsi="Verdana"/>
          <w:sz w:val="16"/>
          <w:szCs w:val="16"/>
          <w:lang w:val="es-CR"/>
        </w:rPr>
        <w:t xml:space="preserve"> Considerando cuarto;</w:t>
      </w:r>
      <w:r w:rsidRPr="006F1717">
        <w:rPr>
          <w:rFonts w:ascii="Verdana" w:hAnsi="Verdana"/>
          <w:sz w:val="16"/>
          <w:szCs w:val="16"/>
          <w:lang w:val="es-CR"/>
        </w:rPr>
        <w:t xml:space="preserve"> </w:t>
      </w:r>
      <w:r w:rsidR="00DD5273" w:rsidRPr="006F1717">
        <w:rPr>
          <w:rFonts w:ascii="Verdana" w:hAnsi="Verdana"/>
          <w:i/>
          <w:sz w:val="16"/>
          <w:szCs w:val="16"/>
          <w:lang w:val="es-CR"/>
        </w:rPr>
        <w:t>Caso Artavia Murillo y otros (“</w:t>
      </w:r>
      <w:r w:rsidR="001C3747">
        <w:rPr>
          <w:rFonts w:ascii="Verdana" w:hAnsi="Verdana"/>
          <w:i/>
          <w:sz w:val="16"/>
          <w:szCs w:val="16"/>
          <w:lang w:val="es-CR"/>
        </w:rPr>
        <w:t>Fecundación</w:t>
      </w:r>
      <w:r w:rsidR="00DD5273" w:rsidRPr="006F1717">
        <w:rPr>
          <w:rFonts w:ascii="Verdana" w:hAnsi="Verdana"/>
          <w:i/>
          <w:sz w:val="16"/>
          <w:szCs w:val="16"/>
          <w:lang w:val="es-CR"/>
        </w:rPr>
        <w:t xml:space="preserve"> In Vitro”) </w:t>
      </w:r>
      <w:r w:rsidR="001C3747">
        <w:rPr>
          <w:rFonts w:ascii="Verdana" w:hAnsi="Verdana"/>
          <w:i/>
          <w:sz w:val="16"/>
          <w:szCs w:val="16"/>
          <w:lang w:val="es-CR"/>
        </w:rPr>
        <w:t>Vs. Costa Rica. Supervisión de cumplimiento de s</w:t>
      </w:r>
      <w:r w:rsidR="00DD5273" w:rsidRPr="006F1717">
        <w:rPr>
          <w:rFonts w:ascii="Verdana" w:hAnsi="Verdana"/>
          <w:i/>
          <w:sz w:val="16"/>
          <w:szCs w:val="16"/>
          <w:lang w:val="es-CR"/>
        </w:rPr>
        <w:t>entencia</w:t>
      </w:r>
      <w:r w:rsidR="00DD5273" w:rsidRPr="006F1717">
        <w:rPr>
          <w:rFonts w:ascii="Verdana" w:hAnsi="Verdana"/>
          <w:sz w:val="16"/>
          <w:szCs w:val="16"/>
          <w:lang w:val="es-CR"/>
        </w:rPr>
        <w:t xml:space="preserve">. Resolución de la Corte Interamericana de Derechos Humanos de 26 de febrero de 2016, Considerando séptimo, y </w:t>
      </w:r>
      <w:r w:rsidR="00DD5273" w:rsidRPr="001C3747">
        <w:rPr>
          <w:rFonts w:ascii="Verdana" w:hAnsi="Verdana"/>
          <w:i/>
          <w:sz w:val="16"/>
          <w:szCs w:val="16"/>
          <w:lang w:val="es-CR"/>
        </w:rPr>
        <w:t>Caso del Penal Miguel Castro Castro</w:t>
      </w:r>
      <w:r w:rsidR="00DD5273" w:rsidRPr="006F1717">
        <w:rPr>
          <w:rFonts w:ascii="Verdana" w:hAnsi="Verdana"/>
          <w:sz w:val="16"/>
          <w:szCs w:val="16"/>
          <w:lang w:val="es-CR"/>
        </w:rPr>
        <w:t xml:space="preserve">, </w:t>
      </w:r>
      <w:r w:rsidR="00DD5273" w:rsidRPr="006F1717">
        <w:rPr>
          <w:rFonts w:ascii="Verdana" w:hAnsi="Verdana"/>
          <w:i/>
          <w:sz w:val="16"/>
          <w:szCs w:val="16"/>
          <w:lang w:val="es-CR"/>
        </w:rPr>
        <w:t>supra</w:t>
      </w:r>
      <w:r w:rsidR="00DD5273" w:rsidRPr="006F1717">
        <w:rPr>
          <w:rFonts w:ascii="Verdana" w:hAnsi="Verdana"/>
          <w:sz w:val="16"/>
          <w:szCs w:val="16"/>
          <w:lang w:val="es-CR"/>
        </w:rPr>
        <w:t xml:space="preserve"> nota 21, Considerando trigésimo octavo</w:t>
      </w:r>
      <w:r w:rsidRPr="006F1717">
        <w:rPr>
          <w:rFonts w:ascii="Verdana" w:hAnsi="Verdana"/>
          <w:sz w:val="16"/>
          <w:szCs w:val="16"/>
          <w:lang w:val="es-CR"/>
        </w:rPr>
        <w:t>.</w:t>
      </w:r>
      <w:r w:rsidRPr="006F1717">
        <w:rPr>
          <w:rFonts w:ascii="Verdana" w:hAnsi="Verdana"/>
          <w:sz w:val="16"/>
          <w:szCs w:val="16"/>
          <w:lang w:val="es-ES"/>
        </w:rPr>
        <w:t xml:space="preserve"> </w:t>
      </w:r>
    </w:p>
  </w:footnote>
  <w:footnote w:id="23">
    <w:p w:rsidR="000B5D44" w:rsidRPr="006F1717" w:rsidRDefault="000B5D44" w:rsidP="00DE6711">
      <w:pPr>
        <w:pStyle w:val="Textonotapie"/>
        <w:tabs>
          <w:tab w:val="left" w:pos="540"/>
          <w:tab w:val="left" w:pos="567"/>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Pr="006F1717">
        <w:rPr>
          <w:rFonts w:ascii="Verdana" w:hAnsi="Verdana"/>
          <w:i/>
          <w:sz w:val="16"/>
          <w:szCs w:val="16"/>
          <w:lang w:val="es-CR"/>
        </w:rPr>
        <w:t>Cfr. Caso Gelman Vs. Uruguay.</w:t>
      </w:r>
      <w:r w:rsidRPr="006F1717">
        <w:rPr>
          <w:rFonts w:ascii="Verdana" w:hAnsi="Verdana"/>
          <w:sz w:val="16"/>
          <w:szCs w:val="16"/>
          <w:lang w:val="es-CR"/>
        </w:rPr>
        <w:t xml:space="preserve"> </w:t>
      </w:r>
      <w:r w:rsidR="001C3747">
        <w:rPr>
          <w:rFonts w:ascii="Verdana" w:hAnsi="Verdana"/>
          <w:i/>
          <w:sz w:val="16"/>
          <w:szCs w:val="16"/>
          <w:lang w:val="es-ES"/>
        </w:rPr>
        <w:t>Supervisión de cumplimiento de s</w:t>
      </w:r>
      <w:r w:rsidRPr="006F1717">
        <w:rPr>
          <w:rFonts w:ascii="Verdana" w:hAnsi="Verdana"/>
          <w:i/>
          <w:sz w:val="16"/>
          <w:szCs w:val="16"/>
          <w:lang w:val="es-ES"/>
        </w:rPr>
        <w:t>entencia</w:t>
      </w:r>
      <w:r w:rsidRPr="006F1717">
        <w:rPr>
          <w:rFonts w:ascii="Verdana" w:hAnsi="Verdana"/>
          <w:color w:val="000000"/>
          <w:sz w:val="16"/>
          <w:szCs w:val="16"/>
          <w:lang w:val="es-ES"/>
        </w:rPr>
        <w:t>. Resolución de la Corte Interamericana de Derechos Humanos de 20 de marzo de 2013, Considerando 59</w:t>
      </w:r>
      <w:r w:rsidR="00823EF9" w:rsidRPr="006F1717">
        <w:rPr>
          <w:rFonts w:ascii="Verdana" w:hAnsi="Verdana"/>
          <w:sz w:val="16"/>
          <w:szCs w:val="16"/>
          <w:lang w:val="es-ES"/>
        </w:rPr>
        <w:t xml:space="preserve"> y </w:t>
      </w:r>
      <w:r w:rsidR="00823EF9" w:rsidRPr="006F1717">
        <w:rPr>
          <w:rFonts w:ascii="Verdana" w:hAnsi="Verdana"/>
          <w:i/>
          <w:sz w:val="16"/>
          <w:szCs w:val="16"/>
          <w:lang w:val="es-ES"/>
        </w:rPr>
        <w:t>Caso Artavia Murillo y otros (“</w:t>
      </w:r>
      <w:r w:rsidR="001C3747">
        <w:rPr>
          <w:rFonts w:ascii="Verdana" w:hAnsi="Verdana"/>
          <w:i/>
          <w:sz w:val="16"/>
          <w:szCs w:val="16"/>
          <w:lang w:val="es-ES"/>
        </w:rPr>
        <w:t>Fecundación</w:t>
      </w:r>
      <w:r w:rsidR="00823EF9" w:rsidRPr="006F1717">
        <w:rPr>
          <w:rFonts w:ascii="Verdana" w:hAnsi="Verdana"/>
          <w:i/>
          <w:sz w:val="16"/>
          <w:szCs w:val="16"/>
          <w:lang w:val="es-ES"/>
        </w:rPr>
        <w:t xml:space="preserve"> In Vitro”) Vs. Costa Rica</w:t>
      </w:r>
      <w:r w:rsidR="00823EF9" w:rsidRPr="006F1717">
        <w:rPr>
          <w:rFonts w:ascii="Verdana" w:hAnsi="Verdana"/>
          <w:sz w:val="16"/>
          <w:szCs w:val="16"/>
          <w:lang w:val="es-ES"/>
        </w:rPr>
        <w:t>,</w:t>
      </w:r>
      <w:r w:rsidR="00823EF9" w:rsidRPr="006F1717">
        <w:rPr>
          <w:rFonts w:ascii="Verdana" w:hAnsi="Verdana"/>
          <w:i/>
          <w:sz w:val="16"/>
          <w:szCs w:val="16"/>
          <w:lang w:val="es-ES"/>
        </w:rPr>
        <w:t xml:space="preserve"> supra</w:t>
      </w:r>
      <w:r w:rsidR="00823EF9" w:rsidRPr="006F1717">
        <w:rPr>
          <w:rFonts w:ascii="Verdana" w:hAnsi="Verdana"/>
          <w:sz w:val="16"/>
          <w:szCs w:val="16"/>
          <w:lang w:val="es-ES"/>
        </w:rPr>
        <w:t xml:space="preserve"> nota 22, Considerando séptimo.</w:t>
      </w:r>
      <w:r w:rsidRPr="006F1717">
        <w:rPr>
          <w:rFonts w:ascii="Verdana" w:hAnsi="Verdana"/>
          <w:sz w:val="16"/>
          <w:szCs w:val="16"/>
          <w:highlight w:val="lightGray"/>
          <w:lang w:val="es-CR"/>
        </w:rPr>
        <w:t xml:space="preserve"> </w:t>
      </w:r>
    </w:p>
  </w:footnote>
  <w:footnote w:id="24">
    <w:p w:rsidR="00FE1E60" w:rsidRPr="006F1717" w:rsidRDefault="00FE1E60" w:rsidP="00DE6711">
      <w:pPr>
        <w:pStyle w:val="Textonotapie"/>
        <w:tabs>
          <w:tab w:val="left" w:pos="540"/>
          <w:tab w:val="left" w:pos="567"/>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Pr="006F1717">
        <w:rPr>
          <w:rFonts w:ascii="Verdana" w:hAnsi="Verdana"/>
          <w:i/>
          <w:sz w:val="16"/>
          <w:szCs w:val="16"/>
          <w:lang w:val="es-CR"/>
        </w:rPr>
        <w:t>Cfr.</w:t>
      </w:r>
      <w:r w:rsidRPr="006F1717">
        <w:rPr>
          <w:rFonts w:ascii="Verdana" w:hAnsi="Verdana"/>
          <w:sz w:val="16"/>
          <w:szCs w:val="16"/>
          <w:lang w:val="es-CR"/>
        </w:rPr>
        <w:t xml:space="preserve"> Responsabilidad internacional por expedición y aplicación de leyes violatorias de la Convención (arts. 1 y 2 Convención Americana sobre Derechos Humanos). Opinión Consultiva OC-14/94 de 9 de diciembre de 1994. Serie A No. 14, párr. 35; </w:t>
      </w:r>
      <w:r w:rsidRPr="001C3747">
        <w:rPr>
          <w:rFonts w:ascii="Verdana" w:hAnsi="Verdana"/>
          <w:i/>
          <w:sz w:val="16"/>
          <w:szCs w:val="16"/>
          <w:lang w:val="es-CR"/>
        </w:rPr>
        <w:t>Caso Castillo Petruz</w:t>
      </w:r>
      <w:r w:rsidR="001C3747" w:rsidRPr="001C3747">
        <w:rPr>
          <w:rFonts w:ascii="Verdana" w:hAnsi="Verdana"/>
          <w:i/>
          <w:sz w:val="16"/>
          <w:szCs w:val="16"/>
          <w:lang w:val="es-CR"/>
        </w:rPr>
        <w:t>z</w:t>
      </w:r>
      <w:r w:rsidRPr="001C3747">
        <w:rPr>
          <w:rFonts w:ascii="Verdana" w:hAnsi="Verdana"/>
          <w:i/>
          <w:sz w:val="16"/>
          <w:szCs w:val="16"/>
          <w:lang w:val="es-CR"/>
        </w:rPr>
        <w:t>i</w:t>
      </w:r>
      <w:r w:rsidR="001C3747" w:rsidRPr="001C3747">
        <w:rPr>
          <w:rFonts w:ascii="Verdana" w:hAnsi="Verdana"/>
          <w:i/>
          <w:sz w:val="16"/>
          <w:szCs w:val="16"/>
          <w:lang w:val="es-CR"/>
        </w:rPr>
        <w:t xml:space="preserve"> y otros</w:t>
      </w:r>
      <w:r w:rsidRPr="006F1717">
        <w:rPr>
          <w:rFonts w:ascii="Verdana" w:hAnsi="Verdana"/>
          <w:sz w:val="16"/>
          <w:szCs w:val="16"/>
          <w:lang w:val="es-CR"/>
        </w:rPr>
        <w:t xml:space="preserve">, </w:t>
      </w:r>
      <w:r w:rsidRPr="006F1717">
        <w:rPr>
          <w:rFonts w:ascii="Verdana" w:hAnsi="Verdana"/>
          <w:i/>
          <w:sz w:val="16"/>
          <w:szCs w:val="16"/>
          <w:lang w:val="es-CR"/>
        </w:rPr>
        <w:t xml:space="preserve">supra </w:t>
      </w:r>
      <w:r w:rsidRPr="006F1717">
        <w:rPr>
          <w:rFonts w:ascii="Verdana" w:hAnsi="Verdana"/>
          <w:sz w:val="16"/>
          <w:szCs w:val="16"/>
          <w:lang w:val="es-CR"/>
        </w:rPr>
        <w:t>nota</w:t>
      </w:r>
      <w:r w:rsidR="000F4D3B" w:rsidRPr="006F1717">
        <w:rPr>
          <w:rFonts w:ascii="Verdana" w:hAnsi="Verdana"/>
          <w:sz w:val="16"/>
          <w:szCs w:val="16"/>
          <w:lang w:val="es-CR"/>
        </w:rPr>
        <w:t xml:space="preserve"> 21</w:t>
      </w:r>
      <w:r w:rsidRPr="006F1717">
        <w:rPr>
          <w:rFonts w:ascii="Verdana" w:hAnsi="Verdana"/>
          <w:sz w:val="16"/>
          <w:szCs w:val="16"/>
          <w:lang w:val="es-CR"/>
        </w:rPr>
        <w:t xml:space="preserve">, Considerando cuarto, </w:t>
      </w:r>
      <w:r w:rsidR="004A2871" w:rsidRPr="006F1717">
        <w:rPr>
          <w:rFonts w:ascii="Verdana" w:hAnsi="Verdana"/>
          <w:sz w:val="16"/>
          <w:szCs w:val="16"/>
          <w:lang w:val="es-CR"/>
        </w:rPr>
        <w:t xml:space="preserve">y </w:t>
      </w:r>
      <w:r w:rsidR="004A2871" w:rsidRPr="006F1717">
        <w:rPr>
          <w:rFonts w:ascii="Verdana" w:hAnsi="Verdana"/>
          <w:i/>
          <w:sz w:val="16"/>
          <w:szCs w:val="16"/>
          <w:lang w:val="es-CR"/>
        </w:rPr>
        <w:t>Caso Wong Ho Wing Vs. Perú</w:t>
      </w:r>
      <w:r w:rsidR="004A2871" w:rsidRPr="006F1717">
        <w:rPr>
          <w:rFonts w:ascii="Verdana" w:hAnsi="Verdana"/>
          <w:sz w:val="16"/>
          <w:szCs w:val="16"/>
          <w:lang w:val="es-CR"/>
        </w:rPr>
        <w:t xml:space="preserve">. Resolución de la Corte Interamericana de Derechos Humanos de 7 de octubre de 2015, Considerando décimo. </w:t>
      </w:r>
    </w:p>
  </w:footnote>
  <w:footnote w:id="25">
    <w:p w:rsidR="00F155AC" w:rsidRPr="006F1717" w:rsidRDefault="00F155AC"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Pr="006F1717">
        <w:rPr>
          <w:rFonts w:ascii="Verdana" w:hAnsi="Verdana"/>
          <w:i/>
          <w:sz w:val="16"/>
          <w:szCs w:val="16"/>
          <w:lang w:val="es-CR"/>
        </w:rPr>
        <w:t>Cfr.</w:t>
      </w:r>
      <w:r w:rsidR="0073630B" w:rsidRPr="006F1717">
        <w:rPr>
          <w:rFonts w:ascii="Verdana" w:hAnsi="Verdana"/>
          <w:sz w:val="16"/>
          <w:szCs w:val="16"/>
          <w:lang w:val="es-CR"/>
        </w:rPr>
        <w:t xml:space="preserve"> </w:t>
      </w:r>
      <w:r w:rsidR="0073630B" w:rsidRPr="006F1717">
        <w:rPr>
          <w:rFonts w:ascii="Verdana" w:hAnsi="Verdana"/>
          <w:i/>
          <w:sz w:val="16"/>
          <w:szCs w:val="16"/>
          <w:lang w:val="es-CR"/>
        </w:rPr>
        <w:t xml:space="preserve">Caso Baena Ricardo y otros Vs. Panamá. Competencia. </w:t>
      </w:r>
      <w:r w:rsidR="0073630B" w:rsidRPr="006F1717">
        <w:rPr>
          <w:rFonts w:ascii="Verdana" w:hAnsi="Verdana"/>
          <w:sz w:val="16"/>
          <w:szCs w:val="16"/>
          <w:lang w:val="es-CR"/>
        </w:rPr>
        <w:t>Sentencia de 28 de noviembre de 2003. Serie C No. 104, párr. 61.</w:t>
      </w:r>
    </w:p>
  </w:footnote>
  <w:footnote w:id="26">
    <w:p w:rsidR="001C3747" w:rsidRPr="001C3747" w:rsidRDefault="001C3747" w:rsidP="00DE6711">
      <w:pPr>
        <w:pStyle w:val="Textonotapie"/>
        <w:tabs>
          <w:tab w:val="left" w:pos="540"/>
        </w:tabs>
        <w:jc w:val="both"/>
        <w:rPr>
          <w:lang w:val="es-CR"/>
        </w:rPr>
      </w:pPr>
      <w:r>
        <w:rPr>
          <w:rStyle w:val="Refdenotaalpie"/>
        </w:rPr>
        <w:footnoteRef/>
      </w:r>
      <w:r w:rsidRPr="001C3747">
        <w:rPr>
          <w:lang w:val="es-CR"/>
        </w:rPr>
        <w:t xml:space="preserve"> </w:t>
      </w:r>
      <w:r>
        <w:rPr>
          <w:lang w:val="es-CR"/>
        </w:rPr>
        <w:tab/>
      </w:r>
      <w:r w:rsidRPr="006F1717">
        <w:rPr>
          <w:rFonts w:ascii="Verdana" w:hAnsi="Verdana"/>
          <w:i/>
          <w:sz w:val="16"/>
          <w:szCs w:val="16"/>
          <w:lang w:val="es-CR"/>
        </w:rPr>
        <w:t>Cfr</w:t>
      </w:r>
      <w:r w:rsidRPr="006F1717">
        <w:rPr>
          <w:rFonts w:ascii="Verdana" w:hAnsi="Verdana"/>
          <w:sz w:val="16"/>
          <w:szCs w:val="16"/>
          <w:lang w:val="es-CR"/>
        </w:rPr>
        <w:t>. Recibo emitido por la Pagaduría Especial de la Corte Suprema de Justicia el 28 de noviembre de 2016, firmado por la víctima Luis Alonso Chévez de la Rocha, y copia del cheque de caja número 68206 de 25 de noviembre de 2016 a favor del señor Chévez de la Rocha (anexos al informe estatal de 12 de diciembre de 2016)</w:t>
      </w:r>
    </w:p>
  </w:footnote>
  <w:footnote w:id="27">
    <w:p w:rsidR="00C06E70" w:rsidRPr="006F1717" w:rsidRDefault="00C06E7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00982C21" w:rsidRPr="006F1717">
        <w:rPr>
          <w:rFonts w:ascii="Verdana" w:hAnsi="Verdana"/>
          <w:i/>
          <w:sz w:val="16"/>
          <w:szCs w:val="16"/>
          <w:lang w:val="es-CR"/>
        </w:rPr>
        <w:t xml:space="preserve">Cfr. </w:t>
      </w:r>
      <w:r w:rsidR="00982C21" w:rsidRPr="006F1717">
        <w:rPr>
          <w:rFonts w:ascii="Verdana" w:hAnsi="Verdana"/>
          <w:sz w:val="16"/>
          <w:szCs w:val="16"/>
          <w:lang w:val="es-CR"/>
        </w:rPr>
        <w:t>Nota suscrita por Luis Alonso Chévez de la Rocha de 17 de noviembre de 2016 (anex</w:t>
      </w:r>
      <w:r w:rsidR="00231467">
        <w:rPr>
          <w:rFonts w:ascii="Verdana" w:hAnsi="Verdana"/>
          <w:sz w:val="16"/>
          <w:szCs w:val="16"/>
          <w:lang w:val="es-CR"/>
        </w:rPr>
        <w:t>o</w:t>
      </w:r>
      <w:r w:rsidR="00982C21" w:rsidRPr="006F1717">
        <w:rPr>
          <w:rFonts w:ascii="Verdana" w:hAnsi="Verdana"/>
          <w:sz w:val="16"/>
          <w:szCs w:val="16"/>
          <w:lang w:val="es-CR"/>
        </w:rPr>
        <w:t xml:space="preserve"> al informe estatal de 18 de noviembre de 2016).</w:t>
      </w:r>
    </w:p>
  </w:footnote>
  <w:footnote w:id="28">
    <w:p w:rsidR="000978BB" w:rsidRPr="006F1717" w:rsidRDefault="000978BB"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00310479" w:rsidRPr="006F1717">
        <w:rPr>
          <w:rFonts w:ascii="Verdana" w:hAnsi="Verdana"/>
          <w:i/>
          <w:sz w:val="16"/>
          <w:szCs w:val="16"/>
          <w:lang w:val="es-CR"/>
        </w:rPr>
        <w:t>Cfr.</w:t>
      </w:r>
      <w:r w:rsidR="00894A56" w:rsidRPr="006F1717">
        <w:rPr>
          <w:rFonts w:ascii="Verdana" w:hAnsi="Verdana"/>
          <w:i/>
          <w:sz w:val="16"/>
          <w:szCs w:val="16"/>
          <w:lang w:val="es-CR"/>
        </w:rPr>
        <w:t xml:space="preserve"> Infra </w:t>
      </w:r>
      <w:r w:rsidR="00894A56" w:rsidRPr="006F1717">
        <w:rPr>
          <w:rFonts w:ascii="Verdana" w:hAnsi="Verdana"/>
          <w:sz w:val="16"/>
          <w:szCs w:val="16"/>
          <w:lang w:val="es-CR"/>
        </w:rPr>
        <w:t>nota</w:t>
      </w:r>
      <w:r w:rsidR="00231467">
        <w:rPr>
          <w:rFonts w:ascii="Verdana" w:hAnsi="Verdana"/>
          <w:sz w:val="16"/>
          <w:szCs w:val="16"/>
          <w:lang w:val="es-CR"/>
        </w:rPr>
        <w:t>s 3</w:t>
      </w:r>
      <w:r w:rsidR="006F6D1E">
        <w:rPr>
          <w:rFonts w:ascii="Verdana" w:hAnsi="Verdana"/>
          <w:sz w:val="16"/>
          <w:szCs w:val="16"/>
          <w:lang w:val="es-CR"/>
        </w:rPr>
        <w:t>0</w:t>
      </w:r>
      <w:r w:rsidR="00231467">
        <w:rPr>
          <w:rFonts w:ascii="Verdana" w:hAnsi="Verdana"/>
          <w:sz w:val="16"/>
          <w:szCs w:val="16"/>
          <w:lang w:val="es-CR"/>
        </w:rPr>
        <w:t xml:space="preserve"> y</w:t>
      </w:r>
      <w:r w:rsidR="00894A56" w:rsidRPr="006F1717">
        <w:rPr>
          <w:rFonts w:ascii="Verdana" w:hAnsi="Verdana"/>
          <w:sz w:val="16"/>
          <w:szCs w:val="16"/>
          <w:lang w:val="es-CR"/>
        </w:rPr>
        <w:t xml:space="preserve"> 3</w:t>
      </w:r>
      <w:r w:rsidR="006F6D1E">
        <w:rPr>
          <w:rFonts w:ascii="Verdana" w:hAnsi="Verdana"/>
          <w:sz w:val="16"/>
          <w:szCs w:val="16"/>
          <w:lang w:val="es-CR"/>
        </w:rPr>
        <w:t>6</w:t>
      </w:r>
      <w:r w:rsidR="00894A56" w:rsidRPr="006F1717">
        <w:rPr>
          <w:rFonts w:ascii="Verdana" w:hAnsi="Verdana"/>
          <w:sz w:val="16"/>
          <w:szCs w:val="16"/>
          <w:lang w:val="es-CR"/>
        </w:rPr>
        <w:t>.</w:t>
      </w:r>
    </w:p>
  </w:footnote>
  <w:footnote w:id="29">
    <w:p w:rsidR="00247196" w:rsidRPr="006F1717" w:rsidRDefault="00247196"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00310479" w:rsidRPr="006F1717">
        <w:rPr>
          <w:rFonts w:ascii="Verdana" w:hAnsi="Verdana"/>
          <w:sz w:val="16"/>
          <w:szCs w:val="16"/>
          <w:lang w:val="es-CR"/>
        </w:rPr>
        <w:t xml:space="preserve">Por ejemplo, </w:t>
      </w:r>
      <w:r w:rsidR="00310479" w:rsidRPr="006F1717">
        <w:rPr>
          <w:rFonts w:ascii="Verdana" w:hAnsi="Verdana" w:cs="Arial"/>
          <w:sz w:val="16"/>
          <w:szCs w:val="16"/>
          <w:lang w:val="es-CR"/>
        </w:rPr>
        <w:t xml:space="preserve">en el </w:t>
      </w:r>
      <w:r w:rsidR="00310479" w:rsidRPr="006F1717">
        <w:rPr>
          <w:rFonts w:ascii="Verdana" w:hAnsi="Verdana" w:cs="Arial"/>
          <w:i/>
          <w:sz w:val="16"/>
          <w:szCs w:val="16"/>
          <w:lang w:val="es-CR"/>
        </w:rPr>
        <w:t xml:space="preserve">Caso </w:t>
      </w:r>
      <w:r w:rsidR="00310479" w:rsidRPr="006F1717">
        <w:rPr>
          <w:rFonts w:ascii="Verdana" w:hAnsi="Verdana"/>
          <w:i/>
          <w:sz w:val="16"/>
          <w:szCs w:val="16"/>
          <w:lang w:val="es-CR"/>
        </w:rPr>
        <w:t>del Tribunal Constitucional (Camba Campos y otros)</w:t>
      </w:r>
      <w:r w:rsidR="00666E0D">
        <w:rPr>
          <w:rFonts w:ascii="Verdana" w:hAnsi="Verdana"/>
          <w:i/>
          <w:sz w:val="16"/>
          <w:szCs w:val="16"/>
          <w:lang w:val="es-CR"/>
        </w:rPr>
        <w:t xml:space="preserve"> Vs. Ecuador</w:t>
      </w:r>
      <w:r w:rsidR="00310479" w:rsidRPr="006F1717">
        <w:rPr>
          <w:rFonts w:ascii="Verdana" w:hAnsi="Verdana"/>
          <w:i/>
          <w:sz w:val="16"/>
          <w:szCs w:val="16"/>
          <w:lang w:val="es-CR"/>
        </w:rPr>
        <w:t xml:space="preserve">, </w:t>
      </w:r>
      <w:r w:rsidR="00310479" w:rsidRPr="006F1717">
        <w:rPr>
          <w:rFonts w:ascii="Verdana" w:hAnsi="Verdana"/>
          <w:sz w:val="16"/>
          <w:szCs w:val="16"/>
          <w:lang w:val="es-CR"/>
        </w:rPr>
        <w:t>la Corte consideró que las víctimas, quienes habían sido “vocales del Tribunal Constitucional […] solo podrían ser nombrados en otro Alto Tribunal del poder judicial”, en razón de haber tenido un cargo de máxima jerarquía dentro del Poder Judicial. Adicionalmente, la Corte tomó en consideración que en el 2008 se dio un “cambio constitucional” en Ecuador, así como una “reestructuración posterior de la Corte Constitucional, la cual implicó modificaciones importantes en asuntos como el número, composición y elección de los miembros que conforman la Corte Constitucional”. Por tanto, el Tribunal concluyó</w:t>
      </w:r>
      <w:r w:rsidR="00666E0D">
        <w:rPr>
          <w:rFonts w:ascii="Verdana" w:hAnsi="Verdana"/>
          <w:sz w:val="16"/>
          <w:szCs w:val="16"/>
          <w:lang w:val="es-CR"/>
        </w:rPr>
        <w:t>, para ese</w:t>
      </w:r>
      <w:r w:rsidR="00310479" w:rsidRPr="006F1717">
        <w:rPr>
          <w:rFonts w:ascii="Verdana" w:hAnsi="Verdana"/>
          <w:sz w:val="16"/>
          <w:szCs w:val="16"/>
          <w:lang w:val="es-CR"/>
        </w:rPr>
        <w:t xml:space="preserve"> caso ecuatoriano</w:t>
      </w:r>
      <w:r w:rsidR="00666E0D">
        <w:rPr>
          <w:rFonts w:ascii="Verdana" w:hAnsi="Verdana"/>
          <w:sz w:val="16"/>
          <w:szCs w:val="16"/>
          <w:lang w:val="es-CR"/>
        </w:rPr>
        <w:t>,</w:t>
      </w:r>
      <w:r w:rsidR="00310479" w:rsidRPr="006F1717">
        <w:rPr>
          <w:rFonts w:ascii="Verdana" w:hAnsi="Verdana"/>
          <w:sz w:val="16"/>
          <w:szCs w:val="16"/>
          <w:lang w:val="es-CR"/>
        </w:rPr>
        <w:t xml:space="preserve"> que “las nuevas circunstancias constitucionales, las dificultades para designar[</w:t>
      </w:r>
      <w:r w:rsidR="00A7130F" w:rsidRPr="006F1717">
        <w:rPr>
          <w:rFonts w:ascii="Verdana" w:hAnsi="Verdana"/>
          <w:sz w:val="16"/>
          <w:szCs w:val="16"/>
          <w:lang w:val="es-CR"/>
        </w:rPr>
        <w:t xml:space="preserve"> </w:t>
      </w:r>
      <w:r w:rsidR="00310479" w:rsidRPr="006F1717">
        <w:rPr>
          <w:rFonts w:ascii="Verdana" w:hAnsi="Verdana"/>
          <w:sz w:val="16"/>
          <w:szCs w:val="16"/>
          <w:lang w:val="es-CR"/>
        </w:rPr>
        <w:t xml:space="preserve">a las víctimas] en el mismo cargo o uno de similar categoría, así como la nueva normativa frente a la protección de la estabilidad formal de los funcionarios de carrera judicial, [hacen que] el reintegro de los vocales no [sea] posible”. Por tanto, la Corte ordenó el pago de una “compensación por la imposibilidad de retornar a sus funciones como vocales del Tribunal Constitucional”. </w:t>
      </w:r>
      <w:r w:rsidR="00310479" w:rsidRPr="006F1717">
        <w:rPr>
          <w:rFonts w:ascii="Verdana" w:hAnsi="Verdana"/>
          <w:i/>
          <w:sz w:val="16"/>
          <w:szCs w:val="16"/>
          <w:lang w:val="es-CR"/>
        </w:rPr>
        <w:t>Cfr. Caso del Tribunal Constitucional (Camba Campos y otros) Vs. Ecuador</w:t>
      </w:r>
      <w:r w:rsidR="00A7130F" w:rsidRPr="006F1717">
        <w:rPr>
          <w:rFonts w:ascii="Verdana" w:hAnsi="Verdana"/>
          <w:i/>
          <w:sz w:val="16"/>
          <w:szCs w:val="16"/>
          <w:lang w:val="es-CR"/>
        </w:rPr>
        <w:t>.</w:t>
      </w:r>
      <w:r w:rsidR="00310479" w:rsidRPr="006F1717">
        <w:rPr>
          <w:rFonts w:ascii="Verdana" w:hAnsi="Verdana"/>
          <w:sz w:val="16"/>
          <w:szCs w:val="16"/>
          <w:lang w:val="es-CR"/>
        </w:rPr>
        <w:t xml:space="preserve"> </w:t>
      </w:r>
      <w:r w:rsidR="00310479" w:rsidRPr="006F1717">
        <w:rPr>
          <w:rFonts w:ascii="Verdana" w:hAnsi="Verdana"/>
          <w:i/>
          <w:sz w:val="16"/>
          <w:szCs w:val="16"/>
          <w:lang w:val="es-CR"/>
        </w:rPr>
        <w:t>Excepciones Preliminares, Fondo, Reparaciones y Costas</w:t>
      </w:r>
      <w:r w:rsidR="00310479" w:rsidRPr="006F1717">
        <w:rPr>
          <w:rFonts w:ascii="Verdana" w:hAnsi="Verdana"/>
          <w:sz w:val="16"/>
          <w:szCs w:val="16"/>
          <w:lang w:val="es-CR"/>
        </w:rPr>
        <w:t>. Sentencia de 28 de agosto de 2013. Serie C No. 268,</w:t>
      </w:r>
      <w:r w:rsidRPr="006F1717">
        <w:rPr>
          <w:rFonts w:ascii="Verdana" w:hAnsi="Verdana"/>
          <w:sz w:val="16"/>
          <w:szCs w:val="16"/>
          <w:lang w:val="es-CR"/>
        </w:rPr>
        <w:t xml:space="preserve"> párr</w:t>
      </w:r>
      <w:r w:rsidR="00A7130F" w:rsidRPr="006F1717">
        <w:rPr>
          <w:rFonts w:ascii="Verdana" w:hAnsi="Verdana"/>
          <w:sz w:val="16"/>
          <w:szCs w:val="16"/>
          <w:lang w:val="es-CR"/>
        </w:rPr>
        <w:t>s</w:t>
      </w:r>
      <w:r w:rsidRPr="006F1717">
        <w:rPr>
          <w:rFonts w:ascii="Verdana" w:hAnsi="Verdana"/>
          <w:sz w:val="16"/>
          <w:szCs w:val="16"/>
          <w:lang w:val="es-CR"/>
        </w:rPr>
        <w:t>. 262</w:t>
      </w:r>
      <w:r w:rsidR="00A7130F" w:rsidRPr="006F1717">
        <w:rPr>
          <w:rFonts w:ascii="Verdana" w:hAnsi="Verdana"/>
          <w:sz w:val="16"/>
          <w:szCs w:val="16"/>
          <w:lang w:val="es-CR"/>
        </w:rPr>
        <w:t xml:space="preserve"> y 264</w:t>
      </w:r>
      <w:r w:rsidRPr="006F1717">
        <w:rPr>
          <w:rFonts w:ascii="Verdana" w:hAnsi="Verdana"/>
          <w:sz w:val="16"/>
          <w:szCs w:val="16"/>
          <w:lang w:val="es-CR"/>
        </w:rPr>
        <w:t>.</w:t>
      </w:r>
    </w:p>
  </w:footnote>
  <w:footnote w:id="30">
    <w:p w:rsidR="00516A40" w:rsidRPr="006F1717" w:rsidRDefault="00516A4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Pr="003D407F">
        <w:rPr>
          <w:rFonts w:ascii="Verdana" w:hAnsi="Verdana"/>
          <w:sz w:val="16"/>
          <w:szCs w:val="16"/>
          <w:lang w:val="es-CR"/>
        </w:rPr>
        <w:t xml:space="preserve">Según el Oficio No. 06-OIP-P2017 suscrito el 16 de enero de 2017 por la Oficina de Transparencia y Acceso a la Información Pública del Poder Judicial, del 2009 al 2016 en el referido Poder del Estado </w:t>
      </w:r>
      <w:r w:rsidR="00A7130F" w:rsidRPr="003D407F">
        <w:rPr>
          <w:rFonts w:ascii="Verdana" w:hAnsi="Verdana"/>
          <w:sz w:val="16"/>
          <w:szCs w:val="16"/>
          <w:lang w:val="es-CR"/>
        </w:rPr>
        <w:t xml:space="preserve">se </w:t>
      </w:r>
      <w:r w:rsidRPr="003D407F">
        <w:rPr>
          <w:rFonts w:ascii="Verdana" w:hAnsi="Verdana"/>
          <w:sz w:val="16"/>
          <w:szCs w:val="16"/>
          <w:lang w:val="es-CR"/>
        </w:rPr>
        <w:t>creó un total de 1</w:t>
      </w:r>
      <w:r w:rsidR="00A7130F" w:rsidRPr="003D407F">
        <w:rPr>
          <w:rFonts w:ascii="Verdana" w:hAnsi="Verdana"/>
          <w:sz w:val="16"/>
          <w:szCs w:val="16"/>
          <w:lang w:val="es-CR"/>
        </w:rPr>
        <w:t>6</w:t>
      </w:r>
      <w:r w:rsidRPr="003D407F">
        <w:rPr>
          <w:rFonts w:ascii="Verdana" w:hAnsi="Verdana"/>
          <w:sz w:val="16"/>
          <w:szCs w:val="16"/>
          <w:lang w:val="es-CR"/>
        </w:rPr>
        <w:t xml:space="preserve"> plazas de magistrado y </w:t>
      </w:r>
      <w:r w:rsidR="00A7130F" w:rsidRPr="003D407F">
        <w:rPr>
          <w:rFonts w:ascii="Verdana" w:hAnsi="Verdana"/>
          <w:sz w:val="16"/>
          <w:szCs w:val="16"/>
          <w:lang w:val="es-CR"/>
        </w:rPr>
        <w:t>76</w:t>
      </w:r>
      <w:r w:rsidRPr="003D407F">
        <w:rPr>
          <w:rFonts w:ascii="Verdana" w:hAnsi="Verdana"/>
          <w:sz w:val="16"/>
          <w:szCs w:val="16"/>
          <w:lang w:val="es-CR"/>
        </w:rPr>
        <w:t xml:space="preserve"> plazas de juez; de estas últimas, 20 han correspondido a juez de sentencia. Asimismo, los datos permiten a la Corte observar que durante el 2016 en Honduras se crearon 8 puestos de jueces (uno de ellos en San Pedro Sula) y 1 puesto de magistrado</w:t>
      </w:r>
      <w:r w:rsidR="006F1717" w:rsidRPr="003D407F">
        <w:rPr>
          <w:rFonts w:ascii="Verdana" w:hAnsi="Verdana"/>
          <w:sz w:val="16"/>
          <w:szCs w:val="16"/>
          <w:lang w:val="es-CR"/>
        </w:rPr>
        <w:t xml:space="preserve"> (</w:t>
      </w:r>
      <w:r w:rsidR="006F1717" w:rsidRPr="003D407F">
        <w:rPr>
          <w:rFonts w:ascii="Verdana" w:hAnsi="Verdana"/>
          <w:i/>
          <w:sz w:val="16"/>
          <w:szCs w:val="16"/>
          <w:lang w:val="es-CR"/>
        </w:rPr>
        <w:t xml:space="preserve">infra </w:t>
      </w:r>
      <w:r w:rsidR="006F6D1E">
        <w:rPr>
          <w:rFonts w:ascii="Verdana" w:hAnsi="Verdana"/>
          <w:sz w:val="16"/>
          <w:szCs w:val="16"/>
          <w:lang w:val="es-CR"/>
        </w:rPr>
        <w:t>nota 36</w:t>
      </w:r>
      <w:r w:rsidR="006F1717" w:rsidRPr="003D407F">
        <w:rPr>
          <w:rFonts w:ascii="Verdana" w:hAnsi="Verdana"/>
          <w:sz w:val="16"/>
          <w:szCs w:val="16"/>
          <w:lang w:val="es-CR"/>
        </w:rPr>
        <w:t>)</w:t>
      </w:r>
      <w:r w:rsidRPr="003D407F">
        <w:rPr>
          <w:rFonts w:ascii="Verdana" w:hAnsi="Verdana"/>
          <w:sz w:val="16"/>
          <w:szCs w:val="16"/>
          <w:lang w:val="es-CR"/>
        </w:rPr>
        <w:t>.</w:t>
      </w:r>
    </w:p>
  </w:footnote>
  <w:footnote w:id="31">
    <w:p w:rsidR="008B4DF1" w:rsidRPr="006F1717" w:rsidRDefault="008B4DF1"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00846C37">
        <w:rPr>
          <w:rFonts w:ascii="Verdana" w:hAnsi="Verdana"/>
          <w:i/>
          <w:sz w:val="16"/>
          <w:szCs w:val="16"/>
          <w:lang w:val="es-CR"/>
        </w:rPr>
        <w:t xml:space="preserve">Cfr. </w:t>
      </w:r>
      <w:r w:rsidR="00846C37">
        <w:rPr>
          <w:rFonts w:ascii="Verdana" w:hAnsi="Verdana"/>
          <w:sz w:val="16"/>
          <w:szCs w:val="16"/>
          <w:lang w:val="es-CR"/>
        </w:rPr>
        <w:t>Nota suscrita por Luis Alonso Chévez de la Rocha de 17 de noviembre de 2016 (anexo al informe estatal de 18 de noviembre de 2016) y</w:t>
      </w:r>
      <w:r w:rsidR="00846C37">
        <w:rPr>
          <w:rFonts w:ascii="Verdana" w:hAnsi="Verdana"/>
          <w:i/>
          <w:sz w:val="16"/>
          <w:szCs w:val="16"/>
          <w:lang w:val="es-CR"/>
        </w:rPr>
        <w:t xml:space="preserve"> </w:t>
      </w:r>
      <w:r w:rsidR="00846C37" w:rsidRPr="00846C37">
        <w:rPr>
          <w:rFonts w:ascii="Verdana" w:hAnsi="Verdana"/>
          <w:sz w:val="16"/>
          <w:szCs w:val="16"/>
          <w:lang w:val="es-CR"/>
        </w:rPr>
        <w:t>o</w:t>
      </w:r>
      <w:r w:rsidR="00846C37">
        <w:rPr>
          <w:rFonts w:ascii="Verdana" w:hAnsi="Verdana"/>
          <w:sz w:val="16"/>
          <w:szCs w:val="16"/>
          <w:lang w:val="es-CR"/>
        </w:rPr>
        <w:t>ficio suscrito por el Director de Administración de Personal del Poder Judicial de 24 de octubre de 2016 (anexo al informe estatal de 18 de noviembre de 2016).</w:t>
      </w:r>
    </w:p>
  </w:footnote>
  <w:footnote w:id="32">
    <w:p w:rsidR="00DF1EF0" w:rsidRPr="006F1717" w:rsidRDefault="00DF1EF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00231467">
        <w:rPr>
          <w:rFonts w:ascii="Verdana" w:hAnsi="Verdana"/>
          <w:i/>
          <w:sz w:val="16"/>
          <w:szCs w:val="16"/>
          <w:lang w:val="es-CR"/>
        </w:rPr>
        <w:t xml:space="preserve">Cfr. Infra </w:t>
      </w:r>
      <w:r w:rsidR="00231467">
        <w:rPr>
          <w:rFonts w:ascii="Verdana" w:hAnsi="Verdana"/>
          <w:sz w:val="16"/>
          <w:szCs w:val="16"/>
          <w:lang w:val="es-CR"/>
        </w:rPr>
        <w:t>nota 3</w:t>
      </w:r>
      <w:r w:rsidR="006F6D1E">
        <w:rPr>
          <w:rFonts w:ascii="Verdana" w:hAnsi="Verdana"/>
          <w:sz w:val="16"/>
          <w:szCs w:val="16"/>
          <w:lang w:val="es-CR"/>
        </w:rPr>
        <w:t>6</w:t>
      </w:r>
      <w:r w:rsidR="00231467">
        <w:rPr>
          <w:rFonts w:ascii="Verdana" w:hAnsi="Verdana"/>
          <w:sz w:val="16"/>
          <w:szCs w:val="16"/>
          <w:lang w:val="es-CR"/>
        </w:rPr>
        <w:t>.</w:t>
      </w:r>
    </w:p>
  </w:footnote>
  <w:footnote w:id="33">
    <w:p w:rsidR="007C0E70" w:rsidRPr="006F1717" w:rsidRDefault="007C0E7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El Poder Judicial de Honduras estableció como meta para “</w:t>
      </w:r>
      <w:r w:rsidR="00A7130F" w:rsidRPr="006F1717">
        <w:rPr>
          <w:rFonts w:ascii="Verdana" w:hAnsi="Verdana"/>
          <w:sz w:val="16"/>
          <w:szCs w:val="16"/>
          <w:lang w:val="es-CR"/>
        </w:rPr>
        <w:t>[</w:t>
      </w:r>
      <w:r w:rsidRPr="006F1717">
        <w:rPr>
          <w:rFonts w:ascii="Verdana" w:hAnsi="Verdana"/>
          <w:sz w:val="16"/>
          <w:szCs w:val="16"/>
          <w:lang w:val="es-CR"/>
        </w:rPr>
        <w:t>m</w:t>
      </w:r>
      <w:r w:rsidR="00A7130F" w:rsidRPr="006F1717">
        <w:rPr>
          <w:rFonts w:ascii="Verdana" w:hAnsi="Verdana"/>
          <w:sz w:val="16"/>
          <w:szCs w:val="16"/>
          <w:lang w:val="es-CR"/>
        </w:rPr>
        <w:t>]</w:t>
      </w:r>
      <w:r w:rsidRPr="006F1717">
        <w:rPr>
          <w:rFonts w:ascii="Verdana" w:hAnsi="Verdana"/>
          <w:sz w:val="16"/>
          <w:szCs w:val="16"/>
          <w:lang w:val="es-CR"/>
        </w:rPr>
        <w:t xml:space="preserve">ejorar el acceso a los servicios de justicia para satisfacer la demanda de la ciudadanía” durante el 2017 la implementación de: i) un “Juzgado de Letras de Flagrancia” en Tegucigalpa, San Pedro Sula, La Ceiba, Santa Rosa de Copán, Choluteca, Juticalpa, Comayagua y Santa Bárbara; ii) una “Corte de Apelaciones con Jurisdicción Nacional”; iii) dos “Juzgados de Letras de lo Penal con Competencia Nacional en Materia de Corrupción” en Tegucigalpa y San Pedro Sula; iv) tres “Juzgados de Letras de lo Penal con Competencia Nacional en Materia de Extorsión” en Tegucigalpa, San Pedro Sula y La Ceiba; v) un “Juzgado de Letras” en el Municipio de </w:t>
      </w:r>
      <w:r w:rsidR="00A7130F" w:rsidRPr="006F1717">
        <w:rPr>
          <w:rFonts w:ascii="Verdana" w:hAnsi="Verdana"/>
          <w:sz w:val="16"/>
          <w:szCs w:val="16"/>
          <w:lang w:val="es-CR"/>
        </w:rPr>
        <w:t>“</w:t>
      </w:r>
      <w:r w:rsidRPr="006F1717">
        <w:rPr>
          <w:rFonts w:ascii="Verdana" w:hAnsi="Verdana"/>
          <w:sz w:val="16"/>
          <w:szCs w:val="16"/>
          <w:lang w:val="es-CR"/>
        </w:rPr>
        <w:t>Lepaera/Lempira</w:t>
      </w:r>
      <w:r w:rsidR="00A7130F" w:rsidRPr="006F1717">
        <w:rPr>
          <w:rFonts w:ascii="Verdana" w:hAnsi="Verdana"/>
          <w:sz w:val="16"/>
          <w:szCs w:val="16"/>
          <w:lang w:val="es-CR"/>
        </w:rPr>
        <w:t>”</w:t>
      </w:r>
      <w:r w:rsidRPr="006F1717">
        <w:rPr>
          <w:rFonts w:ascii="Verdana" w:hAnsi="Verdana"/>
          <w:sz w:val="16"/>
          <w:szCs w:val="16"/>
          <w:lang w:val="es-CR"/>
        </w:rPr>
        <w:t>; vi) un “Juzgado de Letras del Trabajo” en Choluteca, El Progreso, Choloma, Roatán y La Ceiba; vii) una “Corte de Apelaciones del Trabajo” en La Ceiba y Choluteca; viii) una “Corte de Apelaciones de la Niñez y la Adolescencia” en Tegucigalpa; ix) un “Tribunal de Sentencia con Jurisdicción Nacional en Materia de Corrupción” en Tegucigalpa; x) un “Tribunal de Sentencia con Jurisdicción Nacional en Materia de Extorsión” en Tegucigalpa, y xi) una “</w:t>
      </w:r>
      <w:r w:rsidR="00A7130F" w:rsidRPr="006F1717">
        <w:rPr>
          <w:rFonts w:ascii="Verdana" w:hAnsi="Verdana"/>
          <w:sz w:val="16"/>
          <w:szCs w:val="16"/>
          <w:lang w:val="es-CR"/>
        </w:rPr>
        <w:t>n</w:t>
      </w:r>
      <w:r w:rsidRPr="006F1717">
        <w:rPr>
          <w:rFonts w:ascii="Verdana" w:hAnsi="Verdana"/>
          <w:sz w:val="16"/>
          <w:szCs w:val="16"/>
          <w:lang w:val="es-CR"/>
        </w:rPr>
        <w:t>ueva Sala en el Tribunal de Sentencia” de Tegucigalpa, San Pedro Sula, Juticalpa, Comayagua y Santa Rosa de Copán</w:t>
      </w:r>
      <w:r w:rsidR="008B4DF1" w:rsidRPr="006F1717">
        <w:rPr>
          <w:rFonts w:ascii="Verdana" w:hAnsi="Verdana"/>
          <w:sz w:val="16"/>
          <w:szCs w:val="16"/>
          <w:lang w:val="es-CR"/>
        </w:rPr>
        <w:t xml:space="preserve">. </w:t>
      </w:r>
      <w:r w:rsidR="008B4DF1" w:rsidRPr="006F1717">
        <w:rPr>
          <w:rFonts w:ascii="Verdana" w:hAnsi="Verdana"/>
          <w:i/>
          <w:sz w:val="16"/>
          <w:szCs w:val="16"/>
          <w:lang w:val="es-CR"/>
        </w:rPr>
        <w:t xml:space="preserve">Cfr. </w:t>
      </w:r>
      <w:r w:rsidR="00835ED1">
        <w:rPr>
          <w:rFonts w:ascii="Verdana" w:hAnsi="Verdana"/>
          <w:i/>
          <w:sz w:val="16"/>
          <w:szCs w:val="16"/>
          <w:lang w:val="es-CR"/>
        </w:rPr>
        <w:t>Infra</w:t>
      </w:r>
      <w:r w:rsidR="00835ED1" w:rsidRPr="006F1717">
        <w:rPr>
          <w:rFonts w:ascii="Verdana" w:hAnsi="Verdana"/>
          <w:i/>
          <w:sz w:val="16"/>
          <w:szCs w:val="16"/>
          <w:lang w:val="es-CR"/>
        </w:rPr>
        <w:t xml:space="preserve"> </w:t>
      </w:r>
      <w:r w:rsidR="008B4DF1" w:rsidRPr="006F1717">
        <w:rPr>
          <w:rFonts w:ascii="Verdana" w:hAnsi="Verdana"/>
          <w:sz w:val="16"/>
          <w:szCs w:val="16"/>
          <w:lang w:val="es-CR"/>
        </w:rPr>
        <w:t xml:space="preserve">nota </w:t>
      </w:r>
      <w:r w:rsidR="00835ED1">
        <w:rPr>
          <w:rFonts w:ascii="Verdana" w:hAnsi="Verdana"/>
          <w:sz w:val="16"/>
          <w:szCs w:val="16"/>
          <w:lang w:val="es-CR"/>
        </w:rPr>
        <w:t>3</w:t>
      </w:r>
      <w:r w:rsidR="006F6D1E">
        <w:rPr>
          <w:rFonts w:ascii="Verdana" w:hAnsi="Verdana"/>
          <w:sz w:val="16"/>
          <w:szCs w:val="16"/>
          <w:lang w:val="es-CR"/>
        </w:rPr>
        <w:t>6</w:t>
      </w:r>
      <w:r w:rsidRPr="006F1717">
        <w:rPr>
          <w:rFonts w:ascii="Verdana" w:hAnsi="Verdana"/>
          <w:sz w:val="16"/>
          <w:szCs w:val="16"/>
          <w:lang w:val="es-CR"/>
        </w:rPr>
        <w:t xml:space="preserve">. </w:t>
      </w:r>
    </w:p>
  </w:footnote>
  <w:footnote w:id="34">
    <w:p w:rsidR="00064F95" w:rsidRPr="006F1717" w:rsidRDefault="00064F95"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 xml:space="preserve">Por ejemplo, especializados en grupos vulnerables como la niñez, o en materias sensibles como la corrupción y la extorsión. </w:t>
      </w:r>
      <w:r w:rsidR="0097747E" w:rsidRPr="006F1717">
        <w:rPr>
          <w:rFonts w:ascii="Verdana" w:hAnsi="Verdana"/>
          <w:i/>
          <w:sz w:val="16"/>
          <w:szCs w:val="16"/>
          <w:lang w:val="es-CR"/>
        </w:rPr>
        <w:t xml:space="preserve">Cfr. </w:t>
      </w:r>
      <w:r w:rsidR="00F71DF9" w:rsidRPr="006F1717">
        <w:rPr>
          <w:rFonts w:ascii="Verdana" w:hAnsi="Verdana"/>
          <w:sz w:val="16"/>
          <w:szCs w:val="16"/>
          <w:lang w:val="es-CR"/>
        </w:rPr>
        <w:t>Plan Nacional de erradicación de la mora judicial del Poder Judicial de la República de Honduras (anexo al escrito de observaciones de las representantes de 21 de diciembre de 2016)</w:t>
      </w:r>
      <w:r w:rsidR="00F71DF9">
        <w:rPr>
          <w:rFonts w:ascii="Verdana" w:hAnsi="Verdana"/>
          <w:sz w:val="16"/>
          <w:szCs w:val="16"/>
          <w:lang w:val="es-CR"/>
        </w:rPr>
        <w:t>.</w:t>
      </w:r>
    </w:p>
  </w:footnote>
  <w:footnote w:id="35">
    <w:p w:rsidR="00A7130F" w:rsidRPr="006F1717" w:rsidRDefault="00A7130F"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00F71DF9">
        <w:rPr>
          <w:rFonts w:ascii="Verdana" w:hAnsi="Verdana"/>
          <w:i/>
          <w:sz w:val="16"/>
          <w:szCs w:val="16"/>
          <w:lang w:val="es-CR"/>
        </w:rPr>
        <w:t>Cfr.</w:t>
      </w:r>
      <w:r w:rsidR="00F71DF9">
        <w:rPr>
          <w:rFonts w:ascii="Verdana" w:hAnsi="Verdana"/>
          <w:sz w:val="16"/>
          <w:szCs w:val="16"/>
          <w:lang w:val="es-CR"/>
        </w:rPr>
        <w:t xml:space="preserve"> Escrito de observaciones de las representantes de las víctimas de 21 de diciembre de 2016.</w:t>
      </w:r>
    </w:p>
  </w:footnote>
  <w:footnote w:id="36">
    <w:p w:rsidR="007C0E70" w:rsidRPr="006F1717" w:rsidRDefault="007C0E7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00894A56" w:rsidRPr="006F1717">
        <w:rPr>
          <w:rFonts w:ascii="Verdana" w:hAnsi="Verdana"/>
          <w:i/>
          <w:sz w:val="16"/>
          <w:szCs w:val="16"/>
          <w:lang w:val="es-CR"/>
        </w:rPr>
        <w:t xml:space="preserve">Cfr. </w:t>
      </w:r>
      <w:r w:rsidR="00894A56" w:rsidRPr="006F1717">
        <w:rPr>
          <w:rFonts w:ascii="Verdana" w:hAnsi="Verdana"/>
          <w:sz w:val="16"/>
          <w:szCs w:val="16"/>
          <w:lang w:val="es-CR"/>
        </w:rPr>
        <w:t>Plan</w:t>
      </w:r>
      <w:r w:rsidR="00A7130F" w:rsidRPr="006F1717">
        <w:rPr>
          <w:rFonts w:ascii="Verdana" w:hAnsi="Verdana"/>
          <w:sz w:val="16"/>
          <w:szCs w:val="16"/>
          <w:lang w:val="es-CR"/>
        </w:rPr>
        <w:t xml:space="preserve"> Nacional</w:t>
      </w:r>
      <w:r w:rsidR="00894A56" w:rsidRPr="006F1717">
        <w:rPr>
          <w:rFonts w:ascii="Verdana" w:hAnsi="Verdana"/>
          <w:sz w:val="16"/>
          <w:szCs w:val="16"/>
          <w:lang w:val="es-CR"/>
        </w:rPr>
        <w:t xml:space="preserve"> de erradicación de la mora judicial del Poder Judicial de la República de Honduras (anexo al escrito de observaciones de las representantes de 21 de diciembre de 2016); Plan Operativo Anual 2017 del Poder Judicial y oficio No. 06-OIP-P2017 suscrito el 16 de enero de 2017 por la Oficina de Transparencia y Acceso a la Información Pública del Poder Judicial (anexos al escrito de observaciones de las representantes de 15 de febrero de 2017). Asimismo, e</w:t>
      </w:r>
      <w:r w:rsidRPr="006F1717">
        <w:rPr>
          <w:rFonts w:ascii="Verdana" w:hAnsi="Verdana"/>
          <w:sz w:val="16"/>
          <w:szCs w:val="16"/>
          <w:lang w:val="es-CR"/>
        </w:rPr>
        <w:t>n notas de medios de prensa hondureños de enero y febrero de 2017, se informó que: i) el Congreso Nacional aprobó un incremento del “presupuesto anua</w:t>
      </w:r>
      <w:r w:rsidR="00C7601C" w:rsidRPr="006F1717">
        <w:rPr>
          <w:rFonts w:ascii="Verdana" w:hAnsi="Verdana"/>
          <w:sz w:val="16"/>
          <w:szCs w:val="16"/>
          <w:lang w:val="es-CR"/>
        </w:rPr>
        <w:t>l a los operadores de justicia”</w:t>
      </w:r>
      <w:r w:rsidRPr="006F1717">
        <w:rPr>
          <w:rFonts w:ascii="Verdana" w:hAnsi="Verdana"/>
          <w:sz w:val="16"/>
          <w:szCs w:val="16"/>
          <w:lang w:val="es-CR"/>
        </w:rPr>
        <w:t xml:space="preserve">; ii) el Presidente de la Corte Suprema de Justicia “destacó que en […] casi 12 meses de gestión se creó el Circuito de Juzgados en Materia de Corrupción, que incluye los juzgados de letras [para] Tegucigalpa, San Pedro Sula y la Ceiba[, así como] los tribunales de sentencia y la Corte de Apelaciones de lo Penal con Competencia Nacional en esa materia”, y iii) el referido Presidente </w:t>
      </w:r>
      <w:r w:rsidR="00D3606C" w:rsidRPr="006F1717">
        <w:rPr>
          <w:rFonts w:ascii="Verdana" w:hAnsi="Verdana"/>
          <w:sz w:val="16"/>
          <w:szCs w:val="16"/>
          <w:lang w:val="es-CR"/>
        </w:rPr>
        <w:t>señaló</w:t>
      </w:r>
      <w:r w:rsidRPr="006F1717">
        <w:rPr>
          <w:rFonts w:ascii="Verdana" w:hAnsi="Verdana"/>
          <w:sz w:val="16"/>
          <w:szCs w:val="16"/>
          <w:lang w:val="es-CR"/>
        </w:rPr>
        <w:t xml:space="preserve"> que uno de los problemas que “encontr[ó] es que había muchas plazas vacantes de jueces[,] magistrados[,] juzgados y tribunales, así como cortes de apelaciones a medio a funcionar. En [razón de ello, indicó que] se procedió a nombrar de manera interina y como establece la ley, a algunos jueces y magistrados que reúnen los requisitos</w:t>
      </w:r>
      <w:r w:rsidR="0007593D">
        <w:rPr>
          <w:rFonts w:ascii="Verdana" w:hAnsi="Verdana"/>
          <w:sz w:val="16"/>
          <w:szCs w:val="16"/>
          <w:lang w:val="es-CR"/>
        </w:rPr>
        <w:t>”</w:t>
      </w:r>
      <w:r w:rsidRPr="006F1717">
        <w:rPr>
          <w:rFonts w:ascii="Verdana" w:hAnsi="Verdana"/>
          <w:sz w:val="16"/>
          <w:szCs w:val="16"/>
          <w:lang w:val="es-CR"/>
        </w:rPr>
        <w:t xml:space="preserve">. </w:t>
      </w:r>
      <w:r w:rsidRPr="006F1717">
        <w:rPr>
          <w:rFonts w:ascii="Verdana" w:hAnsi="Verdana"/>
          <w:i/>
          <w:sz w:val="16"/>
          <w:szCs w:val="16"/>
          <w:lang w:val="es-CR"/>
        </w:rPr>
        <w:t xml:space="preserve">Cfr. </w:t>
      </w:r>
      <w:r w:rsidRPr="006F1717">
        <w:rPr>
          <w:rFonts w:ascii="Verdana" w:hAnsi="Verdana"/>
          <w:sz w:val="16"/>
          <w:szCs w:val="16"/>
          <w:lang w:val="es-CR"/>
        </w:rPr>
        <w:t>Nota de prensa publicada digitalmente en el “Diario El Heraldo” el 1 de enero de 2017, titulada “Honduras: presupuestos del MP y CSJ aumentan en L 542</w:t>
      </w:r>
      <w:r w:rsidR="00272B68" w:rsidRPr="006F1717">
        <w:rPr>
          <w:rFonts w:ascii="Verdana" w:hAnsi="Verdana"/>
          <w:sz w:val="16"/>
          <w:szCs w:val="16"/>
          <w:lang w:val="es-CR"/>
        </w:rPr>
        <w:t xml:space="preserve"> millones”; </w:t>
      </w:r>
      <w:r w:rsidRPr="006F1717">
        <w:rPr>
          <w:rFonts w:ascii="Verdana" w:hAnsi="Verdana"/>
          <w:sz w:val="16"/>
          <w:szCs w:val="16"/>
          <w:lang w:val="es-CR"/>
        </w:rPr>
        <w:t>nota de prensa publicada digitalmente en el “Diario La Prensa” el 25 de enero de 2017, titulada “Presidente de la Corte pide cumplir con el 3%” (anexos al escrito de observaciones de las representantes de 10 de febrero de 2017), nota de prensa publicada digitalmente en el “Diario La Prensa” el 19 de febrero de 2017, titulada “Rolando Argueta: Jueces y magistrados serán certificados” (anexo al escrito de observaciones de las representantes de 30 de marzo de 2017)</w:t>
      </w:r>
      <w:r w:rsidR="00486732">
        <w:rPr>
          <w:rFonts w:ascii="Verdana" w:hAnsi="Verdana"/>
          <w:sz w:val="16"/>
          <w:szCs w:val="16"/>
          <w:lang w:val="es-CR"/>
        </w:rPr>
        <w:t xml:space="preserve"> y escrito de observaciones de las representantes de las víctimas de 3 de mayo de 2017</w:t>
      </w:r>
      <w:r w:rsidRPr="006F1717">
        <w:rPr>
          <w:rFonts w:ascii="Verdana" w:hAnsi="Verdana"/>
          <w:sz w:val="16"/>
          <w:szCs w:val="16"/>
          <w:lang w:val="es-CR"/>
        </w:rPr>
        <w:t>.</w:t>
      </w:r>
      <w:r w:rsidR="00894A56" w:rsidRPr="006F1717">
        <w:rPr>
          <w:rFonts w:ascii="Verdana" w:hAnsi="Verdana"/>
          <w:sz w:val="16"/>
          <w:szCs w:val="16"/>
          <w:lang w:val="es-CR"/>
        </w:rPr>
        <w:t xml:space="preserve"> </w:t>
      </w:r>
    </w:p>
  </w:footnote>
  <w:footnote w:id="37">
    <w:p w:rsidR="00C7601C" w:rsidRPr="006F1717" w:rsidRDefault="00C7601C"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Pr="006F1717">
        <w:rPr>
          <w:rFonts w:ascii="Verdana" w:hAnsi="Verdana"/>
          <w:i/>
          <w:sz w:val="16"/>
          <w:szCs w:val="16"/>
          <w:lang w:val="es-CR"/>
        </w:rPr>
        <w:t xml:space="preserve">Cfr. </w:t>
      </w:r>
      <w:r w:rsidRPr="006F1717">
        <w:rPr>
          <w:rFonts w:ascii="Verdana" w:hAnsi="Verdana"/>
          <w:sz w:val="16"/>
          <w:szCs w:val="16"/>
          <w:lang w:val="es-CR"/>
        </w:rPr>
        <w:t>A</w:t>
      </w:r>
      <w:r w:rsidR="00282C2A">
        <w:rPr>
          <w:rFonts w:ascii="Verdana" w:hAnsi="Verdana"/>
          <w:sz w:val="16"/>
          <w:szCs w:val="16"/>
          <w:lang w:val="es-CR"/>
        </w:rPr>
        <w:t>mbos alegatos los expuso el Estado en la a</w:t>
      </w:r>
      <w:r w:rsidRPr="006F1717">
        <w:rPr>
          <w:rFonts w:ascii="Verdana" w:hAnsi="Verdana"/>
          <w:sz w:val="16"/>
          <w:szCs w:val="16"/>
          <w:lang w:val="es-CR"/>
        </w:rPr>
        <w:t>udiencia de supervisión de 10 de febrero de 2017.</w:t>
      </w:r>
    </w:p>
  </w:footnote>
  <w:footnote w:id="38">
    <w:p w:rsidR="007C0E70" w:rsidRPr="006F1717" w:rsidRDefault="007C0E7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00272B68" w:rsidRPr="006F1717">
        <w:rPr>
          <w:rFonts w:ascii="Verdana" w:hAnsi="Verdana"/>
          <w:i/>
          <w:sz w:val="16"/>
          <w:szCs w:val="16"/>
          <w:lang w:val="es-CR"/>
        </w:rPr>
        <w:t xml:space="preserve">Cfr. </w:t>
      </w:r>
      <w:r w:rsidR="00272B68" w:rsidRPr="006F1717">
        <w:rPr>
          <w:rFonts w:ascii="Verdana" w:hAnsi="Verdana" w:cs="Arial"/>
          <w:i/>
          <w:sz w:val="16"/>
          <w:szCs w:val="16"/>
          <w:lang w:val="es-CR"/>
        </w:rPr>
        <w:t xml:space="preserve">Caso </w:t>
      </w:r>
      <w:r w:rsidR="00272B68" w:rsidRPr="006F1717">
        <w:rPr>
          <w:rFonts w:ascii="Verdana" w:hAnsi="Verdana"/>
          <w:i/>
          <w:sz w:val="16"/>
          <w:szCs w:val="16"/>
          <w:lang w:val="es-CR"/>
        </w:rPr>
        <w:t xml:space="preserve">del Tribunal Constitucional (Camba Campos y otros), supra </w:t>
      </w:r>
      <w:r w:rsidR="00272B68" w:rsidRPr="006F1717">
        <w:rPr>
          <w:rFonts w:ascii="Verdana" w:hAnsi="Verdana"/>
          <w:sz w:val="16"/>
          <w:szCs w:val="16"/>
          <w:lang w:val="es-CR"/>
        </w:rPr>
        <w:t xml:space="preserve">nota </w:t>
      </w:r>
      <w:r w:rsidR="00C63280">
        <w:rPr>
          <w:rFonts w:ascii="Verdana" w:hAnsi="Verdana"/>
          <w:sz w:val="16"/>
          <w:szCs w:val="16"/>
          <w:lang w:val="es-CR"/>
        </w:rPr>
        <w:t>29</w:t>
      </w:r>
      <w:r w:rsidR="00272B68" w:rsidRPr="006F1717">
        <w:rPr>
          <w:rFonts w:ascii="Verdana" w:hAnsi="Verdana"/>
          <w:sz w:val="16"/>
          <w:szCs w:val="16"/>
          <w:lang w:val="es-CR"/>
        </w:rPr>
        <w:t>, párr. 262.</w:t>
      </w:r>
    </w:p>
  </w:footnote>
  <w:footnote w:id="39">
    <w:p w:rsidR="0019666C" w:rsidRPr="006F1717" w:rsidRDefault="0019666C"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0043145B">
        <w:rPr>
          <w:rFonts w:ascii="Verdana" w:hAnsi="Verdana"/>
          <w:i/>
          <w:sz w:val="16"/>
          <w:szCs w:val="16"/>
          <w:lang w:val="es-CR"/>
        </w:rPr>
        <w:t xml:space="preserve">Cfr. </w:t>
      </w:r>
      <w:r w:rsidR="0043145B">
        <w:rPr>
          <w:rFonts w:ascii="Verdana" w:hAnsi="Verdana"/>
          <w:sz w:val="16"/>
          <w:szCs w:val="16"/>
          <w:lang w:val="es-CR"/>
        </w:rPr>
        <w:t>Escrito de 3 de noviembre de 2016 suscrito por las víctimas Adán Guillermo López Lone y Tirza del Carmen Flores Lanza (anexo al informe estatal de 18 de noviembre de 2016).</w:t>
      </w:r>
    </w:p>
  </w:footnote>
  <w:footnote w:id="40">
    <w:p w:rsidR="00F7463D" w:rsidRPr="006F1717" w:rsidRDefault="00F7463D" w:rsidP="00DE6711">
      <w:pPr>
        <w:pStyle w:val="Textonotapie"/>
        <w:tabs>
          <w:tab w:val="left" w:pos="540"/>
        </w:tabs>
        <w:jc w:val="both"/>
        <w:rPr>
          <w:rFonts w:ascii="Verdana" w:hAnsi="Verdana"/>
          <w:b/>
          <w:sz w:val="16"/>
          <w:szCs w:val="16"/>
          <w:lang w:val="es-CR"/>
        </w:rPr>
      </w:pPr>
      <w:r w:rsidRPr="006F1717">
        <w:rPr>
          <w:rStyle w:val="Refdenotaalpie"/>
          <w:rFonts w:ascii="Verdana" w:hAnsi="Verdana"/>
          <w:sz w:val="16"/>
          <w:szCs w:val="16"/>
        </w:rPr>
        <w:footnoteRef/>
      </w:r>
      <w:r w:rsidR="007D6C38" w:rsidRPr="006F1717">
        <w:rPr>
          <w:rFonts w:ascii="Verdana" w:hAnsi="Verdana"/>
          <w:sz w:val="16"/>
          <w:szCs w:val="16"/>
          <w:lang w:val="es-CR"/>
        </w:rPr>
        <w:t xml:space="preserve"> </w:t>
      </w:r>
      <w:r w:rsidR="007D6C38" w:rsidRPr="006F1717">
        <w:rPr>
          <w:rFonts w:ascii="Verdana" w:hAnsi="Verdana"/>
          <w:sz w:val="16"/>
          <w:szCs w:val="16"/>
          <w:lang w:val="es-CR"/>
        </w:rPr>
        <w:tab/>
        <w:t xml:space="preserve">El escrito presentado en el presente caso en calidad de </w:t>
      </w:r>
      <w:r w:rsidR="007D6C38" w:rsidRPr="006F1717">
        <w:rPr>
          <w:rFonts w:ascii="Verdana" w:hAnsi="Verdana"/>
          <w:i/>
          <w:sz w:val="16"/>
          <w:szCs w:val="16"/>
          <w:lang w:val="es-CR"/>
        </w:rPr>
        <w:t xml:space="preserve">amicus curiae </w:t>
      </w:r>
      <w:r w:rsidR="007D6C38" w:rsidRPr="006F1717">
        <w:rPr>
          <w:rFonts w:ascii="Verdana" w:hAnsi="Verdana"/>
          <w:sz w:val="16"/>
          <w:szCs w:val="16"/>
          <w:lang w:val="es-CR"/>
        </w:rPr>
        <w:t>(</w:t>
      </w:r>
      <w:r w:rsidR="007D6C38" w:rsidRPr="006F1717">
        <w:rPr>
          <w:rFonts w:ascii="Verdana" w:hAnsi="Verdana"/>
          <w:i/>
          <w:sz w:val="16"/>
          <w:szCs w:val="16"/>
          <w:lang w:val="es-CR"/>
        </w:rPr>
        <w:t xml:space="preserve">supra </w:t>
      </w:r>
      <w:r w:rsidR="007D6C38" w:rsidRPr="006F1717">
        <w:rPr>
          <w:rFonts w:ascii="Verdana" w:hAnsi="Verdana"/>
          <w:sz w:val="16"/>
          <w:szCs w:val="16"/>
          <w:lang w:val="es-CR"/>
        </w:rPr>
        <w:t>Visto 5) contiene una posición en el mismo sentido. E</w:t>
      </w:r>
      <w:r w:rsidRPr="006F1717">
        <w:rPr>
          <w:rFonts w:ascii="Verdana" w:hAnsi="Verdana"/>
          <w:sz w:val="16"/>
          <w:szCs w:val="16"/>
          <w:lang w:val="es-CR"/>
        </w:rPr>
        <w:t xml:space="preserve">l Comité de Derechos Humanos del Colegio de Abogados de Inglaterra y Gales señaló, en síntesis, que “[l]os Estados que improcedentemente cesen a jueces incumpliendo los derechos reconocidos por la Convención [Americana sobre Derechos Humanos] deben saber y deben recibir el mensaje contundente </w:t>
      </w:r>
      <w:r w:rsidR="0019666C" w:rsidRPr="006F1717">
        <w:rPr>
          <w:rFonts w:ascii="Verdana" w:hAnsi="Verdana"/>
          <w:sz w:val="16"/>
          <w:szCs w:val="16"/>
          <w:lang w:val="es-CR"/>
        </w:rPr>
        <w:t xml:space="preserve">de </w:t>
      </w:r>
      <w:r w:rsidRPr="006F1717">
        <w:rPr>
          <w:rFonts w:ascii="Verdana" w:hAnsi="Verdana"/>
          <w:sz w:val="16"/>
          <w:szCs w:val="16"/>
          <w:lang w:val="es-CR"/>
        </w:rPr>
        <w:t>que [deberán] reincorpora[r] a esos jueces a sus posiciones […] como parte de la ejecución de [las S</w:t>
      </w:r>
      <w:proofErr w:type="gramStart"/>
      <w:r w:rsidRPr="006F1717">
        <w:rPr>
          <w:rFonts w:ascii="Verdana" w:hAnsi="Verdana"/>
          <w:sz w:val="16"/>
          <w:szCs w:val="16"/>
          <w:lang w:val="es-CR"/>
        </w:rPr>
        <w:t>]entencias</w:t>
      </w:r>
      <w:proofErr w:type="gramEnd"/>
      <w:r w:rsidR="007D6C38" w:rsidRPr="006F1717">
        <w:rPr>
          <w:rFonts w:ascii="Verdana" w:hAnsi="Verdana"/>
          <w:sz w:val="16"/>
          <w:szCs w:val="16"/>
          <w:lang w:val="es-CR"/>
        </w:rPr>
        <w:t xml:space="preserve">” </w:t>
      </w:r>
      <w:r w:rsidRPr="006F1717">
        <w:rPr>
          <w:rFonts w:ascii="Verdana" w:hAnsi="Verdana"/>
          <w:sz w:val="16"/>
          <w:szCs w:val="16"/>
          <w:lang w:val="es-CR"/>
        </w:rPr>
        <w:t xml:space="preserve">de la Corte. </w:t>
      </w:r>
      <w:r w:rsidR="007D6C38" w:rsidRPr="006F1717">
        <w:rPr>
          <w:rFonts w:ascii="Verdana" w:hAnsi="Verdana"/>
          <w:sz w:val="16"/>
          <w:szCs w:val="16"/>
          <w:lang w:val="es-CR"/>
        </w:rPr>
        <w:t>También destacaron</w:t>
      </w:r>
      <w:r w:rsidRPr="006F1717">
        <w:rPr>
          <w:rFonts w:ascii="Verdana" w:hAnsi="Verdana"/>
          <w:sz w:val="16"/>
          <w:szCs w:val="16"/>
          <w:lang w:val="es-CR"/>
        </w:rPr>
        <w:t xml:space="preserve"> que “no reincorporar a los jueces […] tendría repercusiones más allá de las circunstancias particulares consideradas por la Corte [en el </w:t>
      </w:r>
      <w:r w:rsidR="0019666C" w:rsidRPr="006F1717">
        <w:rPr>
          <w:rFonts w:ascii="Verdana" w:hAnsi="Verdana"/>
          <w:sz w:val="16"/>
          <w:szCs w:val="16"/>
          <w:lang w:val="es-CR"/>
        </w:rPr>
        <w:t xml:space="preserve">presente </w:t>
      </w:r>
      <w:r w:rsidRPr="006F1717">
        <w:rPr>
          <w:rFonts w:ascii="Verdana" w:hAnsi="Verdana"/>
          <w:sz w:val="16"/>
          <w:szCs w:val="16"/>
          <w:lang w:val="es-CR"/>
        </w:rPr>
        <w:t xml:space="preserve">caso], ya que podría inhibir la participación de los jueces en el debate legal constitucional, en detrimento de la </w:t>
      </w:r>
      <w:r w:rsidR="007D6C38" w:rsidRPr="006F1717">
        <w:rPr>
          <w:rFonts w:ascii="Verdana" w:hAnsi="Verdana"/>
          <w:sz w:val="16"/>
          <w:szCs w:val="16"/>
          <w:lang w:val="es-CR"/>
        </w:rPr>
        <w:t>adecuada</w:t>
      </w:r>
      <w:r w:rsidRPr="006F1717">
        <w:rPr>
          <w:rFonts w:ascii="Verdana" w:hAnsi="Verdana"/>
          <w:sz w:val="16"/>
          <w:szCs w:val="16"/>
          <w:lang w:val="es-CR"/>
        </w:rPr>
        <w:t xml:space="preserve"> aplicación de la legalidad, tanto en Honduras como en otros países”. El referido Comité </w:t>
      </w:r>
      <w:r w:rsidR="007D6C38" w:rsidRPr="006F1717">
        <w:rPr>
          <w:rFonts w:ascii="Verdana" w:hAnsi="Verdana"/>
          <w:sz w:val="16"/>
          <w:szCs w:val="16"/>
          <w:lang w:val="es-CR"/>
        </w:rPr>
        <w:t>concluyó</w:t>
      </w:r>
      <w:r w:rsidRPr="006F1717">
        <w:rPr>
          <w:rFonts w:ascii="Verdana" w:hAnsi="Verdana"/>
          <w:sz w:val="16"/>
          <w:szCs w:val="16"/>
          <w:lang w:val="es-CR"/>
        </w:rPr>
        <w:t xml:space="preserve"> que la reincorporación de los jueces “es la única medida justa” para el presente caso. </w:t>
      </w:r>
    </w:p>
  </w:footnote>
  <w:footnote w:id="41">
    <w:p w:rsidR="007C0E70" w:rsidRPr="006F1717" w:rsidRDefault="007C0E7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 xml:space="preserve">El enlace proporcionado por el Estado es </w:t>
      </w:r>
      <w:hyperlink r:id="rId3" w:history="1">
        <w:r w:rsidRPr="006F1717">
          <w:rPr>
            <w:rStyle w:val="Hipervnculo"/>
            <w:rFonts w:ascii="Verdana" w:hAnsi="Verdana"/>
            <w:color w:val="auto"/>
            <w:sz w:val="16"/>
            <w:szCs w:val="16"/>
            <w:u w:val="none"/>
            <w:lang w:val="es-CR"/>
          </w:rPr>
          <w:t>www.poderjudicial.gob.hn</w:t>
        </w:r>
      </w:hyperlink>
      <w:r w:rsidRPr="006F1717">
        <w:rPr>
          <w:rFonts w:ascii="Verdana" w:hAnsi="Verdana"/>
          <w:sz w:val="16"/>
          <w:szCs w:val="16"/>
          <w:lang w:val="es-CR"/>
        </w:rPr>
        <w:t xml:space="preserve">. </w:t>
      </w:r>
    </w:p>
  </w:footnote>
  <w:footnote w:id="42">
    <w:p w:rsidR="007C0E70" w:rsidRPr="006F1717" w:rsidRDefault="007C0E7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 xml:space="preserve">Respecto al daño material, la Corte recordó en la Sentencia que “en el marco del daño material, deben ser reconocidos los salarios y prestaciones sociales dejados de percibir por las víctimas desde el momento de su remoción arbitraria hasta la fecha de emisión de la […] Sentencia, incluyendo los intereses pertinentes y otros conceptos anexos”. Por tanto, “en atención a los cálculos presentados por los representantes en el marco de los salarios dejados de percibir”, la Corte decidió fijar las cantidades de “US$ 162.000,00 (ciento sesenta y dos mil dólares de los Estados Unidos de América) a favor de Adán Guillermo López Lone; US$ 214.000,00 (doscientos catorce mil dólares de los Estados Unidos de América) a favor de Tirza del Carmen Flores Lanza, y US$ 49.000,00 (cuarenta y nueve mil dólares de los Estados Unidos de América) a favor de Luis Alonso Chévez de la Rocha por concepto de pérdida de ingresos”. Adicionalmente, la Corte fijó “en equidad”, la cantidad de “US$ 5.000,00 (cinco mil dólares de los Estados Unidos de América) a cada una de las víctimas, los señores Adán Guillermo López Lone, Luis Chévez de la Rocha y Ramón Barrios Maldonado y la señora Tirza del Carmen Flores Lanza, por concepto de daño emergente”. </w:t>
      </w:r>
    </w:p>
  </w:footnote>
  <w:footnote w:id="43">
    <w:p w:rsidR="007C0E70" w:rsidRPr="006F1717" w:rsidRDefault="007C0E7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 xml:space="preserve">Respecto al daño inmaterial, el Tribunal consideró “pertinente fijar, en equidad, la cantidad de US$ 10.000,00 (diez mil dólares de los Estados Unidos de América) por concepto de daño inmaterial para cada uno de los señores Adán Guillermo López Lone, Luis Chévez de la Rocha, Ramón Barrios Maldonado y la señora Tirza del Carmen Flores Lanza”. </w:t>
      </w:r>
    </w:p>
  </w:footnote>
  <w:footnote w:id="44">
    <w:p w:rsidR="007C0E70" w:rsidRPr="006F1717" w:rsidRDefault="007C0E7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00CC002A" w:rsidRPr="006F1717">
        <w:rPr>
          <w:rFonts w:ascii="Verdana" w:hAnsi="Verdana"/>
          <w:sz w:val="16"/>
          <w:szCs w:val="16"/>
          <w:lang w:val="es-CR"/>
        </w:rPr>
        <w:t xml:space="preserve"> </w:t>
      </w:r>
      <w:r w:rsidR="00CC002A" w:rsidRPr="006F1717">
        <w:rPr>
          <w:rFonts w:ascii="Verdana" w:hAnsi="Verdana"/>
          <w:sz w:val="16"/>
          <w:szCs w:val="16"/>
          <w:lang w:val="es-CR"/>
        </w:rPr>
        <w:tab/>
        <w:t>La Corte ordenó el reintegro</w:t>
      </w:r>
      <w:r w:rsidRPr="006F1717">
        <w:rPr>
          <w:rFonts w:ascii="Verdana" w:hAnsi="Verdana"/>
          <w:sz w:val="16"/>
          <w:szCs w:val="16"/>
          <w:lang w:val="es-CR"/>
        </w:rPr>
        <w:t xml:space="preserve"> </w:t>
      </w:r>
      <w:r w:rsidR="00CC002A" w:rsidRPr="006F1717">
        <w:rPr>
          <w:rFonts w:ascii="Verdana" w:hAnsi="Verdana"/>
          <w:sz w:val="16"/>
          <w:szCs w:val="16"/>
          <w:lang w:val="es-CR"/>
        </w:rPr>
        <w:t>por concepto de costas y gastos</w:t>
      </w:r>
      <w:r w:rsidR="00F17CED" w:rsidRPr="006F1717">
        <w:rPr>
          <w:rFonts w:ascii="Verdana" w:hAnsi="Verdana"/>
          <w:sz w:val="16"/>
          <w:szCs w:val="16"/>
          <w:lang w:val="es-CR"/>
        </w:rPr>
        <w:t xml:space="preserve"> por </w:t>
      </w:r>
      <w:r w:rsidR="00D67CD1">
        <w:rPr>
          <w:rFonts w:ascii="Verdana" w:hAnsi="Verdana"/>
          <w:sz w:val="16"/>
          <w:szCs w:val="16"/>
          <w:lang w:val="es-CR"/>
        </w:rPr>
        <w:t xml:space="preserve">los </w:t>
      </w:r>
      <w:r w:rsidR="00F17CED" w:rsidRPr="006F1717">
        <w:rPr>
          <w:rFonts w:ascii="Verdana" w:hAnsi="Verdana"/>
          <w:sz w:val="16"/>
          <w:szCs w:val="16"/>
          <w:lang w:val="es-CR"/>
        </w:rPr>
        <w:t>montos</w:t>
      </w:r>
      <w:r w:rsidRPr="006F1717">
        <w:rPr>
          <w:rFonts w:ascii="Verdana" w:hAnsi="Verdana"/>
          <w:sz w:val="16"/>
          <w:szCs w:val="16"/>
          <w:lang w:val="es-CR"/>
        </w:rPr>
        <w:t xml:space="preserve"> de “US $12.057,06 (doce mil cincuenta y siete dólares de los Estados Unidos de América con seis centavos) a la Asociación de Jueces por la Democracia y US $41.423,75 (cuarenta y un mil cuatrocientos </w:t>
      </w:r>
      <w:r w:rsidR="009B16E2" w:rsidRPr="006F1717">
        <w:rPr>
          <w:rFonts w:ascii="Verdana" w:hAnsi="Verdana"/>
          <w:sz w:val="16"/>
          <w:szCs w:val="16"/>
          <w:lang w:val="es-CR"/>
        </w:rPr>
        <w:t>veintitrés</w:t>
      </w:r>
      <w:r w:rsidRPr="006F1717">
        <w:rPr>
          <w:rFonts w:ascii="Verdana" w:hAnsi="Verdana"/>
          <w:sz w:val="16"/>
          <w:szCs w:val="16"/>
          <w:lang w:val="es-CR"/>
        </w:rPr>
        <w:t xml:space="preserve"> dólares de los Estados Unidos de América con setenta y cinco centavos) a CEJIL”. </w:t>
      </w:r>
    </w:p>
  </w:footnote>
  <w:footnote w:id="45">
    <w:p w:rsidR="007C0E70" w:rsidRPr="006F1717" w:rsidRDefault="007C0E7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t>Escrito</w:t>
      </w:r>
      <w:r w:rsidR="00D67CD1">
        <w:rPr>
          <w:rFonts w:ascii="Verdana" w:hAnsi="Verdana"/>
          <w:sz w:val="16"/>
          <w:szCs w:val="16"/>
          <w:lang w:val="es-CR"/>
        </w:rPr>
        <w:t>s</w:t>
      </w:r>
      <w:r w:rsidRPr="006F1717">
        <w:rPr>
          <w:rFonts w:ascii="Verdana" w:hAnsi="Verdana"/>
          <w:sz w:val="16"/>
          <w:szCs w:val="16"/>
          <w:lang w:val="es-CR"/>
        </w:rPr>
        <w:t xml:space="preserve"> de observaciones de las representantes de las víctimas de 21 de diciembre de 2016</w:t>
      </w:r>
      <w:r w:rsidR="00F17CED" w:rsidRPr="006F1717">
        <w:rPr>
          <w:rFonts w:ascii="Verdana" w:hAnsi="Verdana"/>
          <w:sz w:val="16"/>
          <w:szCs w:val="16"/>
          <w:lang w:val="es-CR"/>
        </w:rPr>
        <w:t>,</w:t>
      </w:r>
      <w:r w:rsidRPr="006F1717">
        <w:rPr>
          <w:rFonts w:ascii="Verdana" w:hAnsi="Verdana"/>
          <w:sz w:val="16"/>
          <w:szCs w:val="16"/>
          <w:lang w:val="es-CR"/>
        </w:rPr>
        <w:t xml:space="preserve"> 30 de marzo</w:t>
      </w:r>
      <w:r w:rsidR="00F17CED" w:rsidRPr="006F1717">
        <w:rPr>
          <w:rFonts w:ascii="Verdana" w:hAnsi="Verdana"/>
          <w:sz w:val="16"/>
          <w:szCs w:val="16"/>
          <w:lang w:val="es-CR"/>
        </w:rPr>
        <w:t xml:space="preserve"> y 3 de mayo</w:t>
      </w:r>
      <w:r w:rsidRPr="006F1717">
        <w:rPr>
          <w:rFonts w:ascii="Verdana" w:hAnsi="Verdana"/>
          <w:sz w:val="16"/>
          <w:szCs w:val="16"/>
          <w:lang w:val="es-CR"/>
        </w:rPr>
        <w:t xml:space="preserve"> de 2017.</w:t>
      </w:r>
    </w:p>
  </w:footnote>
  <w:footnote w:id="46">
    <w:p w:rsidR="007C0E70" w:rsidRPr="006F1717" w:rsidRDefault="007C0E70" w:rsidP="00DE6711">
      <w:pPr>
        <w:pStyle w:val="Textonotapie"/>
        <w:tabs>
          <w:tab w:val="left" w:pos="540"/>
        </w:tabs>
        <w:jc w:val="both"/>
        <w:rPr>
          <w:rFonts w:ascii="Verdana" w:hAnsi="Verdana"/>
          <w:b/>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001E5755" w:rsidRPr="006F1717">
        <w:rPr>
          <w:rFonts w:ascii="Verdana" w:hAnsi="Verdana"/>
          <w:sz w:val="16"/>
          <w:szCs w:val="16"/>
          <w:lang w:val="es-CR"/>
        </w:rPr>
        <w:t xml:space="preserve">El Estado hizo un solo pago </w:t>
      </w:r>
      <w:r w:rsidR="002E1374" w:rsidRPr="006F1717">
        <w:rPr>
          <w:rFonts w:ascii="Verdana" w:hAnsi="Verdana"/>
          <w:sz w:val="16"/>
          <w:szCs w:val="16"/>
          <w:lang w:val="es-CR"/>
        </w:rPr>
        <w:t xml:space="preserve">al señor Chévez de la Rocha, </w:t>
      </w:r>
      <w:r w:rsidR="001E5755" w:rsidRPr="006F1717">
        <w:rPr>
          <w:rFonts w:ascii="Verdana" w:hAnsi="Verdana"/>
          <w:sz w:val="16"/>
          <w:szCs w:val="16"/>
          <w:lang w:val="es-CR"/>
        </w:rPr>
        <w:t xml:space="preserve">que contempla los diferentes montos ordenados por </w:t>
      </w:r>
      <w:r w:rsidRPr="006F1717">
        <w:rPr>
          <w:rFonts w:ascii="Verdana" w:hAnsi="Verdana"/>
          <w:sz w:val="16"/>
          <w:szCs w:val="16"/>
          <w:lang w:val="es-CR"/>
        </w:rPr>
        <w:t>concepto de</w:t>
      </w:r>
      <w:r w:rsidR="001E5755" w:rsidRPr="006F1717">
        <w:rPr>
          <w:rFonts w:ascii="Verdana" w:hAnsi="Verdana"/>
          <w:sz w:val="16"/>
          <w:szCs w:val="16"/>
          <w:lang w:val="es-CR"/>
        </w:rPr>
        <w:t>:</w:t>
      </w:r>
      <w:r w:rsidRPr="006F1717">
        <w:rPr>
          <w:rFonts w:ascii="Verdana" w:hAnsi="Verdana"/>
          <w:sz w:val="16"/>
          <w:szCs w:val="16"/>
          <w:lang w:val="es-CR"/>
        </w:rPr>
        <w:t xml:space="preserve"> pérdida de ingresos, daño emergente</w:t>
      </w:r>
      <w:r w:rsidR="001E5755" w:rsidRPr="006F1717">
        <w:rPr>
          <w:rFonts w:ascii="Verdana" w:hAnsi="Verdana"/>
          <w:sz w:val="16"/>
          <w:szCs w:val="16"/>
          <w:lang w:val="es-CR"/>
        </w:rPr>
        <w:t xml:space="preserve">, daño inmaterial e </w:t>
      </w:r>
      <w:r w:rsidRPr="006F1717">
        <w:rPr>
          <w:rFonts w:ascii="Verdana" w:hAnsi="Verdana"/>
          <w:sz w:val="16"/>
          <w:szCs w:val="16"/>
          <w:lang w:val="es-CR"/>
        </w:rPr>
        <w:t>indemnización por no reintegrarlo. En razón de ello, el pago realizado por el Estado a la víctima Chévez de la Rocha fue por un total de US$ 214.000,00 (doscientos catorce mil dólares de los Estados Unidos de América)</w:t>
      </w:r>
      <w:r w:rsidR="002E1374" w:rsidRPr="006F1717">
        <w:rPr>
          <w:rFonts w:ascii="Verdana" w:hAnsi="Verdana"/>
          <w:sz w:val="16"/>
          <w:szCs w:val="16"/>
          <w:lang w:val="es-CR"/>
        </w:rPr>
        <w:t>, equivalente a Lps. 4</w:t>
      </w:r>
      <w:r w:rsidR="00D66D2B" w:rsidRPr="006F1717">
        <w:rPr>
          <w:rFonts w:ascii="Verdana" w:hAnsi="Verdana"/>
          <w:sz w:val="16"/>
          <w:szCs w:val="16"/>
          <w:lang w:val="es-CR"/>
        </w:rPr>
        <w:t>, 954,639.00</w:t>
      </w:r>
      <w:r w:rsidRPr="006F1717">
        <w:rPr>
          <w:rFonts w:ascii="Verdana" w:hAnsi="Verdana"/>
          <w:sz w:val="16"/>
          <w:szCs w:val="16"/>
          <w:lang w:val="es-CR"/>
        </w:rPr>
        <w:t xml:space="preserve">. </w:t>
      </w:r>
      <w:r w:rsidRPr="006F1717">
        <w:rPr>
          <w:rFonts w:ascii="Verdana" w:hAnsi="Verdana"/>
          <w:i/>
          <w:sz w:val="16"/>
          <w:szCs w:val="16"/>
          <w:lang w:val="es-CR"/>
        </w:rPr>
        <w:t>Cfr</w:t>
      </w:r>
      <w:r w:rsidRPr="006F1717">
        <w:rPr>
          <w:rFonts w:ascii="Verdana" w:hAnsi="Verdana"/>
          <w:sz w:val="16"/>
          <w:szCs w:val="16"/>
          <w:lang w:val="es-CR"/>
        </w:rPr>
        <w:t xml:space="preserve">. Recibo emitido por la Pagaduría Especial de la Corte Suprema de Justicia el 28 de noviembre de 2016, firmado por la víctima </w:t>
      </w:r>
      <w:r w:rsidR="008B2354" w:rsidRPr="006F1717">
        <w:rPr>
          <w:rFonts w:ascii="Verdana" w:hAnsi="Verdana"/>
          <w:sz w:val="16"/>
          <w:szCs w:val="16"/>
          <w:lang w:val="es-CR"/>
        </w:rPr>
        <w:t>Luis Alonso Chévez de la Rocha, y</w:t>
      </w:r>
      <w:r w:rsidRPr="006F1717">
        <w:rPr>
          <w:rFonts w:ascii="Verdana" w:hAnsi="Verdana"/>
          <w:sz w:val="16"/>
          <w:szCs w:val="16"/>
          <w:lang w:val="es-CR"/>
        </w:rPr>
        <w:t xml:space="preserve"> copia del cheque de caja número 68206 de 25 de noviembre de 2016 a favor del señor Chévez de la Rocha (anexo</w:t>
      </w:r>
      <w:r w:rsidR="008B2354" w:rsidRPr="006F1717">
        <w:rPr>
          <w:rFonts w:ascii="Verdana" w:hAnsi="Verdana"/>
          <w:sz w:val="16"/>
          <w:szCs w:val="16"/>
          <w:lang w:val="es-CR"/>
        </w:rPr>
        <w:t>s</w:t>
      </w:r>
      <w:r w:rsidRPr="006F1717">
        <w:rPr>
          <w:rFonts w:ascii="Verdana" w:hAnsi="Verdana"/>
          <w:sz w:val="16"/>
          <w:szCs w:val="16"/>
          <w:lang w:val="es-CR"/>
        </w:rPr>
        <w:t xml:space="preserve"> al informe estatal de 12 de diciembre de 2016). </w:t>
      </w:r>
    </w:p>
  </w:footnote>
  <w:footnote w:id="47">
    <w:p w:rsidR="007C0E70" w:rsidRPr="006F1717" w:rsidRDefault="007C0E70" w:rsidP="00DE6711">
      <w:pPr>
        <w:pStyle w:val="Textonotapie"/>
        <w:tabs>
          <w:tab w:val="left" w:pos="540"/>
        </w:tabs>
        <w:jc w:val="both"/>
        <w:rPr>
          <w:rFonts w:ascii="Verdana" w:hAnsi="Verdana"/>
          <w:b/>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Pr="006F1717">
        <w:rPr>
          <w:rFonts w:ascii="Verdana" w:hAnsi="Verdana"/>
          <w:i/>
          <w:sz w:val="16"/>
          <w:szCs w:val="16"/>
          <w:lang w:val="es-CR"/>
        </w:rPr>
        <w:t>Cfr</w:t>
      </w:r>
      <w:r w:rsidRPr="006F1717">
        <w:rPr>
          <w:rFonts w:ascii="Verdana" w:hAnsi="Verdana"/>
          <w:sz w:val="16"/>
          <w:szCs w:val="16"/>
          <w:lang w:val="es-CR"/>
        </w:rPr>
        <w:t>. Recibos emitidos por la Pagaduría Especial de la Corte Suprema de Justicia el 6 de marzo de 2017, firmados por las víctimas Adán Guillermo López Lone y Tirza del Carmen Flores Lanza, mediante los cuales se hace constar que el señor López Lone recibió de la Pagaduría “[US]$</w:t>
      </w:r>
      <w:r w:rsidR="008A6DC7" w:rsidRPr="006F1717">
        <w:rPr>
          <w:rFonts w:ascii="Verdana" w:hAnsi="Verdana"/>
          <w:sz w:val="16"/>
          <w:szCs w:val="16"/>
          <w:lang w:val="es-CR"/>
        </w:rPr>
        <w:t xml:space="preserve"> </w:t>
      </w:r>
      <w:r w:rsidRPr="006F1717">
        <w:rPr>
          <w:rFonts w:ascii="Verdana" w:hAnsi="Verdana"/>
          <w:sz w:val="16"/>
          <w:szCs w:val="16"/>
          <w:lang w:val="es-CR"/>
        </w:rPr>
        <w:t xml:space="preserve">177,000.00 </w:t>
      </w:r>
      <w:r w:rsidR="002E1374" w:rsidRPr="006F1717">
        <w:rPr>
          <w:rFonts w:ascii="Verdana" w:hAnsi="Verdana"/>
          <w:sz w:val="16"/>
          <w:szCs w:val="16"/>
          <w:lang w:val="es-CR"/>
        </w:rPr>
        <w:t>[</w:t>
      </w:r>
      <w:r w:rsidRPr="006F1717">
        <w:rPr>
          <w:rFonts w:ascii="Verdana" w:hAnsi="Verdana"/>
          <w:sz w:val="16"/>
          <w:szCs w:val="16"/>
          <w:lang w:val="es-CR"/>
        </w:rPr>
        <w:t>ciento setenta y siete mil dólares de los Estados Unidos de América] e</w:t>
      </w:r>
      <w:r w:rsidR="007A1196" w:rsidRPr="006F1717">
        <w:rPr>
          <w:rFonts w:ascii="Verdana" w:hAnsi="Verdana"/>
          <w:sz w:val="16"/>
          <w:szCs w:val="16"/>
          <w:lang w:val="es-CR"/>
        </w:rPr>
        <w:t xml:space="preserve">quivalente a Lps. 4,095,514.50 </w:t>
      </w:r>
      <w:r w:rsidRPr="006F1717">
        <w:rPr>
          <w:rFonts w:ascii="Verdana" w:hAnsi="Verdana"/>
          <w:sz w:val="16"/>
          <w:szCs w:val="16"/>
          <w:lang w:val="es-CR"/>
        </w:rPr>
        <w:t>y la señora Flore</w:t>
      </w:r>
      <w:r w:rsidR="009B16E2" w:rsidRPr="006F1717">
        <w:rPr>
          <w:rFonts w:ascii="Verdana" w:hAnsi="Verdana"/>
          <w:sz w:val="16"/>
          <w:szCs w:val="16"/>
          <w:lang w:val="es-CR"/>
        </w:rPr>
        <w:t>s</w:t>
      </w:r>
      <w:r w:rsidRPr="006F1717">
        <w:rPr>
          <w:rFonts w:ascii="Verdana" w:hAnsi="Verdana"/>
          <w:sz w:val="16"/>
          <w:szCs w:val="16"/>
          <w:lang w:val="es-CR"/>
        </w:rPr>
        <w:t xml:space="preserve"> Lanza recibió de la Pagaduría “[US]$</w:t>
      </w:r>
      <w:r w:rsidR="008A6DC7" w:rsidRPr="006F1717">
        <w:rPr>
          <w:rFonts w:ascii="Verdana" w:hAnsi="Verdana"/>
          <w:sz w:val="16"/>
          <w:szCs w:val="16"/>
          <w:lang w:val="es-CR"/>
        </w:rPr>
        <w:t xml:space="preserve"> </w:t>
      </w:r>
      <w:r w:rsidRPr="006F1717">
        <w:rPr>
          <w:rFonts w:ascii="Verdana" w:hAnsi="Verdana"/>
          <w:sz w:val="16"/>
          <w:szCs w:val="16"/>
          <w:lang w:val="es-CR"/>
        </w:rPr>
        <w:t xml:space="preserve">229,000.00 [doscientos veintinueve mil dólares de los Estados Unidos de América] equivalente a Lps. 5,298,716.50”; copia del cheque de caja número 697177 de 6 de marzo de 2017 a favor del señor López Lone </w:t>
      </w:r>
      <w:r w:rsidR="007A1196" w:rsidRPr="006F1717">
        <w:rPr>
          <w:rFonts w:ascii="Verdana" w:hAnsi="Verdana"/>
          <w:sz w:val="16"/>
          <w:szCs w:val="16"/>
          <w:lang w:val="es-CR"/>
        </w:rPr>
        <w:t xml:space="preserve">y </w:t>
      </w:r>
      <w:r w:rsidRPr="006F1717">
        <w:rPr>
          <w:rFonts w:ascii="Verdana" w:hAnsi="Verdana"/>
          <w:sz w:val="16"/>
          <w:szCs w:val="16"/>
          <w:lang w:val="es-CR"/>
        </w:rPr>
        <w:t>copia del cheque de caja número 697178 de 6 de marzo de 2017 a favor de la señora Flores Lanza (anexo</w:t>
      </w:r>
      <w:r w:rsidR="007A1196" w:rsidRPr="006F1717">
        <w:rPr>
          <w:rFonts w:ascii="Verdana" w:hAnsi="Verdana"/>
          <w:sz w:val="16"/>
          <w:szCs w:val="16"/>
          <w:lang w:val="es-CR"/>
        </w:rPr>
        <w:t>s</w:t>
      </w:r>
      <w:r w:rsidRPr="006F1717">
        <w:rPr>
          <w:rFonts w:ascii="Verdana" w:hAnsi="Verdana"/>
          <w:sz w:val="16"/>
          <w:szCs w:val="16"/>
          <w:lang w:val="es-CR"/>
        </w:rPr>
        <w:t xml:space="preserve"> al informe estatal de 14 de marzo de 2017).</w:t>
      </w:r>
    </w:p>
  </w:footnote>
  <w:footnote w:id="48">
    <w:p w:rsidR="00E87B6A" w:rsidRPr="006F1717" w:rsidRDefault="00E87B6A" w:rsidP="00DE6711">
      <w:pPr>
        <w:pStyle w:val="Textonotapie"/>
        <w:tabs>
          <w:tab w:val="left" w:pos="540"/>
        </w:tabs>
        <w:jc w:val="both"/>
        <w:rPr>
          <w:rFonts w:ascii="Verdana" w:hAnsi="Verdana"/>
          <w:b/>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005E3AC4" w:rsidRPr="00F155AC">
        <w:rPr>
          <w:rFonts w:ascii="Verdana" w:hAnsi="Verdana"/>
          <w:sz w:val="16"/>
          <w:szCs w:val="16"/>
          <w:lang w:val="es-CR"/>
        </w:rPr>
        <w:t xml:space="preserve">El </w:t>
      </w:r>
      <w:r w:rsidR="005E3AC4" w:rsidRPr="002C0D35">
        <w:rPr>
          <w:rFonts w:ascii="Verdana" w:hAnsi="Verdana"/>
          <w:sz w:val="16"/>
          <w:szCs w:val="16"/>
          <w:lang w:val="es-CR"/>
        </w:rPr>
        <w:t xml:space="preserve">Estado únicamente acreditó contar con el dinero requerido para realizar el pago y haberlo solicitado a favor del señor Barrios Maldonado. </w:t>
      </w:r>
      <w:r w:rsidR="005E3AC4" w:rsidRPr="002C0D35">
        <w:rPr>
          <w:rFonts w:ascii="Verdana" w:hAnsi="Verdana"/>
          <w:i/>
          <w:sz w:val="16"/>
          <w:szCs w:val="16"/>
          <w:lang w:val="es-CR"/>
        </w:rPr>
        <w:t>Cfr</w:t>
      </w:r>
      <w:r w:rsidR="005E3AC4" w:rsidRPr="002C0D35">
        <w:rPr>
          <w:rFonts w:ascii="Verdana" w:hAnsi="Verdana"/>
          <w:sz w:val="16"/>
          <w:szCs w:val="16"/>
          <w:lang w:val="es-CR"/>
        </w:rPr>
        <w:t>. Oficio PCSJ No. 445-2016 de 10 de noviembre de 2016 suscrito por el Presidente del</w:t>
      </w:r>
      <w:r w:rsidR="005E3AC4" w:rsidRPr="00F155AC">
        <w:rPr>
          <w:rFonts w:ascii="Verdana" w:hAnsi="Verdana"/>
          <w:sz w:val="16"/>
          <w:szCs w:val="16"/>
          <w:lang w:val="es-CR"/>
        </w:rPr>
        <w:t xml:space="preserve"> Poder Judicial de Honduras y el Pagador Especial de Justicia, mediante el cual solicitaron congelar determinados montos a favor de las víctimas, entre ellas el señor Ramón Enrique Barrios Maldonado, y oficio GTIDH-59-2017 de 1 de febrero de 2017, suscrito por el Sub Procurador General de la República, mediante el cual solicita al Poder Judicial proceder a realizar el referido pago (documentación presentada por el Estado durante la audiencia privada de 10 de febrero de 2017).</w:t>
      </w:r>
      <w:r w:rsidRPr="006F1717">
        <w:rPr>
          <w:rFonts w:ascii="Verdana" w:hAnsi="Verdana"/>
          <w:sz w:val="16"/>
          <w:szCs w:val="16"/>
          <w:lang w:val="es-CR"/>
        </w:rPr>
        <w:t xml:space="preserve"> </w:t>
      </w:r>
    </w:p>
  </w:footnote>
  <w:footnote w:id="49">
    <w:p w:rsidR="009574EE" w:rsidRPr="002C0D35" w:rsidRDefault="009574EE"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3D407F">
        <w:rPr>
          <w:rFonts w:ascii="Verdana" w:hAnsi="Verdana"/>
          <w:sz w:val="16"/>
          <w:szCs w:val="16"/>
          <w:lang w:val="es-CR"/>
        </w:rPr>
        <w:t xml:space="preserve"> </w:t>
      </w:r>
      <w:r w:rsidRPr="006F1717">
        <w:rPr>
          <w:rFonts w:ascii="Verdana" w:hAnsi="Verdana"/>
          <w:sz w:val="16"/>
          <w:szCs w:val="16"/>
          <w:lang w:val="es-CR"/>
        </w:rPr>
        <w:tab/>
      </w:r>
      <w:r w:rsidR="003D407F" w:rsidRPr="002C0D35">
        <w:rPr>
          <w:rFonts w:ascii="Verdana" w:hAnsi="Verdana"/>
          <w:i/>
          <w:sz w:val="16"/>
          <w:szCs w:val="16"/>
          <w:lang w:val="es-CR"/>
        </w:rPr>
        <w:t xml:space="preserve">Cfr. </w:t>
      </w:r>
      <w:r w:rsidR="003D407F" w:rsidRPr="002C0D35">
        <w:rPr>
          <w:rFonts w:ascii="Verdana" w:hAnsi="Verdana"/>
          <w:sz w:val="16"/>
          <w:szCs w:val="16"/>
          <w:lang w:val="es-CR"/>
        </w:rPr>
        <w:t>Escrito de observaciones de las representantes de las víctimas de 3 de mayo de 2017</w:t>
      </w:r>
      <w:r w:rsidR="005E3AC4" w:rsidRPr="002C0D35">
        <w:rPr>
          <w:rFonts w:ascii="Verdana" w:hAnsi="Verdana"/>
          <w:sz w:val="16"/>
          <w:szCs w:val="16"/>
          <w:lang w:val="es-CR"/>
        </w:rPr>
        <w:t>.</w:t>
      </w:r>
    </w:p>
  </w:footnote>
  <w:footnote w:id="50">
    <w:p w:rsidR="007C0E70" w:rsidRPr="006F1717" w:rsidRDefault="007C0E70" w:rsidP="00DE6711">
      <w:pPr>
        <w:pStyle w:val="Textonotapie"/>
        <w:tabs>
          <w:tab w:val="left" w:pos="540"/>
        </w:tabs>
        <w:jc w:val="both"/>
        <w:rPr>
          <w:rFonts w:ascii="Verdana" w:hAnsi="Verdana"/>
          <w:sz w:val="16"/>
          <w:szCs w:val="16"/>
          <w:lang w:val="es-CR"/>
        </w:rPr>
      </w:pPr>
      <w:r w:rsidRPr="002C0D35">
        <w:rPr>
          <w:rStyle w:val="Refdenotaalpie"/>
          <w:rFonts w:ascii="Verdana" w:hAnsi="Verdana"/>
          <w:sz w:val="16"/>
          <w:szCs w:val="16"/>
        </w:rPr>
        <w:footnoteRef/>
      </w:r>
      <w:r w:rsidRPr="002C0D35">
        <w:rPr>
          <w:rFonts w:ascii="Verdana" w:hAnsi="Verdana"/>
          <w:sz w:val="16"/>
          <w:szCs w:val="16"/>
          <w:lang w:val="es-CR"/>
        </w:rPr>
        <w:t xml:space="preserve"> </w:t>
      </w:r>
      <w:r w:rsidRPr="002C0D35">
        <w:rPr>
          <w:rFonts w:ascii="Verdana" w:hAnsi="Verdana"/>
          <w:sz w:val="16"/>
          <w:szCs w:val="16"/>
          <w:lang w:val="es-CR"/>
        </w:rPr>
        <w:tab/>
      </w:r>
      <w:r w:rsidR="001E5755" w:rsidRPr="002C0D35">
        <w:rPr>
          <w:rFonts w:ascii="Verdana" w:hAnsi="Verdana"/>
          <w:sz w:val="16"/>
          <w:szCs w:val="16"/>
          <w:lang w:val="es-CR"/>
        </w:rPr>
        <w:t>E</w:t>
      </w:r>
      <w:r w:rsidRPr="002C0D35">
        <w:rPr>
          <w:rFonts w:ascii="Verdana" w:hAnsi="Verdana"/>
          <w:sz w:val="16"/>
          <w:szCs w:val="16"/>
          <w:lang w:val="es-CR"/>
        </w:rPr>
        <w:t>l Estado adjuntó copia de</w:t>
      </w:r>
      <w:r w:rsidR="001E5755" w:rsidRPr="002C0D35">
        <w:rPr>
          <w:rFonts w:ascii="Verdana" w:hAnsi="Verdana"/>
          <w:sz w:val="16"/>
          <w:szCs w:val="16"/>
          <w:lang w:val="es-CR"/>
        </w:rPr>
        <w:t xml:space="preserve"> un documento de </w:t>
      </w:r>
      <w:r w:rsidR="008A6DC7" w:rsidRPr="002C0D35">
        <w:rPr>
          <w:rFonts w:ascii="Verdana" w:hAnsi="Verdana"/>
          <w:sz w:val="16"/>
          <w:szCs w:val="16"/>
          <w:lang w:val="es-CR"/>
        </w:rPr>
        <w:t>4</w:t>
      </w:r>
      <w:r w:rsidRPr="002C0D35">
        <w:rPr>
          <w:rFonts w:ascii="Verdana" w:hAnsi="Verdana"/>
          <w:sz w:val="16"/>
          <w:szCs w:val="16"/>
          <w:lang w:val="es-CR"/>
        </w:rPr>
        <w:t xml:space="preserve"> de abril de 2017 </w:t>
      </w:r>
      <w:r w:rsidR="001E5755" w:rsidRPr="002C0D35">
        <w:rPr>
          <w:rFonts w:ascii="Verdana" w:hAnsi="Verdana"/>
          <w:sz w:val="16"/>
          <w:szCs w:val="16"/>
          <w:lang w:val="es-CR"/>
        </w:rPr>
        <w:t xml:space="preserve">de </w:t>
      </w:r>
      <w:r w:rsidRPr="002C0D35">
        <w:rPr>
          <w:rFonts w:ascii="Verdana" w:hAnsi="Verdana"/>
          <w:sz w:val="16"/>
          <w:szCs w:val="16"/>
          <w:lang w:val="es-CR"/>
        </w:rPr>
        <w:t>la Pagaduría Especial de Justicia del Poder Judicial</w:t>
      </w:r>
      <w:r w:rsidRPr="006F1717">
        <w:rPr>
          <w:rFonts w:ascii="Verdana" w:hAnsi="Verdana"/>
          <w:sz w:val="16"/>
          <w:szCs w:val="16"/>
          <w:lang w:val="es-CR"/>
        </w:rPr>
        <w:t xml:space="preserve">, en el cual se indica que </w:t>
      </w:r>
      <w:r w:rsidR="008A6DC7" w:rsidRPr="006F1717">
        <w:rPr>
          <w:rFonts w:ascii="Verdana" w:hAnsi="Verdana"/>
          <w:sz w:val="16"/>
          <w:szCs w:val="16"/>
          <w:lang w:val="es-CR"/>
        </w:rPr>
        <w:t xml:space="preserve">el 3 de abril de </w:t>
      </w:r>
      <w:r w:rsidRPr="006F1717">
        <w:rPr>
          <w:rFonts w:ascii="Verdana" w:hAnsi="Verdana"/>
          <w:sz w:val="16"/>
          <w:szCs w:val="16"/>
          <w:lang w:val="es-CR"/>
        </w:rPr>
        <w:t xml:space="preserve">ese mismo </w:t>
      </w:r>
      <w:r w:rsidR="008A6DC7" w:rsidRPr="006F1717">
        <w:rPr>
          <w:rFonts w:ascii="Verdana" w:hAnsi="Verdana"/>
          <w:sz w:val="16"/>
          <w:szCs w:val="16"/>
          <w:lang w:val="es-CR"/>
        </w:rPr>
        <w:t>año</w:t>
      </w:r>
      <w:r w:rsidRPr="006F1717">
        <w:rPr>
          <w:rFonts w:ascii="Verdana" w:hAnsi="Verdana"/>
          <w:sz w:val="16"/>
          <w:szCs w:val="16"/>
          <w:lang w:val="es-CR"/>
        </w:rPr>
        <w:t xml:space="preserve"> se depositaron 980,292.90 lempiras a nombre de la Fundación CEJIL Mesoamérica (anexo al informe estatal de 24 de abril de 2017).</w:t>
      </w:r>
    </w:p>
  </w:footnote>
  <w:footnote w:id="51">
    <w:p w:rsidR="007C0E70" w:rsidRPr="006F1717" w:rsidRDefault="007C0E7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00A828DA" w:rsidRPr="006F1717">
        <w:rPr>
          <w:rFonts w:ascii="Verdana" w:hAnsi="Verdana"/>
          <w:i/>
          <w:sz w:val="16"/>
          <w:szCs w:val="16"/>
          <w:lang w:val="es-CR"/>
        </w:rPr>
        <w:t>Cfr.</w:t>
      </w:r>
      <w:r w:rsidR="00A828DA" w:rsidRPr="006F1717">
        <w:rPr>
          <w:rFonts w:ascii="Verdana" w:hAnsi="Verdana"/>
          <w:sz w:val="16"/>
          <w:szCs w:val="16"/>
          <w:lang w:val="es-CR"/>
        </w:rPr>
        <w:t xml:space="preserve"> C</w:t>
      </w:r>
      <w:r w:rsidRPr="006F1717">
        <w:rPr>
          <w:rFonts w:ascii="Verdana" w:hAnsi="Verdana"/>
          <w:sz w:val="16"/>
          <w:szCs w:val="16"/>
          <w:lang w:val="es-CR"/>
        </w:rPr>
        <w:t>opia del cheque de caja número 697430 de 3 de abril de 2017, a nombre de la Asociación Jueces por la Democracia, por un total de 285,110.89 lempiras (anexo al informe estatal de 24 de abril de 2017)</w:t>
      </w:r>
      <w:r w:rsidR="00A828DA" w:rsidRPr="006F1717">
        <w:rPr>
          <w:rFonts w:ascii="Verdana" w:hAnsi="Verdana"/>
          <w:sz w:val="16"/>
          <w:szCs w:val="16"/>
          <w:lang w:val="es-CR"/>
        </w:rPr>
        <w:t xml:space="preserve"> y recibo del reintegro de costas y gastos de 7 de abril de 2017, suscrito por el representante de la Asociación Jueces por la Democracia (anexo al informe estatal de 28 de abril de 2017)</w:t>
      </w:r>
      <w:r w:rsidRPr="006F1717">
        <w:rPr>
          <w:rFonts w:ascii="Verdana" w:hAnsi="Verdana"/>
          <w:sz w:val="16"/>
          <w:szCs w:val="16"/>
          <w:lang w:val="es-CR"/>
        </w:rPr>
        <w:t>.</w:t>
      </w:r>
    </w:p>
  </w:footnote>
  <w:footnote w:id="52">
    <w:p w:rsidR="007C0E70" w:rsidRPr="006F1717" w:rsidRDefault="007C0E7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Pr="006F1717">
        <w:rPr>
          <w:rFonts w:ascii="Verdana" w:hAnsi="Verdana"/>
          <w:sz w:val="16"/>
          <w:szCs w:val="16"/>
          <w:lang w:val="es-CR"/>
        </w:rPr>
        <w:t xml:space="preserve"> </w:t>
      </w:r>
      <w:r w:rsidRPr="006F1717">
        <w:rPr>
          <w:rFonts w:ascii="Verdana" w:hAnsi="Verdana"/>
          <w:sz w:val="16"/>
          <w:szCs w:val="16"/>
          <w:lang w:val="es-CR"/>
        </w:rPr>
        <w:tab/>
      </w:r>
      <w:r w:rsidRPr="006F1717">
        <w:rPr>
          <w:rFonts w:ascii="Verdana" w:hAnsi="Verdana"/>
          <w:i/>
          <w:sz w:val="16"/>
          <w:szCs w:val="16"/>
          <w:lang w:val="es-CR"/>
        </w:rPr>
        <w:t>Cfr</w:t>
      </w:r>
      <w:r w:rsidRPr="006F1717">
        <w:rPr>
          <w:rFonts w:ascii="Verdana" w:hAnsi="Verdana"/>
          <w:sz w:val="16"/>
          <w:szCs w:val="16"/>
          <w:lang w:val="es-CR"/>
        </w:rPr>
        <w:t xml:space="preserve">. </w:t>
      </w:r>
      <w:r w:rsidR="00B94B42" w:rsidRPr="006F1717">
        <w:rPr>
          <w:rFonts w:ascii="Verdana" w:hAnsi="Verdana"/>
          <w:sz w:val="16"/>
          <w:szCs w:val="16"/>
          <w:lang w:val="es-CR"/>
        </w:rPr>
        <w:t>Aportaron 8 facturas relativas a</w:t>
      </w:r>
      <w:r w:rsidR="00E351D9" w:rsidRPr="006F1717">
        <w:rPr>
          <w:rFonts w:ascii="Verdana" w:hAnsi="Verdana"/>
          <w:sz w:val="16"/>
          <w:szCs w:val="16"/>
          <w:lang w:val="es-CR"/>
        </w:rPr>
        <w:t>:</w:t>
      </w:r>
      <w:r w:rsidR="00B94B42" w:rsidRPr="006F1717">
        <w:rPr>
          <w:rFonts w:ascii="Verdana" w:hAnsi="Verdana"/>
          <w:sz w:val="16"/>
          <w:szCs w:val="16"/>
          <w:lang w:val="es-CR"/>
        </w:rPr>
        <w:t xml:space="preserve"> </w:t>
      </w:r>
      <w:r w:rsidRPr="006F1717">
        <w:rPr>
          <w:rFonts w:ascii="Verdana" w:hAnsi="Verdana"/>
          <w:sz w:val="16"/>
          <w:szCs w:val="16"/>
          <w:lang w:val="es-CR"/>
        </w:rPr>
        <w:t xml:space="preserve">pasajes aéreos </w:t>
      </w:r>
      <w:r w:rsidR="00B94B42" w:rsidRPr="006F1717">
        <w:rPr>
          <w:rFonts w:ascii="Verdana" w:hAnsi="Verdana"/>
          <w:sz w:val="16"/>
          <w:szCs w:val="16"/>
          <w:lang w:val="es-CR"/>
        </w:rPr>
        <w:t>(</w:t>
      </w:r>
      <w:r w:rsidR="00E351D9" w:rsidRPr="006F1717">
        <w:rPr>
          <w:rFonts w:ascii="Verdana" w:hAnsi="Verdana"/>
          <w:sz w:val="16"/>
          <w:szCs w:val="16"/>
          <w:lang w:val="es-CR"/>
        </w:rPr>
        <w:t>total US</w:t>
      </w:r>
      <w:r w:rsidR="00B94B42" w:rsidRPr="006F1717">
        <w:rPr>
          <w:rFonts w:ascii="Verdana" w:hAnsi="Verdana"/>
          <w:sz w:val="16"/>
          <w:szCs w:val="16"/>
          <w:lang w:val="es-CR"/>
        </w:rPr>
        <w:t>$</w:t>
      </w:r>
      <w:r w:rsidR="008A6DC7" w:rsidRPr="006F1717">
        <w:rPr>
          <w:rFonts w:ascii="Verdana" w:hAnsi="Verdana"/>
          <w:sz w:val="16"/>
          <w:szCs w:val="16"/>
          <w:lang w:val="es-CR"/>
        </w:rPr>
        <w:t xml:space="preserve"> </w:t>
      </w:r>
      <w:r w:rsidR="00B94B42" w:rsidRPr="006F1717">
        <w:rPr>
          <w:rFonts w:ascii="Verdana" w:hAnsi="Verdana"/>
          <w:sz w:val="16"/>
          <w:szCs w:val="16"/>
          <w:lang w:val="es-CR"/>
        </w:rPr>
        <w:t xml:space="preserve">941,18); </w:t>
      </w:r>
      <w:r w:rsidRPr="006F1717">
        <w:rPr>
          <w:rFonts w:ascii="Verdana" w:hAnsi="Verdana"/>
          <w:sz w:val="16"/>
          <w:szCs w:val="16"/>
          <w:lang w:val="es-CR"/>
        </w:rPr>
        <w:t>transporte</w:t>
      </w:r>
      <w:r w:rsidR="00B94B42" w:rsidRPr="006F1717">
        <w:rPr>
          <w:rFonts w:ascii="Verdana" w:hAnsi="Verdana"/>
          <w:sz w:val="16"/>
          <w:szCs w:val="16"/>
          <w:lang w:val="es-CR"/>
        </w:rPr>
        <w:t>s</w:t>
      </w:r>
      <w:r w:rsidRPr="006F1717">
        <w:rPr>
          <w:rFonts w:ascii="Verdana" w:hAnsi="Verdana"/>
          <w:sz w:val="16"/>
          <w:szCs w:val="16"/>
          <w:lang w:val="es-CR"/>
        </w:rPr>
        <w:t xml:space="preserve"> </w:t>
      </w:r>
      <w:r w:rsidR="00B94B42" w:rsidRPr="006F1717">
        <w:rPr>
          <w:rFonts w:ascii="Verdana" w:hAnsi="Verdana"/>
          <w:sz w:val="16"/>
          <w:szCs w:val="16"/>
          <w:lang w:val="es-CR"/>
        </w:rPr>
        <w:t xml:space="preserve">ida y vuelta al aeropuerto en </w:t>
      </w:r>
      <w:r w:rsidRPr="006F1717">
        <w:rPr>
          <w:rFonts w:ascii="Verdana" w:hAnsi="Verdana"/>
          <w:sz w:val="16"/>
          <w:szCs w:val="16"/>
          <w:lang w:val="es-CR"/>
        </w:rPr>
        <w:t xml:space="preserve">San José </w:t>
      </w:r>
      <w:r w:rsidR="00B94B42" w:rsidRPr="006F1717">
        <w:rPr>
          <w:rFonts w:ascii="Verdana" w:hAnsi="Verdana"/>
          <w:sz w:val="16"/>
          <w:szCs w:val="16"/>
          <w:lang w:val="es-CR"/>
        </w:rPr>
        <w:t>(total US$</w:t>
      </w:r>
      <w:r w:rsidR="008A6DC7" w:rsidRPr="006F1717">
        <w:rPr>
          <w:rFonts w:ascii="Verdana" w:hAnsi="Verdana"/>
          <w:sz w:val="16"/>
          <w:szCs w:val="16"/>
          <w:lang w:val="es-CR"/>
        </w:rPr>
        <w:t xml:space="preserve"> </w:t>
      </w:r>
      <w:r w:rsidR="00B94B42" w:rsidRPr="006F1717">
        <w:rPr>
          <w:rFonts w:ascii="Verdana" w:hAnsi="Verdana"/>
          <w:sz w:val="16"/>
          <w:szCs w:val="16"/>
          <w:lang w:val="es-CR"/>
        </w:rPr>
        <w:t>6</w:t>
      </w:r>
      <w:r w:rsidRPr="006F1717">
        <w:rPr>
          <w:rFonts w:ascii="Verdana" w:hAnsi="Verdana"/>
          <w:sz w:val="16"/>
          <w:szCs w:val="16"/>
          <w:lang w:val="es-CR"/>
        </w:rPr>
        <w:t>0</w:t>
      </w:r>
      <w:r w:rsidR="00B94B42" w:rsidRPr="006F1717">
        <w:rPr>
          <w:rFonts w:ascii="Verdana" w:hAnsi="Verdana"/>
          <w:sz w:val="16"/>
          <w:szCs w:val="16"/>
          <w:lang w:val="es-CR"/>
        </w:rPr>
        <w:t>)</w:t>
      </w:r>
      <w:r w:rsidRPr="006F1717">
        <w:rPr>
          <w:rFonts w:ascii="Verdana" w:hAnsi="Verdana"/>
          <w:sz w:val="16"/>
          <w:szCs w:val="16"/>
          <w:lang w:val="es-CR"/>
        </w:rPr>
        <w:t xml:space="preserve">; </w:t>
      </w:r>
      <w:r w:rsidR="00E351D9" w:rsidRPr="006F1717">
        <w:rPr>
          <w:rFonts w:ascii="Verdana" w:hAnsi="Verdana"/>
          <w:sz w:val="16"/>
          <w:szCs w:val="16"/>
          <w:lang w:val="es-CR"/>
        </w:rPr>
        <w:t>alimentación (total US$</w:t>
      </w:r>
      <w:r w:rsidR="008A6DC7" w:rsidRPr="006F1717">
        <w:rPr>
          <w:rFonts w:ascii="Verdana" w:hAnsi="Verdana"/>
          <w:sz w:val="16"/>
          <w:szCs w:val="16"/>
          <w:lang w:val="es-CR"/>
        </w:rPr>
        <w:t xml:space="preserve"> </w:t>
      </w:r>
      <w:r w:rsidR="00E351D9" w:rsidRPr="006F1717">
        <w:rPr>
          <w:rFonts w:ascii="Verdana" w:hAnsi="Verdana"/>
          <w:sz w:val="16"/>
          <w:szCs w:val="16"/>
          <w:lang w:val="es-CR"/>
        </w:rPr>
        <w:t>137.29)</w:t>
      </w:r>
      <w:r w:rsidRPr="006F1717">
        <w:rPr>
          <w:rFonts w:ascii="Verdana" w:hAnsi="Verdana"/>
          <w:sz w:val="16"/>
          <w:szCs w:val="16"/>
          <w:lang w:val="es-CR"/>
        </w:rPr>
        <w:t>; hotel</w:t>
      </w:r>
      <w:r w:rsidR="00E351D9" w:rsidRPr="006F1717">
        <w:rPr>
          <w:rFonts w:ascii="Verdana" w:hAnsi="Verdana"/>
          <w:sz w:val="16"/>
          <w:szCs w:val="16"/>
          <w:lang w:val="es-CR"/>
        </w:rPr>
        <w:t xml:space="preserve"> (US$</w:t>
      </w:r>
      <w:r w:rsidR="008A6DC7" w:rsidRPr="006F1717">
        <w:rPr>
          <w:rFonts w:ascii="Verdana" w:hAnsi="Verdana"/>
          <w:sz w:val="16"/>
          <w:szCs w:val="16"/>
          <w:lang w:val="es-CR"/>
        </w:rPr>
        <w:t xml:space="preserve"> </w:t>
      </w:r>
      <w:r w:rsidR="00E351D9" w:rsidRPr="006F1717">
        <w:rPr>
          <w:rFonts w:ascii="Verdana" w:hAnsi="Verdana"/>
          <w:sz w:val="16"/>
          <w:szCs w:val="16"/>
          <w:lang w:val="es-CR"/>
        </w:rPr>
        <w:t>332.22</w:t>
      </w:r>
      <w:proofErr w:type="gramStart"/>
      <w:r w:rsidR="00E351D9" w:rsidRPr="006F1717">
        <w:rPr>
          <w:rFonts w:ascii="Verdana" w:hAnsi="Verdana"/>
          <w:sz w:val="16"/>
          <w:szCs w:val="16"/>
          <w:lang w:val="es-CR"/>
        </w:rPr>
        <w:t>)</w:t>
      </w:r>
      <w:r w:rsidRPr="006F1717">
        <w:rPr>
          <w:rFonts w:ascii="Verdana" w:hAnsi="Verdana"/>
          <w:sz w:val="16"/>
          <w:szCs w:val="16"/>
          <w:lang w:val="es-CR"/>
        </w:rPr>
        <w:t>(</w:t>
      </w:r>
      <w:proofErr w:type="gramEnd"/>
      <w:r w:rsidRPr="006F1717">
        <w:rPr>
          <w:rFonts w:ascii="Verdana" w:hAnsi="Verdana"/>
          <w:sz w:val="16"/>
          <w:szCs w:val="16"/>
          <w:lang w:val="es-CR"/>
        </w:rPr>
        <w:t xml:space="preserve">anexos al escrito de observaciones de las representantes de las víctimas de 30 de marzo de 2017). </w:t>
      </w:r>
    </w:p>
  </w:footnote>
  <w:footnote w:id="53">
    <w:p w:rsidR="007C0E70" w:rsidRPr="006F1717" w:rsidRDefault="007C0E70" w:rsidP="00DE6711">
      <w:pPr>
        <w:pStyle w:val="Textonotapie"/>
        <w:tabs>
          <w:tab w:val="left" w:pos="540"/>
        </w:tabs>
        <w:jc w:val="both"/>
        <w:rPr>
          <w:rFonts w:ascii="Verdana" w:hAnsi="Verdana"/>
          <w:sz w:val="16"/>
          <w:szCs w:val="16"/>
          <w:lang w:val="es-CR"/>
        </w:rPr>
      </w:pPr>
      <w:r w:rsidRPr="006F1717">
        <w:rPr>
          <w:rStyle w:val="Refdenotaalpie"/>
          <w:rFonts w:ascii="Verdana" w:hAnsi="Verdana"/>
          <w:sz w:val="16"/>
          <w:szCs w:val="16"/>
        </w:rPr>
        <w:footnoteRef/>
      </w:r>
      <w:r w:rsidR="00C13368" w:rsidRPr="006F1717">
        <w:rPr>
          <w:rFonts w:ascii="Verdana" w:hAnsi="Verdana"/>
          <w:sz w:val="16"/>
          <w:szCs w:val="16"/>
          <w:lang w:val="es-CR"/>
        </w:rPr>
        <w:t xml:space="preserve"> </w:t>
      </w:r>
      <w:r w:rsidR="00237A65">
        <w:rPr>
          <w:rFonts w:ascii="Verdana" w:hAnsi="Verdana"/>
          <w:sz w:val="16"/>
          <w:szCs w:val="16"/>
          <w:lang w:val="es-CR"/>
        </w:rPr>
        <w:tab/>
      </w:r>
      <w:r w:rsidRPr="006F1717">
        <w:rPr>
          <w:rFonts w:ascii="Verdana" w:hAnsi="Verdana"/>
          <w:sz w:val="16"/>
          <w:szCs w:val="16"/>
          <w:lang w:val="es-CR"/>
        </w:rPr>
        <w:t>El Estado argumentó que, en razón de que había “</w:t>
      </w:r>
      <w:proofErr w:type="gramStart"/>
      <w:r w:rsidRPr="006F1717">
        <w:rPr>
          <w:rFonts w:ascii="Verdana" w:hAnsi="Verdana"/>
          <w:sz w:val="16"/>
          <w:szCs w:val="16"/>
          <w:lang w:val="es-CR"/>
        </w:rPr>
        <w:t>notific[</w:t>
      </w:r>
      <w:proofErr w:type="gramEnd"/>
      <w:r w:rsidRPr="006F1717">
        <w:rPr>
          <w:rFonts w:ascii="Verdana" w:hAnsi="Verdana"/>
          <w:sz w:val="16"/>
          <w:szCs w:val="16"/>
          <w:lang w:val="es-CR"/>
        </w:rPr>
        <w:t xml:space="preserve">ado] a [la Corte de] la imposibilidad por parte del Poder Judicial de proceder a la reincorporación de [las víctimas] a cargos similares a los que desempeñaban al momento de los hechos, […] no cabía más que tomar en consideración la reparación alterna contemplada en la [la Sentencia,] procediendo el Poder Judicial en noviembre de 2016 a congelar […] la cantidad correspondiente para garantizar el pago”. </w:t>
      </w:r>
      <w:r w:rsidRPr="006F1717">
        <w:rPr>
          <w:rFonts w:ascii="Verdana" w:hAnsi="Verdana"/>
          <w:i/>
          <w:sz w:val="16"/>
          <w:szCs w:val="16"/>
          <w:lang w:val="es-CR"/>
        </w:rPr>
        <w:t xml:space="preserve">Cfr. </w:t>
      </w:r>
      <w:r w:rsidRPr="006F1717">
        <w:rPr>
          <w:rFonts w:ascii="Verdana" w:hAnsi="Verdana"/>
          <w:sz w:val="16"/>
          <w:szCs w:val="16"/>
          <w:lang w:val="es-CR"/>
        </w:rPr>
        <w:t>Informe estatal de 24 de abril de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B65" w:rsidRPr="009B2010" w:rsidRDefault="00924B65" w:rsidP="00924B65">
    <w:pPr>
      <w:pStyle w:val="Encabezado"/>
      <w:jc w:val="right"/>
      <w:rPr>
        <w:rFonts w:ascii="Helvetica" w:hAnsi="Helvetica" w:cs="Helvetica"/>
        <w:sz w:val="16"/>
        <w:lang w:val="es-CR"/>
      </w:rPr>
    </w:pPr>
  </w:p>
  <w:p w:rsidR="007C0E70" w:rsidRPr="004143E7" w:rsidRDefault="007C0E70" w:rsidP="0002220E">
    <w:pPr>
      <w:pStyle w:val="Encabezado"/>
      <w:jc w:val="center"/>
      <w:rPr>
        <w:rFonts w:ascii="Verdana" w:hAnsi="Verdana"/>
        <w:sz w:val="16"/>
        <w:szCs w:val="20"/>
      </w:rPr>
    </w:pPr>
    <w:r w:rsidRPr="004143E7">
      <w:rPr>
        <w:rFonts w:ascii="Verdana" w:hAnsi="Verdana"/>
        <w:sz w:val="16"/>
        <w:szCs w:val="20"/>
      </w:rPr>
      <w:t>-</w:t>
    </w:r>
    <w:r w:rsidRPr="004143E7">
      <w:rPr>
        <w:rFonts w:ascii="Verdana" w:hAnsi="Verdana"/>
        <w:sz w:val="16"/>
        <w:szCs w:val="20"/>
      </w:rPr>
      <w:fldChar w:fldCharType="begin"/>
    </w:r>
    <w:r w:rsidRPr="004143E7">
      <w:rPr>
        <w:rFonts w:ascii="Verdana" w:hAnsi="Verdana"/>
        <w:sz w:val="16"/>
        <w:szCs w:val="20"/>
      </w:rPr>
      <w:instrText>PAGE   \* MERGEFORMAT</w:instrText>
    </w:r>
    <w:r w:rsidRPr="004143E7">
      <w:rPr>
        <w:rFonts w:ascii="Verdana" w:hAnsi="Verdana"/>
        <w:sz w:val="16"/>
        <w:szCs w:val="20"/>
      </w:rPr>
      <w:fldChar w:fldCharType="separate"/>
    </w:r>
    <w:r w:rsidR="00EE3450" w:rsidRPr="00EE3450">
      <w:rPr>
        <w:rFonts w:ascii="Verdana" w:hAnsi="Verdana"/>
        <w:noProof/>
        <w:sz w:val="16"/>
        <w:szCs w:val="20"/>
        <w:lang w:val="es-ES"/>
      </w:rPr>
      <w:t>3</w:t>
    </w:r>
    <w:r w:rsidRPr="004143E7">
      <w:rPr>
        <w:rFonts w:ascii="Verdana" w:hAnsi="Verdana"/>
        <w:sz w:val="16"/>
        <w:szCs w:val="20"/>
      </w:rPr>
      <w:fldChar w:fldCharType="end"/>
    </w:r>
    <w:r w:rsidRPr="004143E7">
      <w:rPr>
        <w:rFonts w:ascii="Verdana" w:hAnsi="Verdana"/>
        <w:sz w:val="16"/>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FD444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884260"/>
    <w:multiLevelType w:val="hybridMultilevel"/>
    <w:tmpl w:val="7B561A5A"/>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2087FF5"/>
    <w:multiLevelType w:val="hybridMultilevel"/>
    <w:tmpl w:val="5B043EE6"/>
    <w:lvl w:ilvl="0" w:tplc="8D30D7C4">
      <w:start w:val="3"/>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13AD1456"/>
    <w:multiLevelType w:val="hybridMultilevel"/>
    <w:tmpl w:val="0096C9F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BB649C0"/>
    <w:multiLevelType w:val="hybridMultilevel"/>
    <w:tmpl w:val="24146C36"/>
    <w:lvl w:ilvl="0" w:tplc="140A001B">
      <w:start w:val="1"/>
      <w:numFmt w:val="lowerRoman"/>
      <w:lvlText w:val="%1."/>
      <w:lvlJc w:val="righ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5">
    <w:nsid w:val="26B078C3"/>
    <w:multiLevelType w:val="hybridMultilevel"/>
    <w:tmpl w:val="71C2A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2C5B47"/>
    <w:multiLevelType w:val="hybridMultilevel"/>
    <w:tmpl w:val="0DEA3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nsid w:val="38F5568B"/>
    <w:multiLevelType w:val="hybridMultilevel"/>
    <w:tmpl w:val="C098379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393014FD"/>
    <w:multiLevelType w:val="hybridMultilevel"/>
    <w:tmpl w:val="7B561A5A"/>
    <w:lvl w:ilvl="0" w:tplc="140A000F">
      <w:start w:val="1"/>
      <w:numFmt w:val="decimal"/>
      <w:lvlText w:val="%1."/>
      <w:lvlJc w:val="left"/>
      <w:pPr>
        <w:ind w:left="107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40467FCD"/>
    <w:multiLevelType w:val="hybridMultilevel"/>
    <w:tmpl w:val="9B44F7C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4AE858E9"/>
    <w:multiLevelType w:val="hybridMultilevel"/>
    <w:tmpl w:val="9B44F7C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4BBE0E90"/>
    <w:multiLevelType w:val="hybridMultilevel"/>
    <w:tmpl w:val="68A4D502"/>
    <w:lvl w:ilvl="0" w:tplc="838AAB90">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541F62E9"/>
    <w:multiLevelType w:val="hybridMultilevel"/>
    <w:tmpl w:val="B5E46526"/>
    <w:lvl w:ilvl="0" w:tplc="04090001">
      <w:start w:val="1"/>
      <w:numFmt w:val="bullet"/>
      <w:lvlText w:val=""/>
      <w:lvlJc w:val="left"/>
      <w:pPr>
        <w:ind w:left="790" w:hanging="360"/>
      </w:pPr>
      <w:rPr>
        <w:rFonts w:ascii="Symbol" w:hAnsi="Symbol" w:hint="default"/>
      </w:rPr>
    </w:lvl>
    <w:lvl w:ilvl="1" w:tplc="04090003">
      <w:start w:val="1"/>
      <w:numFmt w:val="bullet"/>
      <w:lvlText w:val="o"/>
      <w:lvlJc w:val="left"/>
      <w:pPr>
        <w:ind w:left="1510" w:hanging="360"/>
      </w:pPr>
      <w:rPr>
        <w:rFonts w:ascii="Courier New" w:hAnsi="Courier New" w:cs="Times New Roman" w:hint="default"/>
      </w:rPr>
    </w:lvl>
    <w:lvl w:ilvl="2" w:tplc="04090005">
      <w:start w:val="1"/>
      <w:numFmt w:val="bullet"/>
      <w:lvlText w:val=""/>
      <w:lvlJc w:val="left"/>
      <w:pPr>
        <w:ind w:left="2230" w:hanging="360"/>
      </w:pPr>
      <w:rPr>
        <w:rFonts w:ascii="Wingdings" w:hAnsi="Wingdings" w:hint="default"/>
      </w:rPr>
    </w:lvl>
    <w:lvl w:ilvl="3" w:tplc="04090001">
      <w:start w:val="1"/>
      <w:numFmt w:val="bullet"/>
      <w:lvlText w:val=""/>
      <w:lvlJc w:val="left"/>
      <w:pPr>
        <w:ind w:left="2950" w:hanging="360"/>
      </w:pPr>
      <w:rPr>
        <w:rFonts w:ascii="Symbol" w:hAnsi="Symbol" w:hint="default"/>
      </w:rPr>
    </w:lvl>
    <w:lvl w:ilvl="4" w:tplc="04090003">
      <w:start w:val="1"/>
      <w:numFmt w:val="bullet"/>
      <w:lvlText w:val="o"/>
      <w:lvlJc w:val="left"/>
      <w:pPr>
        <w:ind w:left="3670" w:hanging="360"/>
      </w:pPr>
      <w:rPr>
        <w:rFonts w:ascii="Courier New" w:hAnsi="Courier New" w:cs="Times New Roman" w:hint="default"/>
      </w:rPr>
    </w:lvl>
    <w:lvl w:ilvl="5" w:tplc="04090005">
      <w:start w:val="1"/>
      <w:numFmt w:val="bullet"/>
      <w:lvlText w:val=""/>
      <w:lvlJc w:val="left"/>
      <w:pPr>
        <w:ind w:left="4390" w:hanging="360"/>
      </w:pPr>
      <w:rPr>
        <w:rFonts w:ascii="Wingdings" w:hAnsi="Wingdings" w:hint="default"/>
      </w:rPr>
    </w:lvl>
    <w:lvl w:ilvl="6" w:tplc="04090001">
      <w:start w:val="1"/>
      <w:numFmt w:val="bullet"/>
      <w:lvlText w:val=""/>
      <w:lvlJc w:val="left"/>
      <w:pPr>
        <w:ind w:left="5110" w:hanging="360"/>
      </w:pPr>
      <w:rPr>
        <w:rFonts w:ascii="Symbol" w:hAnsi="Symbol" w:hint="default"/>
      </w:rPr>
    </w:lvl>
    <w:lvl w:ilvl="7" w:tplc="04090003">
      <w:start w:val="1"/>
      <w:numFmt w:val="bullet"/>
      <w:lvlText w:val="o"/>
      <w:lvlJc w:val="left"/>
      <w:pPr>
        <w:ind w:left="5830" w:hanging="360"/>
      </w:pPr>
      <w:rPr>
        <w:rFonts w:ascii="Courier New" w:hAnsi="Courier New" w:cs="Times New Roman" w:hint="default"/>
      </w:rPr>
    </w:lvl>
    <w:lvl w:ilvl="8" w:tplc="04090005">
      <w:start w:val="1"/>
      <w:numFmt w:val="bullet"/>
      <w:lvlText w:val=""/>
      <w:lvlJc w:val="left"/>
      <w:pPr>
        <w:ind w:left="6550" w:hanging="360"/>
      </w:pPr>
      <w:rPr>
        <w:rFonts w:ascii="Wingdings" w:hAnsi="Wingdings" w:hint="default"/>
      </w:rPr>
    </w:lvl>
  </w:abstractNum>
  <w:abstractNum w:abstractNumId="13">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592C38A9"/>
    <w:multiLevelType w:val="hybridMultilevel"/>
    <w:tmpl w:val="B316E784"/>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62326DB2"/>
    <w:multiLevelType w:val="hybridMultilevel"/>
    <w:tmpl w:val="9E92EDB0"/>
    <w:lvl w:ilvl="0" w:tplc="7BBAEE12">
      <w:start w:val="4"/>
      <w:numFmt w:val="decimal"/>
      <w:lvlText w:val="%1."/>
      <w:lvlJc w:val="left"/>
      <w:pPr>
        <w:ind w:left="720" w:hanging="360"/>
      </w:pPr>
      <w:rPr>
        <w:rFonts w:hint="default"/>
        <w:b w:val="0"/>
        <w:i w:val="0"/>
        <w:sz w:val="20"/>
        <w:szCs w:val="20"/>
      </w:rPr>
    </w:lvl>
    <w:lvl w:ilvl="1" w:tplc="140A0019">
      <w:start w:val="1"/>
      <w:numFmt w:val="lowerLetter"/>
      <w:lvlText w:val="%2."/>
      <w:lvlJc w:val="left"/>
      <w:pPr>
        <w:ind w:left="1440" w:hanging="360"/>
      </w:pPr>
    </w:lvl>
    <w:lvl w:ilvl="2" w:tplc="23A25E42">
      <w:start w:val="1"/>
      <w:numFmt w:val="lowerRoman"/>
      <w:lvlText w:val="%3)"/>
      <w:lvlJc w:val="left"/>
      <w:pPr>
        <w:ind w:left="2700" w:hanging="720"/>
      </w:pPr>
      <w:rPr>
        <w:rFonts w:hint="default"/>
        <w:b w:val="0"/>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13"/>
  </w:num>
  <w:num w:numId="3">
    <w:abstractNumId w:val="11"/>
  </w:num>
  <w:num w:numId="4">
    <w:abstractNumId w:val="8"/>
  </w:num>
  <w:num w:numId="5">
    <w:abstractNumId w:val="10"/>
  </w:num>
  <w:num w:numId="6">
    <w:abstractNumId w:val="14"/>
  </w:num>
  <w:num w:numId="7">
    <w:abstractNumId w:val="1"/>
  </w:num>
  <w:num w:numId="8">
    <w:abstractNumId w:val="9"/>
  </w:num>
  <w:num w:numId="9">
    <w:abstractNumId w:val="15"/>
  </w:num>
  <w:num w:numId="10">
    <w:abstractNumId w:val="3"/>
  </w:num>
  <w:num w:numId="11">
    <w:abstractNumId w:val="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lvlOverride w:ilvl="2"/>
    <w:lvlOverride w:ilvl="3"/>
    <w:lvlOverride w:ilvl="4"/>
    <w:lvlOverride w:ilvl="5"/>
    <w:lvlOverride w:ilvl="6"/>
    <w:lvlOverride w:ilvl="7"/>
    <w:lvlOverride w:ilvl="8"/>
  </w:num>
  <w:num w:numId="14">
    <w:abstractNumId w:val="12"/>
    <w:lvlOverride w:ilvl="0"/>
    <w:lvlOverride w:ilvl="1"/>
    <w:lvlOverride w:ilvl="2"/>
    <w:lvlOverride w:ilvl="3"/>
    <w:lvlOverride w:ilvl="4"/>
    <w:lvlOverride w:ilvl="5"/>
    <w:lvlOverride w:ilvl="6"/>
    <w:lvlOverride w:ilvl="7"/>
    <w:lvlOverride w:ilvl="8"/>
  </w:num>
  <w:num w:numId="15">
    <w:abstractNumId w:val="7"/>
  </w:num>
  <w:num w:numId="16">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3D4F"/>
    <w:rsid w:val="00004911"/>
    <w:rsid w:val="00005F21"/>
    <w:rsid w:val="0000617D"/>
    <w:rsid w:val="00006DB9"/>
    <w:rsid w:val="00011681"/>
    <w:rsid w:val="000121ED"/>
    <w:rsid w:val="00013503"/>
    <w:rsid w:val="000142A3"/>
    <w:rsid w:val="00014366"/>
    <w:rsid w:val="00014EBF"/>
    <w:rsid w:val="0001506A"/>
    <w:rsid w:val="000151FB"/>
    <w:rsid w:val="000159FF"/>
    <w:rsid w:val="00015D93"/>
    <w:rsid w:val="00017E73"/>
    <w:rsid w:val="000205DA"/>
    <w:rsid w:val="0002089A"/>
    <w:rsid w:val="00021B3F"/>
    <w:rsid w:val="0002220E"/>
    <w:rsid w:val="00022906"/>
    <w:rsid w:val="00022FAB"/>
    <w:rsid w:val="000244E8"/>
    <w:rsid w:val="00024A8B"/>
    <w:rsid w:val="00024AD9"/>
    <w:rsid w:val="000264F8"/>
    <w:rsid w:val="000302B6"/>
    <w:rsid w:val="00030880"/>
    <w:rsid w:val="00032676"/>
    <w:rsid w:val="00032A4E"/>
    <w:rsid w:val="00033493"/>
    <w:rsid w:val="000337A9"/>
    <w:rsid w:val="000368A4"/>
    <w:rsid w:val="00036946"/>
    <w:rsid w:val="00036D95"/>
    <w:rsid w:val="00037483"/>
    <w:rsid w:val="00040684"/>
    <w:rsid w:val="00041AB3"/>
    <w:rsid w:val="00043B6F"/>
    <w:rsid w:val="00043FEA"/>
    <w:rsid w:val="000444EB"/>
    <w:rsid w:val="000457D4"/>
    <w:rsid w:val="000457DE"/>
    <w:rsid w:val="00046225"/>
    <w:rsid w:val="00046E00"/>
    <w:rsid w:val="00046F7E"/>
    <w:rsid w:val="00047288"/>
    <w:rsid w:val="000477CE"/>
    <w:rsid w:val="00052F90"/>
    <w:rsid w:val="000534CE"/>
    <w:rsid w:val="00054946"/>
    <w:rsid w:val="000554DB"/>
    <w:rsid w:val="00055FA5"/>
    <w:rsid w:val="00056F16"/>
    <w:rsid w:val="000570AE"/>
    <w:rsid w:val="0006095B"/>
    <w:rsid w:val="00060D08"/>
    <w:rsid w:val="00062679"/>
    <w:rsid w:val="00062E84"/>
    <w:rsid w:val="0006388A"/>
    <w:rsid w:val="00064748"/>
    <w:rsid w:val="00064F95"/>
    <w:rsid w:val="00065B58"/>
    <w:rsid w:val="0006620E"/>
    <w:rsid w:val="0007107F"/>
    <w:rsid w:val="00072210"/>
    <w:rsid w:val="00072B11"/>
    <w:rsid w:val="000734F1"/>
    <w:rsid w:val="0007411F"/>
    <w:rsid w:val="000757A1"/>
    <w:rsid w:val="0007593D"/>
    <w:rsid w:val="00076512"/>
    <w:rsid w:val="00076C3D"/>
    <w:rsid w:val="00077139"/>
    <w:rsid w:val="00077F70"/>
    <w:rsid w:val="00080B33"/>
    <w:rsid w:val="000833BB"/>
    <w:rsid w:val="000850AC"/>
    <w:rsid w:val="000860F2"/>
    <w:rsid w:val="0009166C"/>
    <w:rsid w:val="00092353"/>
    <w:rsid w:val="000926F5"/>
    <w:rsid w:val="0009277C"/>
    <w:rsid w:val="00094129"/>
    <w:rsid w:val="00094702"/>
    <w:rsid w:val="00094F10"/>
    <w:rsid w:val="00096102"/>
    <w:rsid w:val="00096CE4"/>
    <w:rsid w:val="00097393"/>
    <w:rsid w:val="000978BB"/>
    <w:rsid w:val="000A013F"/>
    <w:rsid w:val="000A2B57"/>
    <w:rsid w:val="000A4E1D"/>
    <w:rsid w:val="000A552E"/>
    <w:rsid w:val="000A6DB3"/>
    <w:rsid w:val="000A7CCA"/>
    <w:rsid w:val="000B01FF"/>
    <w:rsid w:val="000B0EAD"/>
    <w:rsid w:val="000B5D44"/>
    <w:rsid w:val="000C042D"/>
    <w:rsid w:val="000C05CF"/>
    <w:rsid w:val="000C1ED0"/>
    <w:rsid w:val="000C4958"/>
    <w:rsid w:val="000C609F"/>
    <w:rsid w:val="000C6429"/>
    <w:rsid w:val="000C6BC2"/>
    <w:rsid w:val="000D23E2"/>
    <w:rsid w:val="000D4120"/>
    <w:rsid w:val="000D51F5"/>
    <w:rsid w:val="000D5673"/>
    <w:rsid w:val="000D5FAC"/>
    <w:rsid w:val="000E1063"/>
    <w:rsid w:val="000E1E5E"/>
    <w:rsid w:val="000E50D8"/>
    <w:rsid w:val="000E71A9"/>
    <w:rsid w:val="000E7572"/>
    <w:rsid w:val="000E7876"/>
    <w:rsid w:val="000E7E6F"/>
    <w:rsid w:val="000F0C43"/>
    <w:rsid w:val="000F1CF4"/>
    <w:rsid w:val="000F29C9"/>
    <w:rsid w:val="000F2A2D"/>
    <w:rsid w:val="000F3798"/>
    <w:rsid w:val="000F4D3B"/>
    <w:rsid w:val="000F51BE"/>
    <w:rsid w:val="000F5565"/>
    <w:rsid w:val="000F5AA9"/>
    <w:rsid w:val="00100D3A"/>
    <w:rsid w:val="00100EC9"/>
    <w:rsid w:val="00101806"/>
    <w:rsid w:val="00102481"/>
    <w:rsid w:val="001028A3"/>
    <w:rsid w:val="00103A9C"/>
    <w:rsid w:val="00103BB2"/>
    <w:rsid w:val="00104788"/>
    <w:rsid w:val="0010519A"/>
    <w:rsid w:val="00105978"/>
    <w:rsid w:val="00106618"/>
    <w:rsid w:val="00106CFE"/>
    <w:rsid w:val="00110564"/>
    <w:rsid w:val="00110F1D"/>
    <w:rsid w:val="00111551"/>
    <w:rsid w:val="00112A87"/>
    <w:rsid w:val="001141EE"/>
    <w:rsid w:val="00115F70"/>
    <w:rsid w:val="00116664"/>
    <w:rsid w:val="001171F7"/>
    <w:rsid w:val="00120C2D"/>
    <w:rsid w:val="00120DF2"/>
    <w:rsid w:val="00121288"/>
    <w:rsid w:val="00123029"/>
    <w:rsid w:val="001235EA"/>
    <w:rsid w:val="0012436D"/>
    <w:rsid w:val="001259E3"/>
    <w:rsid w:val="00126182"/>
    <w:rsid w:val="001265D4"/>
    <w:rsid w:val="001274F3"/>
    <w:rsid w:val="00127B94"/>
    <w:rsid w:val="00132974"/>
    <w:rsid w:val="00132F50"/>
    <w:rsid w:val="00133907"/>
    <w:rsid w:val="00133BF2"/>
    <w:rsid w:val="001342C2"/>
    <w:rsid w:val="00136053"/>
    <w:rsid w:val="00136725"/>
    <w:rsid w:val="00141C87"/>
    <w:rsid w:val="001432D6"/>
    <w:rsid w:val="00143DC9"/>
    <w:rsid w:val="0014483A"/>
    <w:rsid w:val="00145ACE"/>
    <w:rsid w:val="00145EA9"/>
    <w:rsid w:val="00150C79"/>
    <w:rsid w:val="0015162B"/>
    <w:rsid w:val="00151E62"/>
    <w:rsid w:val="001529B4"/>
    <w:rsid w:val="001540F7"/>
    <w:rsid w:val="001541B0"/>
    <w:rsid w:val="00154C20"/>
    <w:rsid w:val="00156E17"/>
    <w:rsid w:val="00157974"/>
    <w:rsid w:val="00162160"/>
    <w:rsid w:val="001633AC"/>
    <w:rsid w:val="001633F4"/>
    <w:rsid w:val="00163C46"/>
    <w:rsid w:val="00163E46"/>
    <w:rsid w:val="00167234"/>
    <w:rsid w:val="00171DE0"/>
    <w:rsid w:val="00171E0D"/>
    <w:rsid w:val="001721DE"/>
    <w:rsid w:val="00172D81"/>
    <w:rsid w:val="00175494"/>
    <w:rsid w:val="001759FF"/>
    <w:rsid w:val="001763B3"/>
    <w:rsid w:val="00177B47"/>
    <w:rsid w:val="001808F7"/>
    <w:rsid w:val="00180911"/>
    <w:rsid w:val="001838A3"/>
    <w:rsid w:val="00183AAD"/>
    <w:rsid w:val="0019053E"/>
    <w:rsid w:val="0019103F"/>
    <w:rsid w:val="001916B5"/>
    <w:rsid w:val="00191815"/>
    <w:rsid w:val="001922AB"/>
    <w:rsid w:val="0019287E"/>
    <w:rsid w:val="00193CD3"/>
    <w:rsid w:val="00193E58"/>
    <w:rsid w:val="00195E80"/>
    <w:rsid w:val="0019666C"/>
    <w:rsid w:val="00196F87"/>
    <w:rsid w:val="001978EC"/>
    <w:rsid w:val="00197F8D"/>
    <w:rsid w:val="001A0FCF"/>
    <w:rsid w:val="001A197D"/>
    <w:rsid w:val="001A23A8"/>
    <w:rsid w:val="001A3510"/>
    <w:rsid w:val="001A526E"/>
    <w:rsid w:val="001A5654"/>
    <w:rsid w:val="001A6685"/>
    <w:rsid w:val="001A6AAA"/>
    <w:rsid w:val="001B0651"/>
    <w:rsid w:val="001B0BB6"/>
    <w:rsid w:val="001B0ECE"/>
    <w:rsid w:val="001B10BE"/>
    <w:rsid w:val="001B3E70"/>
    <w:rsid w:val="001B501F"/>
    <w:rsid w:val="001B5547"/>
    <w:rsid w:val="001B6877"/>
    <w:rsid w:val="001B7CD3"/>
    <w:rsid w:val="001C048B"/>
    <w:rsid w:val="001C0DED"/>
    <w:rsid w:val="001C1572"/>
    <w:rsid w:val="001C2C48"/>
    <w:rsid w:val="001C2EE8"/>
    <w:rsid w:val="001C3747"/>
    <w:rsid w:val="001C3AB5"/>
    <w:rsid w:val="001C3EE3"/>
    <w:rsid w:val="001C40B3"/>
    <w:rsid w:val="001C483E"/>
    <w:rsid w:val="001C580A"/>
    <w:rsid w:val="001C5E0F"/>
    <w:rsid w:val="001C70A4"/>
    <w:rsid w:val="001C7CE9"/>
    <w:rsid w:val="001D1742"/>
    <w:rsid w:val="001D2219"/>
    <w:rsid w:val="001D4F99"/>
    <w:rsid w:val="001E19A3"/>
    <w:rsid w:val="001E23A6"/>
    <w:rsid w:val="001E40AE"/>
    <w:rsid w:val="001E4180"/>
    <w:rsid w:val="001E43A2"/>
    <w:rsid w:val="001E4CB4"/>
    <w:rsid w:val="001E553E"/>
    <w:rsid w:val="001E557C"/>
    <w:rsid w:val="001E5755"/>
    <w:rsid w:val="001E64A7"/>
    <w:rsid w:val="001E668A"/>
    <w:rsid w:val="001E76D9"/>
    <w:rsid w:val="001F019B"/>
    <w:rsid w:val="001F3B23"/>
    <w:rsid w:val="001F4F07"/>
    <w:rsid w:val="001F5D89"/>
    <w:rsid w:val="001F62D3"/>
    <w:rsid w:val="001F6796"/>
    <w:rsid w:val="001F67F0"/>
    <w:rsid w:val="001F7567"/>
    <w:rsid w:val="001F7A86"/>
    <w:rsid w:val="00201CA9"/>
    <w:rsid w:val="00202E30"/>
    <w:rsid w:val="0020463F"/>
    <w:rsid w:val="00205F23"/>
    <w:rsid w:val="00207127"/>
    <w:rsid w:val="00207954"/>
    <w:rsid w:val="002101C9"/>
    <w:rsid w:val="00210455"/>
    <w:rsid w:val="00212DC4"/>
    <w:rsid w:val="002151F4"/>
    <w:rsid w:val="002157DD"/>
    <w:rsid w:val="002163CD"/>
    <w:rsid w:val="002174A2"/>
    <w:rsid w:val="002179DB"/>
    <w:rsid w:val="002204F9"/>
    <w:rsid w:val="00222269"/>
    <w:rsid w:val="002225FB"/>
    <w:rsid w:val="00225089"/>
    <w:rsid w:val="002257DD"/>
    <w:rsid w:val="00225F2B"/>
    <w:rsid w:val="00226023"/>
    <w:rsid w:val="0022685D"/>
    <w:rsid w:val="00227BF2"/>
    <w:rsid w:val="00231467"/>
    <w:rsid w:val="00231584"/>
    <w:rsid w:val="0023233F"/>
    <w:rsid w:val="0023290D"/>
    <w:rsid w:val="0023302D"/>
    <w:rsid w:val="00235889"/>
    <w:rsid w:val="00235FA5"/>
    <w:rsid w:val="0023662E"/>
    <w:rsid w:val="00236C4D"/>
    <w:rsid w:val="0023721E"/>
    <w:rsid w:val="00237840"/>
    <w:rsid w:val="00237A65"/>
    <w:rsid w:val="0024046B"/>
    <w:rsid w:val="00240B3F"/>
    <w:rsid w:val="0024158C"/>
    <w:rsid w:val="00242DA2"/>
    <w:rsid w:val="00242F21"/>
    <w:rsid w:val="002439D0"/>
    <w:rsid w:val="00243B67"/>
    <w:rsid w:val="00244281"/>
    <w:rsid w:val="002446E6"/>
    <w:rsid w:val="00244B8A"/>
    <w:rsid w:val="00244C9C"/>
    <w:rsid w:val="00246221"/>
    <w:rsid w:val="00247196"/>
    <w:rsid w:val="00247B4B"/>
    <w:rsid w:val="0025143F"/>
    <w:rsid w:val="00251DB6"/>
    <w:rsid w:val="00252485"/>
    <w:rsid w:val="00252B6A"/>
    <w:rsid w:val="00253240"/>
    <w:rsid w:val="0025592C"/>
    <w:rsid w:val="00255B9F"/>
    <w:rsid w:val="00256597"/>
    <w:rsid w:val="00261020"/>
    <w:rsid w:val="00263E36"/>
    <w:rsid w:val="00264010"/>
    <w:rsid w:val="00264887"/>
    <w:rsid w:val="00265EBD"/>
    <w:rsid w:val="00267DF3"/>
    <w:rsid w:val="00271DC5"/>
    <w:rsid w:val="00272AA0"/>
    <w:rsid w:val="00272B68"/>
    <w:rsid w:val="002733A0"/>
    <w:rsid w:val="002750E9"/>
    <w:rsid w:val="002751B7"/>
    <w:rsid w:val="00275E5D"/>
    <w:rsid w:val="002762FE"/>
    <w:rsid w:val="00276A9C"/>
    <w:rsid w:val="00277370"/>
    <w:rsid w:val="002776A8"/>
    <w:rsid w:val="002778AE"/>
    <w:rsid w:val="0028181B"/>
    <w:rsid w:val="00281921"/>
    <w:rsid w:val="00282B6A"/>
    <w:rsid w:val="00282C2A"/>
    <w:rsid w:val="00283166"/>
    <w:rsid w:val="002835BA"/>
    <w:rsid w:val="002840D7"/>
    <w:rsid w:val="00290176"/>
    <w:rsid w:val="002911F3"/>
    <w:rsid w:val="00292618"/>
    <w:rsid w:val="0029399A"/>
    <w:rsid w:val="002974C5"/>
    <w:rsid w:val="00297F89"/>
    <w:rsid w:val="00297F95"/>
    <w:rsid w:val="002A26CC"/>
    <w:rsid w:val="002A4405"/>
    <w:rsid w:val="002A4433"/>
    <w:rsid w:val="002A727E"/>
    <w:rsid w:val="002B0C18"/>
    <w:rsid w:val="002B4690"/>
    <w:rsid w:val="002B604E"/>
    <w:rsid w:val="002B625E"/>
    <w:rsid w:val="002B7FBA"/>
    <w:rsid w:val="002C0422"/>
    <w:rsid w:val="002C0936"/>
    <w:rsid w:val="002C0D35"/>
    <w:rsid w:val="002C1985"/>
    <w:rsid w:val="002C20BE"/>
    <w:rsid w:val="002C33E5"/>
    <w:rsid w:val="002C5928"/>
    <w:rsid w:val="002C6B73"/>
    <w:rsid w:val="002D018B"/>
    <w:rsid w:val="002D2275"/>
    <w:rsid w:val="002D6CE8"/>
    <w:rsid w:val="002D6DE1"/>
    <w:rsid w:val="002D7C72"/>
    <w:rsid w:val="002D7F43"/>
    <w:rsid w:val="002E080F"/>
    <w:rsid w:val="002E1101"/>
    <w:rsid w:val="002E1374"/>
    <w:rsid w:val="002E1EEC"/>
    <w:rsid w:val="002E305D"/>
    <w:rsid w:val="002E3CC8"/>
    <w:rsid w:val="002E46CD"/>
    <w:rsid w:val="002E484D"/>
    <w:rsid w:val="002E6550"/>
    <w:rsid w:val="002E78F4"/>
    <w:rsid w:val="002E7DA3"/>
    <w:rsid w:val="002F006C"/>
    <w:rsid w:val="002F3986"/>
    <w:rsid w:val="002F50F0"/>
    <w:rsid w:val="002F5FCC"/>
    <w:rsid w:val="002F6082"/>
    <w:rsid w:val="00300D02"/>
    <w:rsid w:val="00302DAA"/>
    <w:rsid w:val="0030486D"/>
    <w:rsid w:val="00305EE5"/>
    <w:rsid w:val="00306011"/>
    <w:rsid w:val="003067DF"/>
    <w:rsid w:val="00307AD5"/>
    <w:rsid w:val="00307D36"/>
    <w:rsid w:val="00310150"/>
    <w:rsid w:val="00310479"/>
    <w:rsid w:val="0031177E"/>
    <w:rsid w:val="00312019"/>
    <w:rsid w:val="003139CB"/>
    <w:rsid w:val="00314A94"/>
    <w:rsid w:val="003151C8"/>
    <w:rsid w:val="00316149"/>
    <w:rsid w:val="003170DE"/>
    <w:rsid w:val="00317142"/>
    <w:rsid w:val="0031749C"/>
    <w:rsid w:val="00317822"/>
    <w:rsid w:val="00317DB3"/>
    <w:rsid w:val="003202D8"/>
    <w:rsid w:val="00322612"/>
    <w:rsid w:val="00325679"/>
    <w:rsid w:val="0032570B"/>
    <w:rsid w:val="00325905"/>
    <w:rsid w:val="00325D0C"/>
    <w:rsid w:val="00325D4C"/>
    <w:rsid w:val="0032692B"/>
    <w:rsid w:val="00331A0E"/>
    <w:rsid w:val="003320E3"/>
    <w:rsid w:val="003328D0"/>
    <w:rsid w:val="003338CD"/>
    <w:rsid w:val="00335146"/>
    <w:rsid w:val="00335430"/>
    <w:rsid w:val="003375CF"/>
    <w:rsid w:val="00337FAA"/>
    <w:rsid w:val="0034043A"/>
    <w:rsid w:val="00342BD7"/>
    <w:rsid w:val="00342CE4"/>
    <w:rsid w:val="00343FC2"/>
    <w:rsid w:val="0034469B"/>
    <w:rsid w:val="00344B02"/>
    <w:rsid w:val="00345388"/>
    <w:rsid w:val="003453C7"/>
    <w:rsid w:val="003453F7"/>
    <w:rsid w:val="00345C9C"/>
    <w:rsid w:val="00350211"/>
    <w:rsid w:val="00350ABC"/>
    <w:rsid w:val="00353187"/>
    <w:rsid w:val="00353B1C"/>
    <w:rsid w:val="00354C9A"/>
    <w:rsid w:val="00355FA4"/>
    <w:rsid w:val="00355FD9"/>
    <w:rsid w:val="003562F8"/>
    <w:rsid w:val="003563C4"/>
    <w:rsid w:val="0035772B"/>
    <w:rsid w:val="00357F47"/>
    <w:rsid w:val="0036136E"/>
    <w:rsid w:val="0036260B"/>
    <w:rsid w:val="003631F8"/>
    <w:rsid w:val="0036333E"/>
    <w:rsid w:val="00366777"/>
    <w:rsid w:val="0036774A"/>
    <w:rsid w:val="00367E71"/>
    <w:rsid w:val="00370B3F"/>
    <w:rsid w:val="00372198"/>
    <w:rsid w:val="00372F1E"/>
    <w:rsid w:val="003733ED"/>
    <w:rsid w:val="00373956"/>
    <w:rsid w:val="00374AB2"/>
    <w:rsid w:val="003754DE"/>
    <w:rsid w:val="00375E7C"/>
    <w:rsid w:val="00376E08"/>
    <w:rsid w:val="00380604"/>
    <w:rsid w:val="00381063"/>
    <w:rsid w:val="00382381"/>
    <w:rsid w:val="00383078"/>
    <w:rsid w:val="0038360F"/>
    <w:rsid w:val="003840A3"/>
    <w:rsid w:val="003844D1"/>
    <w:rsid w:val="00384D60"/>
    <w:rsid w:val="00384F4E"/>
    <w:rsid w:val="00385396"/>
    <w:rsid w:val="0038562F"/>
    <w:rsid w:val="003878CA"/>
    <w:rsid w:val="00390D23"/>
    <w:rsid w:val="00392FA8"/>
    <w:rsid w:val="00393991"/>
    <w:rsid w:val="003943B1"/>
    <w:rsid w:val="00395634"/>
    <w:rsid w:val="00395898"/>
    <w:rsid w:val="003A0141"/>
    <w:rsid w:val="003A023E"/>
    <w:rsid w:val="003A0352"/>
    <w:rsid w:val="003A359F"/>
    <w:rsid w:val="003A478E"/>
    <w:rsid w:val="003A4AEA"/>
    <w:rsid w:val="003A5EA0"/>
    <w:rsid w:val="003A78D8"/>
    <w:rsid w:val="003A7A72"/>
    <w:rsid w:val="003B041D"/>
    <w:rsid w:val="003B0DE9"/>
    <w:rsid w:val="003B29D8"/>
    <w:rsid w:val="003B3EA0"/>
    <w:rsid w:val="003B4CF8"/>
    <w:rsid w:val="003B4EBF"/>
    <w:rsid w:val="003C11A2"/>
    <w:rsid w:val="003C1505"/>
    <w:rsid w:val="003C27AC"/>
    <w:rsid w:val="003C491E"/>
    <w:rsid w:val="003C624F"/>
    <w:rsid w:val="003C6387"/>
    <w:rsid w:val="003C7BA3"/>
    <w:rsid w:val="003D0415"/>
    <w:rsid w:val="003D16C2"/>
    <w:rsid w:val="003D180E"/>
    <w:rsid w:val="003D2021"/>
    <w:rsid w:val="003D30E0"/>
    <w:rsid w:val="003D3867"/>
    <w:rsid w:val="003D407F"/>
    <w:rsid w:val="003D4B42"/>
    <w:rsid w:val="003D4B93"/>
    <w:rsid w:val="003D5A80"/>
    <w:rsid w:val="003D7AD2"/>
    <w:rsid w:val="003D7DB2"/>
    <w:rsid w:val="003E00DA"/>
    <w:rsid w:val="003E0353"/>
    <w:rsid w:val="003E0814"/>
    <w:rsid w:val="003E0A7C"/>
    <w:rsid w:val="003E0E23"/>
    <w:rsid w:val="003E14E6"/>
    <w:rsid w:val="003E3E74"/>
    <w:rsid w:val="003E423E"/>
    <w:rsid w:val="003E4608"/>
    <w:rsid w:val="003E4706"/>
    <w:rsid w:val="003E4CF5"/>
    <w:rsid w:val="003E520A"/>
    <w:rsid w:val="003E70D1"/>
    <w:rsid w:val="003F2A76"/>
    <w:rsid w:val="003F5288"/>
    <w:rsid w:val="003F54E8"/>
    <w:rsid w:val="003F5F46"/>
    <w:rsid w:val="003F6C96"/>
    <w:rsid w:val="003F73FD"/>
    <w:rsid w:val="003F7D43"/>
    <w:rsid w:val="004004A0"/>
    <w:rsid w:val="00402A24"/>
    <w:rsid w:val="004030C4"/>
    <w:rsid w:val="00404BFF"/>
    <w:rsid w:val="00405591"/>
    <w:rsid w:val="004063E0"/>
    <w:rsid w:val="00407688"/>
    <w:rsid w:val="004124C0"/>
    <w:rsid w:val="0041370C"/>
    <w:rsid w:val="004143E7"/>
    <w:rsid w:val="004153D2"/>
    <w:rsid w:val="00416B7D"/>
    <w:rsid w:val="00417478"/>
    <w:rsid w:val="004203C4"/>
    <w:rsid w:val="0042051E"/>
    <w:rsid w:val="00421962"/>
    <w:rsid w:val="004225A4"/>
    <w:rsid w:val="00422C88"/>
    <w:rsid w:val="00422E0E"/>
    <w:rsid w:val="00422EFD"/>
    <w:rsid w:val="00423213"/>
    <w:rsid w:val="004241BB"/>
    <w:rsid w:val="00424B17"/>
    <w:rsid w:val="00426295"/>
    <w:rsid w:val="004263A0"/>
    <w:rsid w:val="004267A7"/>
    <w:rsid w:val="00427378"/>
    <w:rsid w:val="00427794"/>
    <w:rsid w:val="00430BE0"/>
    <w:rsid w:val="0043145B"/>
    <w:rsid w:val="00432559"/>
    <w:rsid w:val="004357A3"/>
    <w:rsid w:val="00436BBA"/>
    <w:rsid w:val="004372CF"/>
    <w:rsid w:val="004376C5"/>
    <w:rsid w:val="00441DB4"/>
    <w:rsid w:val="0044251A"/>
    <w:rsid w:val="00442FDC"/>
    <w:rsid w:val="00444BC9"/>
    <w:rsid w:val="00446D72"/>
    <w:rsid w:val="0044727E"/>
    <w:rsid w:val="00450D75"/>
    <w:rsid w:val="004517B4"/>
    <w:rsid w:val="00452C6A"/>
    <w:rsid w:val="00453865"/>
    <w:rsid w:val="00453D58"/>
    <w:rsid w:val="00454A84"/>
    <w:rsid w:val="00456387"/>
    <w:rsid w:val="00456633"/>
    <w:rsid w:val="0045756A"/>
    <w:rsid w:val="004576B6"/>
    <w:rsid w:val="004633A4"/>
    <w:rsid w:val="004640C5"/>
    <w:rsid w:val="00465C31"/>
    <w:rsid w:val="00467AED"/>
    <w:rsid w:val="0047004E"/>
    <w:rsid w:val="00471329"/>
    <w:rsid w:val="0047161B"/>
    <w:rsid w:val="00471923"/>
    <w:rsid w:val="0047217D"/>
    <w:rsid w:val="0047228E"/>
    <w:rsid w:val="00472F6F"/>
    <w:rsid w:val="004736D4"/>
    <w:rsid w:val="00475416"/>
    <w:rsid w:val="00475559"/>
    <w:rsid w:val="00477163"/>
    <w:rsid w:val="00480B28"/>
    <w:rsid w:val="00481355"/>
    <w:rsid w:val="0048328B"/>
    <w:rsid w:val="00483F54"/>
    <w:rsid w:val="00484BD0"/>
    <w:rsid w:val="00484D93"/>
    <w:rsid w:val="00485674"/>
    <w:rsid w:val="004860A4"/>
    <w:rsid w:val="00486732"/>
    <w:rsid w:val="00486C75"/>
    <w:rsid w:val="00487551"/>
    <w:rsid w:val="00493B0E"/>
    <w:rsid w:val="00493D17"/>
    <w:rsid w:val="004969C6"/>
    <w:rsid w:val="004971B8"/>
    <w:rsid w:val="004971F9"/>
    <w:rsid w:val="00497974"/>
    <w:rsid w:val="004A0502"/>
    <w:rsid w:val="004A185B"/>
    <w:rsid w:val="004A2871"/>
    <w:rsid w:val="004A31B5"/>
    <w:rsid w:val="004A3734"/>
    <w:rsid w:val="004A3773"/>
    <w:rsid w:val="004A3C59"/>
    <w:rsid w:val="004A5EFA"/>
    <w:rsid w:val="004A6627"/>
    <w:rsid w:val="004A6A22"/>
    <w:rsid w:val="004B467A"/>
    <w:rsid w:val="004B7DB2"/>
    <w:rsid w:val="004C0295"/>
    <w:rsid w:val="004C04C4"/>
    <w:rsid w:val="004C14EF"/>
    <w:rsid w:val="004C41A4"/>
    <w:rsid w:val="004C430A"/>
    <w:rsid w:val="004C5354"/>
    <w:rsid w:val="004C5A88"/>
    <w:rsid w:val="004C7434"/>
    <w:rsid w:val="004C7B35"/>
    <w:rsid w:val="004C7D16"/>
    <w:rsid w:val="004C7E5C"/>
    <w:rsid w:val="004D0252"/>
    <w:rsid w:val="004D3129"/>
    <w:rsid w:val="004D3929"/>
    <w:rsid w:val="004D40FA"/>
    <w:rsid w:val="004D4C34"/>
    <w:rsid w:val="004D4D2F"/>
    <w:rsid w:val="004D50B3"/>
    <w:rsid w:val="004D5251"/>
    <w:rsid w:val="004D5877"/>
    <w:rsid w:val="004D6330"/>
    <w:rsid w:val="004D7097"/>
    <w:rsid w:val="004D764E"/>
    <w:rsid w:val="004E001E"/>
    <w:rsid w:val="004E3321"/>
    <w:rsid w:val="004E38A5"/>
    <w:rsid w:val="004E3998"/>
    <w:rsid w:val="004E4DD4"/>
    <w:rsid w:val="004E4FA0"/>
    <w:rsid w:val="004E5429"/>
    <w:rsid w:val="004E5B96"/>
    <w:rsid w:val="004E6320"/>
    <w:rsid w:val="004E674F"/>
    <w:rsid w:val="004E7702"/>
    <w:rsid w:val="004F05C0"/>
    <w:rsid w:val="004F233E"/>
    <w:rsid w:val="004F3AD0"/>
    <w:rsid w:val="004F45F1"/>
    <w:rsid w:val="004F4B79"/>
    <w:rsid w:val="004F767C"/>
    <w:rsid w:val="004F7918"/>
    <w:rsid w:val="005011E1"/>
    <w:rsid w:val="00501292"/>
    <w:rsid w:val="005012E3"/>
    <w:rsid w:val="005034A8"/>
    <w:rsid w:val="005034CA"/>
    <w:rsid w:val="005044D8"/>
    <w:rsid w:val="00504AF4"/>
    <w:rsid w:val="00505829"/>
    <w:rsid w:val="00507773"/>
    <w:rsid w:val="00510334"/>
    <w:rsid w:val="005116FA"/>
    <w:rsid w:val="0051635A"/>
    <w:rsid w:val="005164A2"/>
    <w:rsid w:val="00516A40"/>
    <w:rsid w:val="00520034"/>
    <w:rsid w:val="00520868"/>
    <w:rsid w:val="00521176"/>
    <w:rsid w:val="00521204"/>
    <w:rsid w:val="00521FCB"/>
    <w:rsid w:val="00522F2A"/>
    <w:rsid w:val="00523004"/>
    <w:rsid w:val="005237EB"/>
    <w:rsid w:val="00523E89"/>
    <w:rsid w:val="00524BCA"/>
    <w:rsid w:val="00524C2A"/>
    <w:rsid w:val="00524E79"/>
    <w:rsid w:val="00526001"/>
    <w:rsid w:val="00530289"/>
    <w:rsid w:val="00530E71"/>
    <w:rsid w:val="005326B7"/>
    <w:rsid w:val="00533307"/>
    <w:rsid w:val="00534231"/>
    <w:rsid w:val="00535FDE"/>
    <w:rsid w:val="00537885"/>
    <w:rsid w:val="00540471"/>
    <w:rsid w:val="00541208"/>
    <w:rsid w:val="005439B2"/>
    <w:rsid w:val="00545169"/>
    <w:rsid w:val="005460D3"/>
    <w:rsid w:val="005473C1"/>
    <w:rsid w:val="0055040D"/>
    <w:rsid w:val="00555371"/>
    <w:rsid w:val="00555F89"/>
    <w:rsid w:val="0055663A"/>
    <w:rsid w:val="00556D97"/>
    <w:rsid w:val="005570F8"/>
    <w:rsid w:val="00560316"/>
    <w:rsid w:val="00563E3A"/>
    <w:rsid w:val="005647ED"/>
    <w:rsid w:val="00565F2A"/>
    <w:rsid w:val="00567043"/>
    <w:rsid w:val="005706B4"/>
    <w:rsid w:val="0057155D"/>
    <w:rsid w:val="00571888"/>
    <w:rsid w:val="0057601E"/>
    <w:rsid w:val="0057609C"/>
    <w:rsid w:val="00576156"/>
    <w:rsid w:val="00576D00"/>
    <w:rsid w:val="005809F6"/>
    <w:rsid w:val="00582FFB"/>
    <w:rsid w:val="0058440F"/>
    <w:rsid w:val="00584735"/>
    <w:rsid w:val="005850D2"/>
    <w:rsid w:val="005852D4"/>
    <w:rsid w:val="00585388"/>
    <w:rsid w:val="005853AA"/>
    <w:rsid w:val="00585B98"/>
    <w:rsid w:val="00585FB4"/>
    <w:rsid w:val="0059184D"/>
    <w:rsid w:val="005921C0"/>
    <w:rsid w:val="005923F4"/>
    <w:rsid w:val="00593569"/>
    <w:rsid w:val="00593D29"/>
    <w:rsid w:val="005951D8"/>
    <w:rsid w:val="005952CF"/>
    <w:rsid w:val="0059605C"/>
    <w:rsid w:val="00596D5E"/>
    <w:rsid w:val="00597F02"/>
    <w:rsid w:val="005A15A6"/>
    <w:rsid w:val="005A1B3D"/>
    <w:rsid w:val="005A29F3"/>
    <w:rsid w:val="005A2B89"/>
    <w:rsid w:val="005A2E32"/>
    <w:rsid w:val="005A3471"/>
    <w:rsid w:val="005A38AC"/>
    <w:rsid w:val="005A39B9"/>
    <w:rsid w:val="005A61C4"/>
    <w:rsid w:val="005A75B7"/>
    <w:rsid w:val="005B0238"/>
    <w:rsid w:val="005B2793"/>
    <w:rsid w:val="005B3B1C"/>
    <w:rsid w:val="005B4A61"/>
    <w:rsid w:val="005B5CF2"/>
    <w:rsid w:val="005B7BEF"/>
    <w:rsid w:val="005C025D"/>
    <w:rsid w:val="005C05E8"/>
    <w:rsid w:val="005C0DF5"/>
    <w:rsid w:val="005C3408"/>
    <w:rsid w:val="005C3529"/>
    <w:rsid w:val="005C6019"/>
    <w:rsid w:val="005C6071"/>
    <w:rsid w:val="005C6A99"/>
    <w:rsid w:val="005C7406"/>
    <w:rsid w:val="005C7956"/>
    <w:rsid w:val="005D059D"/>
    <w:rsid w:val="005D0984"/>
    <w:rsid w:val="005D26C7"/>
    <w:rsid w:val="005D2B5A"/>
    <w:rsid w:val="005D3E55"/>
    <w:rsid w:val="005D63A8"/>
    <w:rsid w:val="005D68FE"/>
    <w:rsid w:val="005D6A03"/>
    <w:rsid w:val="005E1062"/>
    <w:rsid w:val="005E3477"/>
    <w:rsid w:val="005E3AA2"/>
    <w:rsid w:val="005E3AC4"/>
    <w:rsid w:val="005E420B"/>
    <w:rsid w:val="005E6E12"/>
    <w:rsid w:val="005F2332"/>
    <w:rsid w:val="005F3051"/>
    <w:rsid w:val="005F3530"/>
    <w:rsid w:val="005F402B"/>
    <w:rsid w:val="005F447F"/>
    <w:rsid w:val="005F5DF4"/>
    <w:rsid w:val="005F5FCA"/>
    <w:rsid w:val="005F6121"/>
    <w:rsid w:val="005F6680"/>
    <w:rsid w:val="005F7C9B"/>
    <w:rsid w:val="0060189A"/>
    <w:rsid w:val="00602995"/>
    <w:rsid w:val="00603DBA"/>
    <w:rsid w:val="006043E9"/>
    <w:rsid w:val="00605FC0"/>
    <w:rsid w:val="006063C0"/>
    <w:rsid w:val="006063D6"/>
    <w:rsid w:val="00606C37"/>
    <w:rsid w:val="00606F75"/>
    <w:rsid w:val="006070B4"/>
    <w:rsid w:val="00611911"/>
    <w:rsid w:val="00612458"/>
    <w:rsid w:val="006127BA"/>
    <w:rsid w:val="00613151"/>
    <w:rsid w:val="00613B0B"/>
    <w:rsid w:val="00615471"/>
    <w:rsid w:val="006169F5"/>
    <w:rsid w:val="00617A05"/>
    <w:rsid w:val="006225D3"/>
    <w:rsid w:val="006230A5"/>
    <w:rsid w:val="006232CA"/>
    <w:rsid w:val="00624BAD"/>
    <w:rsid w:val="00624ED6"/>
    <w:rsid w:val="006258FA"/>
    <w:rsid w:val="00625A00"/>
    <w:rsid w:val="00625A70"/>
    <w:rsid w:val="00626227"/>
    <w:rsid w:val="00632D17"/>
    <w:rsid w:val="00633F7C"/>
    <w:rsid w:val="00634041"/>
    <w:rsid w:val="006347AA"/>
    <w:rsid w:val="006349DA"/>
    <w:rsid w:val="00634EFC"/>
    <w:rsid w:val="00635374"/>
    <w:rsid w:val="006360DC"/>
    <w:rsid w:val="00637414"/>
    <w:rsid w:val="00637E9D"/>
    <w:rsid w:val="006402BF"/>
    <w:rsid w:val="00643176"/>
    <w:rsid w:val="00643491"/>
    <w:rsid w:val="00644DAC"/>
    <w:rsid w:val="00646016"/>
    <w:rsid w:val="00646D6C"/>
    <w:rsid w:val="00651322"/>
    <w:rsid w:val="00654A56"/>
    <w:rsid w:val="00656058"/>
    <w:rsid w:val="00656B92"/>
    <w:rsid w:val="00656F40"/>
    <w:rsid w:val="00657109"/>
    <w:rsid w:val="00657427"/>
    <w:rsid w:val="00660419"/>
    <w:rsid w:val="0066549E"/>
    <w:rsid w:val="0066670D"/>
    <w:rsid w:val="00666E0D"/>
    <w:rsid w:val="00667B3C"/>
    <w:rsid w:val="00670EEC"/>
    <w:rsid w:val="00671120"/>
    <w:rsid w:val="006716B5"/>
    <w:rsid w:val="006718B2"/>
    <w:rsid w:val="00673EFD"/>
    <w:rsid w:val="006744E5"/>
    <w:rsid w:val="00675265"/>
    <w:rsid w:val="00676B37"/>
    <w:rsid w:val="00677344"/>
    <w:rsid w:val="00680283"/>
    <w:rsid w:val="00681861"/>
    <w:rsid w:val="006818D3"/>
    <w:rsid w:val="00684C4D"/>
    <w:rsid w:val="00684C77"/>
    <w:rsid w:val="00691A77"/>
    <w:rsid w:val="006921EA"/>
    <w:rsid w:val="00694D00"/>
    <w:rsid w:val="00694EF7"/>
    <w:rsid w:val="00696B1E"/>
    <w:rsid w:val="006A08C8"/>
    <w:rsid w:val="006A08FC"/>
    <w:rsid w:val="006A2D55"/>
    <w:rsid w:val="006A44E3"/>
    <w:rsid w:val="006A56BF"/>
    <w:rsid w:val="006A6574"/>
    <w:rsid w:val="006A6954"/>
    <w:rsid w:val="006A7AD2"/>
    <w:rsid w:val="006B4251"/>
    <w:rsid w:val="006B6526"/>
    <w:rsid w:val="006B6721"/>
    <w:rsid w:val="006B6F37"/>
    <w:rsid w:val="006B72C8"/>
    <w:rsid w:val="006C1C00"/>
    <w:rsid w:val="006C42FF"/>
    <w:rsid w:val="006C528B"/>
    <w:rsid w:val="006C568D"/>
    <w:rsid w:val="006C7CB5"/>
    <w:rsid w:val="006D19D6"/>
    <w:rsid w:val="006D2898"/>
    <w:rsid w:val="006D3DAE"/>
    <w:rsid w:val="006D3FC9"/>
    <w:rsid w:val="006D4E2F"/>
    <w:rsid w:val="006D52AB"/>
    <w:rsid w:val="006D59E3"/>
    <w:rsid w:val="006D5A7B"/>
    <w:rsid w:val="006D5DD4"/>
    <w:rsid w:val="006D71A8"/>
    <w:rsid w:val="006E0054"/>
    <w:rsid w:val="006E36A5"/>
    <w:rsid w:val="006E46F7"/>
    <w:rsid w:val="006E79C4"/>
    <w:rsid w:val="006F0AF8"/>
    <w:rsid w:val="006F1717"/>
    <w:rsid w:val="006F2793"/>
    <w:rsid w:val="006F2ADB"/>
    <w:rsid w:val="006F2F58"/>
    <w:rsid w:val="006F4AF1"/>
    <w:rsid w:val="006F4DDF"/>
    <w:rsid w:val="006F4E0F"/>
    <w:rsid w:val="006F548B"/>
    <w:rsid w:val="006F6910"/>
    <w:rsid w:val="006F6D1E"/>
    <w:rsid w:val="007001ED"/>
    <w:rsid w:val="007039D6"/>
    <w:rsid w:val="00704DDA"/>
    <w:rsid w:val="007051A2"/>
    <w:rsid w:val="00705480"/>
    <w:rsid w:val="00705D08"/>
    <w:rsid w:val="007068AB"/>
    <w:rsid w:val="00706A7C"/>
    <w:rsid w:val="00706F8E"/>
    <w:rsid w:val="00707F54"/>
    <w:rsid w:val="00715182"/>
    <w:rsid w:val="00715C62"/>
    <w:rsid w:val="0071737E"/>
    <w:rsid w:val="0071745A"/>
    <w:rsid w:val="00720785"/>
    <w:rsid w:val="0072112A"/>
    <w:rsid w:val="00721DCD"/>
    <w:rsid w:val="007224F4"/>
    <w:rsid w:val="007231F2"/>
    <w:rsid w:val="007249FC"/>
    <w:rsid w:val="0072546D"/>
    <w:rsid w:val="007277CE"/>
    <w:rsid w:val="00731402"/>
    <w:rsid w:val="00733B33"/>
    <w:rsid w:val="00735C1D"/>
    <w:rsid w:val="0073630B"/>
    <w:rsid w:val="007370DF"/>
    <w:rsid w:val="0073718B"/>
    <w:rsid w:val="007376B8"/>
    <w:rsid w:val="00740F3F"/>
    <w:rsid w:val="007424D6"/>
    <w:rsid w:val="00743BAB"/>
    <w:rsid w:val="00743D6B"/>
    <w:rsid w:val="00743E84"/>
    <w:rsid w:val="00744FF9"/>
    <w:rsid w:val="007454AB"/>
    <w:rsid w:val="00745AE4"/>
    <w:rsid w:val="00745E91"/>
    <w:rsid w:val="0075212F"/>
    <w:rsid w:val="007525F9"/>
    <w:rsid w:val="007537C7"/>
    <w:rsid w:val="00753A39"/>
    <w:rsid w:val="007561FD"/>
    <w:rsid w:val="00756793"/>
    <w:rsid w:val="00757F87"/>
    <w:rsid w:val="00760F6D"/>
    <w:rsid w:val="00761061"/>
    <w:rsid w:val="007613AB"/>
    <w:rsid w:val="007636AF"/>
    <w:rsid w:val="00764DE5"/>
    <w:rsid w:val="00766423"/>
    <w:rsid w:val="00766755"/>
    <w:rsid w:val="007703C8"/>
    <w:rsid w:val="007717BE"/>
    <w:rsid w:val="007723B5"/>
    <w:rsid w:val="00772452"/>
    <w:rsid w:val="007737C0"/>
    <w:rsid w:val="007747E9"/>
    <w:rsid w:val="00774C04"/>
    <w:rsid w:val="00776A05"/>
    <w:rsid w:val="00782730"/>
    <w:rsid w:val="00783B44"/>
    <w:rsid w:val="00784198"/>
    <w:rsid w:val="0078420F"/>
    <w:rsid w:val="0078521A"/>
    <w:rsid w:val="00785D85"/>
    <w:rsid w:val="007874D5"/>
    <w:rsid w:val="00790114"/>
    <w:rsid w:val="007903A1"/>
    <w:rsid w:val="0079161E"/>
    <w:rsid w:val="00791F36"/>
    <w:rsid w:val="00793168"/>
    <w:rsid w:val="007935A0"/>
    <w:rsid w:val="00793B07"/>
    <w:rsid w:val="007962F8"/>
    <w:rsid w:val="0079707F"/>
    <w:rsid w:val="007A0BE5"/>
    <w:rsid w:val="007A1196"/>
    <w:rsid w:val="007A284E"/>
    <w:rsid w:val="007A3C18"/>
    <w:rsid w:val="007A3ED8"/>
    <w:rsid w:val="007A4EC7"/>
    <w:rsid w:val="007B0C9A"/>
    <w:rsid w:val="007B10FC"/>
    <w:rsid w:val="007B1643"/>
    <w:rsid w:val="007B1D29"/>
    <w:rsid w:val="007B1ECB"/>
    <w:rsid w:val="007B2FBB"/>
    <w:rsid w:val="007B5109"/>
    <w:rsid w:val="007B5310"/>
    <w:rsid w:val="007B596D"/>
    <w:rsid w:val="007B78B0"/>
    <w:rsid w:val="007B791D"/>
    <w:rsid w:val="007C0E70"/>
    <w:rsid w:val="007C2C1E"/>
    <w:rsid w:val="007C5A9E"/>
    <w:rsid w:val="007C6037"/>
    <w:rsid w:val="007C6492"/>
    <w:rsid w:val="007C657B"/>
    <w:rsid w:val="007C6CA4"/>
    <w:rsid w:val="007D02D9"/>
    <w:rsid w:val="007D03BF"/>
    <w:rsid w:val="007D0660"/>
    <w:rsid w:val="007D08AA"/>
    <w:rsid w:val="007D0BDC"/>
    <w:rsid w:val="007D0C27"/>
    <w:rsid w:val="007D1414"/>
    <w:rsid w:val="007D50F8"/>
    <w:rsid w:val="007D6087"/>
    <w:rsid w:val="007D6AD7"/>
    <w:rsid w:val="007D6C38"/>
    <w:rsid w:val="007E117F"/>
    <w:rsid w:val="007E1BA7"/>
    <w:rsid w:val="007E2DC2"/>
    <w:rsid w:val="007E3C2D"/>
    <w:rsid w:val="007E3D6E"/>
    <w:rsid w:val="007E4B88"/>
    <w:rsid w:val="007F0BB2"/>
    <w:rsid w:val="007F0BDA"/>
    <w:rsid w:val="007F0D72"/>
    <w:rsid w:val="007F28AB"/>
    <w:rsid w:val="007F2ABC"/>
    <w:rsid w:val="007F3106"/>
    <w:rsid w:val="007F3C4A"/>
    <w:rsid w:val="007F3FF1"/>
    <w:rsid w:val="007F4BC5"/>
    <w:rsid w:val="008008B7"/>
    <w:rsid w:val="00800D78"/>
    <w:rsid w:val="00801F0E"/>
    <w:rsid w:val="0080591A"/>
    <w:rsid w:val="00806E8C"/>
    <w:rsid w:val="008130B7"/>
    <w:rsid w:val="00813366"/>
    <w:rsid w:val="00814394"/>
    <w:rsid w:val="00814445"/>
    <w:rsid w:val="00815CB9"/>
    <w:rsid w:val="008168B6"/>
    <w:rsid w:val="00817967"/>
    <w:rsid w:val="00821D83"/>
    <w:rsid w:val="00822E25"/>
    <w:rsid w:val="00822E7B"/>
    <w:rsid w:val="00823802"/>
    <w:rsid w:val="00823EF9"/>
    <w:rsid w:val="0082668D"/>
    <w:rsid w:val="00827193"/>
    <w:rsid w:val="00827BCE"/>
    <w:rsid w:val="00832796"/>
    <w:rsid w:val="00833FBD"/>
    <w:rsid w:val="00834182"/>
    <w:rsid w:val="00834CBD"/>
    <w:rsid w:val="00834D5C"/>
    <w:rsid w:val="00835ED1"/>
    <w:rsid w:val="00835F73"/>
    <w:rsid w:val="00837521"/>
    <w:rsid w:val="00842065"/>
    <w:rsid w:val="0084262A"/>
    <w:rsid w:val="00844436"/>
    <w:rsid w:val="00846413"/>
    <w:rsid w:val="008464A8"/>
    <w:rsid w:val="0084699C"/>
    <w:rsid w:val="00846A6A"/>
    <w:rsid w:val="00846C37"/>
    <w:rsid w:val="00846D1E"/>
    <w:rsid w:val="00847E85"/>
    <w:rsid w:val="0085029B"/>
    <w:rsid w:val="00851BCC"/>
    <w:rsid w:val="00851E9F"/>
    <w:rsid w:val="00851F31"/>
    <w:rsid w:val="008524BD"/>
    <w:rsid w:val="00856516"/>
    <w:rsid w:val="0085654B"/>
    <w:rsid w:val="00860FBC"/>
    <w:rsid w:val="00861587"/>
    <w:rsid w:val="00861D6F"/>
    <w:rsid w:val="00861F8B"/>
    <w:rsid w:val="00862D86"/>
    <w:rsid w:val="00863257"/>
    <w:rsid w:val="00863A8A"/>
    <w:rsid w:val="00863C90"/>
    <w:rsid w:val="008648F7"/>
    <w:rsid w:val="0086493F"/>
    <w:rsid w:val="008650BD"/>
    <w:rsid w:val="00865839"/>
    <w:rsid w:val="00866EAA"/>
    <w:rsid w:val="0087248E"/>
    <w:rsid w:val="008729E6"/>
    <w:rsid w:val="00872A34"/>
    <w:rsid w:val="00875592"/>
    <w:rsid w:val="00875C79"/>
    <w:rsid w:val="00875DCD"/>
    <w:rsid w:val="00880839"/>
    <w:rsid w:val="0088124A"/>
    <w:rsid w:val="00882741"/>
    <w:rsid w:val="00882CF5"/>
    <w:rsid w:val="00884C2F"/>
    <w:rsid w:val="00884DDA"/>
    <w:rsid w:val="00886280"/>
    <w:rsid w:val="00886837"/>
    <w:rsid w:val="00891765"/>
    <w:rsid w:val="00892CFE"/>
    <w:rsid w:val="00893BCB"/>
    <w:rsid w:val="00893D36"/>
    <w:rsid w:val="00894883"/>
    <w:rsid w:val="00894A56"/>
    <w:rsid w:val="0089531F"/>
    <w:rsid w:val="00895CC5"/>
    <w:rsid w:val="00896AA2"/>
    <w:rsid w:val="00897069"/>
    <w:rsid w:val="008A00EA"/>
    <w:rsid w:val="008A1A09"/>
    <w:rsid w:val="008A33A6"/>
    <w:rsid w:val="008A4644"/>
    <w:rsid w:val="008A625C"/>
    <w:rsid w:val="008A653C"/>
    <w:rsid w:val="008A6DC7"/>
    <w:rsid w:val="008A7BB5"/>
    <w:rsid w:val="008B0067"/>
    <w:rsid w:val="008B175C"/>
    <w:rsid w:val="008B1C4B"/>
    <w:rsid w:val="008B2354"/>
    <w:rsid w:val="008B36ED"/>
    <w:rsid w:val="008B4DF1"/>
    <w:rsid w:val="008B5244"/>
    <w:rsid w:val="008C090F"/>
    <w:rsid w:val="008C0E58"/>
    <w:rsid w:val="008C1286"/>
    <w:rsid w:val="008C150D"/>
    <w:rsid w:val="008C2089"/>
    <w:rsid w:val="008C24E9"/>
    <w:rsid w:val="008C4663"/>
    <w:rsid w:val="008C5F98"/>
    <w:rsid w:val="008D0623"/>
    <w:rsid w:val="008D0655"/>
    <w:rsid w:val="008D1BAA"/>
    <w:rsid w:val="008D1D36"/>
    <w:rsid w:val="008D2300"/>
    <w:rsid w:val="008D509B"/>
    <w:rsid w:val="008D512C"/>
    <w:rsid w:val="008D5265"/>
    <w:rsid w:val="008D639A"/>
    <w:rsid w:val="008D6DFB"/>
    <w:rsid w:val="008D7702"/>
    <w:rsid w:val="008E0203"/>
    <w:rsid w:val="008E0255"/>
    <w:rsid w:val="008E0B6E"/>
    <w:rsid w:val="008E283B"/>
    <w:rsid w:val="008E4342"/>
    <w:rsid w:val="008F0D4C"/>
    <w:rsid w:val="008F1ADF"/>
    <w:rsid w:val="008F2187"/>
    <w:rsid w:val="008F244D"/>
    <w:rsid w:val="008F2CDE"/>
    <w:rsid w:val="008F2F7B"/>
    <w:rsid w:val="008F3B2B"/>
    <w:rsid w:val="008F47E2"/>
    <w:rsid w:val="008F5FD0"/>
    <w:rsid w:val="008F6452"/>
    <w:rsid w:val="008F657F"/>
    <w:rsid w:val="008F7933"/>
    <w:rsid w:val="00901C7A"/>
    <w:rsid w:val="009037C6"/>
    <w:rsid w:val="00903B27"/>
    <w:rsid w:val="00904039"/>
    <w:rsid w:val="009044CD"/>
    <w:rsid w:val="00906218"/>
    <w:rsid w:val="0090649A"/>
    <w:rsid w:val="00907516"/>
    <w:rsid w:val="00907848"/>
    <w:rsid w:val="00910583"/>
    <w:rsid w:val="00910C2F"/>
    <w:rsid w:val="0091361E"/>
    <w:rsid w:val="00913E5A"/>
    <w:rsid w:val="00914764"/>
    <w:rsid w:val="00914EC6"/>
    <w:rsid w:val="00915559"/>
    <w:rsid w:val="00921CAF"/>
    <w:rsid w:val="0092211D"/>
    <w:rsid w:val="0092266E"/>
    <w:rsid w:val="00922A6F"/>
    <w:rsid w:val="00923991"/>
    <w:rsid w:val="00923A1F"/>
    <w:rsid w:val="00924B65"/>
    <w:rsid w:val="00926CE7"/>
    <w:rsid w:val="0093025C"/>
    <w:rsid w:val="009315EB"/>
    <w:rsid w:val="00931CB2"/>
    <w:rsid w:val="00931F44"/>
    <w:rsid w:val="0093233E"/>
    <w:rsid w:val="009323FF"/>
    <w:rsid w:val="009326C2"/>
    <w:rsid w:val="0093294F"/>
    <w:rsid w:val="009338F7"/>
    <w:rsid w:val="00934628"/>
    <w:rsid w:val="009350E3"/>
    <w:rsid w:val="0093543D"/>
    <w:rsid w:val="009359BF"/>
    <w:rsid w:val="00935E0A"/>
    <w:rsid w:val="0093661F"/>
    <w:rsid w:val="009378C8"/>
    <w:rsid w:val="00937CBE"/>
    <w:rsid w:val="009400E5"/>
    <w:rsid w:val="00940C1C"/>
    <w:rsid w:val="00940EE1"/>
    <w:rsid w:val="00941769"/>
    <w:rsid w:val="00941C90"/>
    <w:rsid w:val="009455D3"/>
    <w:rsid w:val="00945F5D"/>
    <w:rsid w:val="009468E5"/>
    <w:rsid w:val="009469A4"/>
    <w:rsid w:val="00947562"/>
    <w:rsid w:val="00950263"/>
    <w:rsid w:val="009511AA"/>
    <w:rsid w:val="00951BEF"/>
    <w:rsid w:val="009534EC"/>
    <w:rsid w:val="00953B47"/>
    <w:rsid w:val="0095489F"/>
    <w:rsid w:val="00954BDB"/>
    <w:rsid w:val="00956100"/>
    <w:rsid w:val="009574EE"/>
    <w:rsid w:val="00960255"/>
    <w:rsid w:val="009603D6"/>
    <w:rsid w:val="0096164F"/>
    <w:rsid w:val="00963833"/>
    <w:rsid w:val="00965335"/>
    <w:rsid w:val="009656DB"/>
    <w:rsid w:val="00967037"/>
    <w:rsid w:val="009676A6"/>
    <w:rsid w:val="00967E35"/>
    <w:rsid w:val="0097037D"/>
    <w:rsid w:val="0097275F"/>
    <w:rsid w:val="009729AF"/>
    <w:rsid w:val="00973537"/>
    <w:rsid w:val="00973FFD"/>
    <w:rsid w:val="0097408C"/>
    <w:rsid w:val="00975B02"/>
    <w:rsid w:val="0097695C"/>
    <w:rsid w:val="009770BC"/>
    <w:rsid w:val="0097747E"/>
    <w:rsid w:val="00977F0D"/>
    <w:rsid w:val="009808F3"/>
    <w:rsid w:val="00981F90"/>
    <w:rsid w:val="00982C21"/>
    <w:rsid w:val="00983C12"/>
    <w:rsid w:val="00984195"/>
    <w:rsid w:val="009852CA"/>
    <w:rsid w:val="00985C66"/>
    <w:rsid w:val="00986C02"/>
    <w:rsid w:val="0098788D"/>
    <w:rsid w:val="00987E8F"/>
    <w:rsid w:val="009919DB"/>
    <w:rsid w:val="00991B6A"/>
    <w:rsid w:val="009929D5"/>
    <w:rsid w:val="00993038"/>
    <w:rsid w:val="00993FE3"/>
    <w:rsid w:val="009943F1"/>
    <w:rsid w:val="0099578D"/>
    <w:rsid w:val="00997169"/>
    <w:rsid w:val="00997B34"/>
    <w:rsid w:val="009A04EC"/>
    <w:rsid w:val="009A3EA3"/>
    <w:rsid w:val="009A47C6"/>
    <w:rsid w:val="009A59D0"/>
    <w:rsid w:val="009A5E36"/>
    <w:rsid w:val="009A7871"/>
    <w:rsid w:val="009A792A"/>
    <w:rsid w:val="009B0036"/>
    <w:rsid w:val="009B055F"/>
    <w:rsid w:val="009B16E2"/>
    <w:rsid w:val="009B2010"/>
    <w:rsid w:val="009B2AEB"/>
    <w:rsid w:val="009B3596"/>
    <w:rsid w:val="009B3989"/>
    <w:rsid w:val="009B4B9D"/>
    <w:rsid w:val="009B591D"/>
    <w:rsid w:val="009B66C6"/>
    <w:rsid w:val="009C0620"/>
    <w:rsid w:val="009C1694"/>
    <w:rsid w:val="009C26A6"/>
    <w:rsid w:val="009C36DE"/>
    <w:rsid w:val="009C36E0"/>
    <w:rsid w:val="009C5D40"/>
    <w:rsid w:val="009C7805"/>
    <w:rsid w:val="009C7A15"/>
    <w:rsid w:val="009C7B32"/>
    <w:rsid w:val="009C7C04"/>
    <w:rsid w:val="009D03DA"/>
    <w:rsid w:val="009D0674"/>
    <w:rsid w:val="009D3954"/>
    <w:rsid w:val="009D3AA1"/>
    <w:rsid w:val="009D41EF"/>
    <w:rsid w:val="009D4381"/>
    <w:rsid w:val="009D5421"/>
    <w:rsid w:val="009D54CF"/>
    <w:rsid w:val="009D5A20"/>
    <w:rsid w:val="009D7551"/>
    <w:rsid w:val="009E007E"/>
    <w:rsid w:val="009E051C"/>
    <w:rsid w:val="009E0F19"/>
    <w:rsid w:val="009E1C10"/>
    <w:rsid w:val="009E1C40"/>
    <w:rsid w:val="009E258A"/>
    <w:rsid w:val="009E286D"/>
    <w:rsid w:val="009E2E8C"/>
    <w:rsid w:val="009E3502"/>
    <w:rsid w:val="009E3817"/>
    <w:rsid w:val="009E4127"/>
    <w:rsid w:val="009E41CE"/>
    <w:rsid w:val="009E55DA"/>
    <w:rsid w:val="009F0325"/>
    <w:rsid w:val="009F18AA"/>
    <w:rsid w:val="009F1D38"/>
    <w:rsid w:val="009F215D"/>
    <w:rsid w:val="009F2D15"/>
    <w:rsid w:val="009F4FA8"/>
    <w:rsid w:val="009F6389"/>
    <w:rsid w:val="009F6F1B"/>
    <w:rsid w:val="009F78E3"/>
    <w:rsid w:val="009F7B70"/>
    <w:rsid w:val="00A00028"/>
    <w:rsid w:val="00A00E5E"/>
    <w:rsid w:val="00A02382"/>
    <w:rsid w:val="00A0422D"/>
    <w:rsid w:val="00A0685F"/>
    <w:rsid w:val="00A12245"/>
    <w:rsid w:val="00A12DF2"/>
    <w:rsid w:val="00A15604"/>
    <w:rsid w:val="00A168C5"/>
    <w:rsid w:val="00A17306"/>
    <w:rsid w:val="00A1762F"/>
    <w:rsid w:val="00A203FC"/>
    <w:rsid w:val="00A22859"/>
    <w:rsid w:val="00A22D3F"/>
    <w:rsid w:val="00A23C67"/>
    <w:rsid w:val="00A23DC8"/>
    <w:rsid w:val="00A23F9B"/>
    <w:rsid w:val="00A244D1"/>
    <w:rsid w:val="00A247B9"/>
    <w:rsid w:val="00A25604"/>
    <w:rsid w:val="00A31FEA"/>
    <w:rsid w:val="00A32C77"/>
    <w:rsid w:val="00A357D4"/>
    <w:rsid w:val="00A35B9C"/>
    <w:rsid w:val="00A35E21"/>
    <w:rsid w:val="00A35E4F"/>
    <w:rsid w:val="00A373D5"/>
    <w:rsid w:val="00A37827"/>
    <w:rsid w:val="00A37C42"/>
    <w:rsid w:val="00A41532"/>
    <w:rsid w:val="00A42E01"/>
    <w:rsid w:val="00A433D3"/>
    <w:rsid w:val="00A44DA6"/>
    <w:rsid w:val="00A463F6"/>
    <w:rsid w:val="00A47337"/>
    <w:rsid w:val="00A4796F"/>
    <w:rsid w:val="00A52F18"/>
    <w:rsid w:val="00A54148"/>
    <w:rsid w:val="00A54968"/>
    <w:rsid w:val="00A62FBA"/>
    <w:rsid w:val="00A63653"/>
    <w:rsid w:val="00A63ABA"/>
    <w:rsid w:val="00A662B7"/>
    <w:rsid w:val="00A66616"/>
    <w:rsid w:val="00A676FB"/>
    <w:rsid w:val="00A7090A"/>
    <w:rsid w:val="00A70F8E"/>
    <w:rsid w:val="00A7130F"/>
    <w:rsid w:val="00A71757"/>
    <w:rsid w:val="00A7203E"/>
    <w:rsid w:val="00A72606"/>
    <w:rsid w:val="00A7334B"/>
    <w:rsid w:val="00A73CEE"/>
    <w:rsid w:val="00A7584C"/>
    <w:rsid w:val="00A75FA4"/>
    <w:rsid w:val="00A7610D"/>
    <w:rsid w:val="00A76391"/>
    <w:rsid w:val="00A765C0"/>
    <w:rsid w:val="00A76DF1"/>
    <w:rsid w:val="00A77AE7"/>
    <w:rsid w:val="00A77F1D"/>
    <w:rsid w:val="00A812DC"/>
    <w:rsid w:val="00A81AFB"/>
    <w:rsid w:val="00A828DA"/>
    <w:rsid w:val="00A82CF5"/>
    <w:rsid w:val="00A870DF"/>
    <w:rsid w:val="00A905E7"/>
    <w:rsid w:val="00A9221C"/>
    <w:rsid w:val="00A92C36"/>
    <w:rsid w:val="00A93299"/>
    <w:rsid w:val="00A93D4F"/>
    <w:rsid w:val="00A94239"/>
    <w:rsid w:val="00A94984"/>
    <w:rsid w:val="00A95EF8"/>
    <w:rsid w:val="00A96B72"/>
    <w:rsid w:val="00A970D6"/>
    <w:rsid w:val="00A971EA"/>
    <w:rsid w:val="00AA06C8"/>
    <w:rsid w:val="00AA3E3B"/>
    <w:rsid w:val="00AA535D"/>
    <w:rsid w:val="00AA55CB"/>
    <w:rsid w:val="00AA6956"/>
    <w:rsid w:val="00AB0AC4"/>
    <w:rsid w:val="00AB0B52"/>
    <w:rsid w:val="00AB1AD7"/>
    <w:rsid w:val="00AB255C"/>
    <w:rsid w:val="00AB406B"/>
    <w:rsid w:val="00AB5C46"/>
    <w:rsid w:val="00AB5CB9"/>
    <w:rsid w:val="00AB5DAB"/>
    <w:rsid w:val="00AC00F3"/>
    <w:rsid w:val="00AC2872"/>
    <w:rsid w:val="00AC2CDE"/>
    <w:rsid w:val="00AC2E4B"/>
    <w:rsid w:val="00AC3BA1"/>
    <w:rsid w:val="00AC4990"/>
    <w:rsid w:val="00AC4F25"/>
    <w:rsid w:val="00AC5F1D"/>
    <w:rsid w:val="00AC7F8B"/>
    <w:rsid w:val="00AD0040"/>
    <w:rsid w:val="00AD00FC"/>
    <w:rsid w:val="00AD186A"/>
    <w:rsid w:val="00AD277C"/>
    <w:rsid w:val="00AD38E8"/>
    <w:rsid w:val="00AD4184"/>
    <w:rsid w:val="00AD494A"/>
    <w:rsid w:val="00AD49D3"/>
    <w:rsid w:val="00AD4B0D"/>
    <w:rsid w:val="00AD7540"/>
    <w:rsid w:val="00AD7968"/>
    <w:rsid w:val="00AE115F"/>
    <w:rsid w:val="00AE13A6"/>
    <w:rsid w:val="00AE338B"/>
    <w:rsid w:val="00AE36A3"/>
    <w:rsid w:val="00AE5E44"/>
    <w:rsid w:val="00AE62D9"/>
    <w:rsid w:val="00AE64C5"/>
    <w:rsid w:val="00AE72B1"/>
    <w:rsid w:val="00AF100B"/>
    <w:rsid w:val="00AF1D4D"/>
    <w:rsid w:val="00AF2026"/>
    <w:rsid w:val="00AF216A"/>
    <w:rsid w:val="00AF270B"/>
    <w:rsid w:val="00AF33ED"/>
    <w:rsid w:val="00AF470B"/>
    <w:rsid w:val="00AF4D40"/>
    <w:rsid w:val="00AF556E"/>
    <w:rsid w:val="00AF6F47"/>
    <w:rsid w:val="00B00021"/>
    <w:rsid w:val="00B00248"/>
    <w:rsid w:val="00B004BA"/>
    <w:rsid w:val="00B00564"/>
    <w:rsid w:val="00B02D14"/>
    <w:rsid w:val="00B02DAA"/>
    <w:rsid w:val="00B045AF"/>
    <w:rsid w:val="00B04611"/>
    <w:rsid w:val="00B057AD"/>
    <w:rsid w:val="00B065D7"/>
    <w:rsid w:val="00B102F6"/>
    <w:rsid w:val="00B11EB3"/>
    <w:rsid w:val="00B12851"/>
    <w:rsid w:val="00B12E38"/>
    <w:rsid w:val="00B139F2"/>
    <w:rsid w:val="00B147ED"/>
    <w:rsid w:val="00B14D82"/>
    <w:rsid w:val="00B15759"/>
    <w:rsid w:val="00B1646C"/>
    <w:rsid w:val="00B20C06"/>
    <w:rsid w:val="00B243BE"/>
    <w:rsid w:val="00B2596A"/>
    <w:rsid w:val="00B26EB9"/>
    <w:rsid w:val="00B2714A"/>
    <w:rsid w:val="00B27C16"/>
    <w:rsid w:val="00B32467"/>
    <w:rsid w:val="00B33011"/>
    <w:rsid w:val="00B33AA4"/>
    <w:rsid w:val="00B33ABF"/>
    <w:rsid w:val="00B36822"/>
    <w:rsid w:val="00B4033F"/>
    <w:rsid w:val="00B40787"/>
    <w:rsid w:val="00B41E66"/>
    <w:rsid w:val="00B4241A"/>
    <w:rsid w:val="00B4505D"/>
    <w:rsid w:val="00B453BC"/>
    <w:rsid w:val="00B45CEC"/>
    <w:rsid w:val="00B4671E"/>
    <w:rsid w:val="00B4734B"/>
    <w:rsid w:val="00B52625"/>
    <w:rsid w:val="00B56D98"/>
    <w:rsid w:val="00B574C7"/>
    <w:rsid w:val="00B60682"/>
    <w:rsid w:val="00B6207B"/>
    <w:rsid w:val="00B6254B"/>
    <w:rsid w:val="00B626DD"/>
    <w:rsid w:val="00B62A84"/>
    <w:rsid w:val="00B63C33"/>
    <w:rsid w:val="00B70817"/>
    <w:rsid w:val="00B70BF1"/>
    <w:rsid w:val="00B7156D"/>
    <w:rsid w:val="00B71BB4"/>
    <w:rsid w:val="00B72232"/>
    <w:rsid w:val="00B72976"/>
    <w:rsid w:val="00B72BAF"/>
    <w:rsid w:val="00B744D4"/>
    <w:rsid w:val="00B745B5"/>
    <w:rsid w:val="00B753DB"/>
    <w:rsid w:val="00B75CD4"/>
    <w:rsid w:val="00B76500"/>
    <w:rsid w:val="00B77578"/>
    <w:rsid w:val="00B778CD"/>
    <w:rsid w:val="00B80E3F"/>
    <w:rsid w:val="00B827D5"/>
    <w:rsid w:val="00B82998"/>
    <w:rsid w:val="00B83E60"/>
    <w:rsid w:val="00B86026"/>
    <w:rsid w:val="00B879A3"/>
    <w:rsid w:val="00B915B6"/>
    <w:rsid w:val="00B9335A"/>
    <w:rsid w:val="00B9406E"/>
    <w:rsid w:val="00B94831"/>
    <w:rsid w:val="00B94B42"/>
    <w:rsid w:val="00B94ED3"/>
    <w:rsid w:val="00B971F9"/>
    <w:rsid w:val="00B97440"/>
    <w:rsid w:val="00B974DB"/>
    <w:rsid w:val="00BA2EEF"/>
    <w:rsid w:val="00BA2EFD"/>
    <w:rsid w:val="00BA618E"/>
    <w:rsid w:val="00BA6D2A"/>
    <w:rsid w:val="00BA79E8"/>
    <w:rsid w:val="00BA7C80"/>
    <w:rsid w:val="00BB25CB"/>
    <w:rsid w:val="00BB300B"/>
    <w:rsid w:val="00BB350A"/>
    <w:rsid w:val="00BB3A54"/>
    <w:rsid w:val="00BB3A65"/>
    <w:rsid w:val="00BB66D9"/>
    <w:rsid w:val="00BB697A"/>
    <w:rsid w:val="00BB6B79"/>
    <w:rsid w:val="00BB7292"/>
    <w:rsid w:val="00BC07C3"/>
    <w:rsid w:val="00BC126B"/>
    <w:rsid w:val="00BC17FD"/>
    <w:rsid w:val="00BC3AAD"/>
    <w:rsid w:val="00BC4152"/>
    <w:rsid w:val="00BC62AE"/>
    <w:rsid w:val="00BC6974"/>
    <w:rsid w:val="00BD1D5D"/>
    <w:rsid w:val="00BD3694"/>
    <w:rsid w:val="00BD4214"/>
    <w:rsid w:val="00BD66D0"/>
    <w:rsid w:val="00BD6F58"/>
    <w:rsid w:val="00BD702A"/>
    <w:rsid w:val="00BD7A46"/>
    <w:rsid w:val="00BE0A71"/>
    <w:rsid w:val="00BE3E45"/>
    <w:rsid w:val="00BE3EC0"/>
    <w:rsid w:val="00BE4362"/>
    <w:rsid w:val="00BE5FD4"/>
    <w:rsid w:val="00BE7F85"/>
    <w:rsid w:val="00BF0A05"/>
    <w:rsid w:val="00BF0E49"/>
    <w:rsid w:val="00BF0EAF"/>
    <w:rsid w:val="00BF3660"/>
    <w:rsid w:val="00BF4CFE"/>
    <w:rsid w:val="00BF6BA3"/>
    <w:rsid w:val="00BF6F58"/>
    <w:rsid w:val="00C00091"/>
    <w:rsid w:val="00C00627"/>
    <w:rsid w:val="00C00C6B"/>
    <w:rsid w:val="00C016CE"/>
    <w:rsid w:val="00C02790"/>
    <w:rsid w:val="00C029AD"/>
    <w:rsid w:val="00C03332"/>
    <w:rsid w:val="00C03DCB"/>
    <w:rsid w:val="00C04C6D"/>
    <w:rsid w:val="00C05A0E"/>
    <w:rsid w:val="00C05DD2"/>
    <w:rsid w:val="00C062F5"/>
    <w:rsid w:val="00C064CE"/>
    <w:rsid w:val="00C068D8"/>
    <w:rsid w:val="00C06E70"/>
    <w:rsid w:val="00C10923"/>
    <w:rsid w:val="00C1104D"/>
    <w:rsid w:val="00C1243A"/>
    <w:rsid w:val="00C12457"/>
    <w:rsid w:val="00C13368"/>
    <w:rsid w:val="00C13905"/>
    <w:rsid w:val="00C1634F"/>
    <w:rsid w:val="00C1710D"/>
    <w:rsid w:val="00C17853"/>
    <w:rsid w:val="00C17D1D"/>
    <w:rsid w:val="00C20404"/>
    <w:rsid w:val="00C234DD"/>
    <w:rsid w:val="00C23779"/>
    <w:rsid w:val="00C23EF5"/>
    <w:rsid w:val="00C24DED"/>
    <w:rsid w:val="00C25806"/>
    <w:rsid w:val="00C26C20"/>
    <w:rsid w:val="00C27A78"/>
    <w:rsid w:val="00C305D2"/>
    <w:rsid w:val="00C312F2"/>
    <w:rsid w:val="00C31390"/>
    <w:rsid w:val="00C31B41"/>
    <w:rsid w:val="00C361CA"/>
    <w:rsid w:val="00C36C69"/>
    <w:rsid w:val="00C40404"/>
    <w:rsid w:val="00C42B83"/>
    <w:rsid w:val="00C44CD6"/>
    <w:rsid w:val="00C46990"/>
    <w:rsid w:val="00C479A9"/>
    <w:rsid w:val="00C51412"/>
    <w:rsid w:val="00C517D6"/>
    <w:rsid w:val="00C51A08"/>
    <w:rsid w:val="00C51E85"/>
    <w:rsid w:val="00C51EB8"/>
    <w:rsid w:val="00C52368"/>
    <w:rsid w:val="00C52796"/>
    <w:rsid w:val="00C52F6C"/>
    <w:rsid w:val="00C533C6"/>
    <w:rsid w:val="00C53C40"/>
    <w:rsid w:val="00C57415"/>
    <w:rsid w:val="00C578E8"/>
    <w:rsid w:val="00C62877"/>
    <w:rsid w:val="00C62ECA"/>
    <w:rsid w:val="00C63280"/>
    <w:rsid w:val="00C6463C"/>
    <w:rsid w:val="00C64C26"/>
    <w:rsid w:val="00C670C5"/>
    <w:rsid w:val="00C673D6"/>
    <w:rsid w:val="00C70927"/>
    <w:rsid w:val="00C71288"/>
    <w:rsid w:val="00C7161A"/>
    <w:rsid w:val="00C7213E"/>
    <w:rsid w:val="00C72792"/>
    <w:rsid w:val="00C72E11"/>
    <w:rsid w:val="00C737DB"/>
    <w:rsid w:val="00C73C70"/>
    <w:rsid w:val="00C75C81"/>
    <w:rsid w:val="00C75D67"/>
    <w:rsid w:val="00C75FD8"/>
    <w:rsid w:val="00C7601C"/>
    <w:rsid w:val="00C77CCE"/>
    <w:rsid w:val="00C77F16"/>
    <w:rsid w:val="00C81C4C"/>
    <w:rsid w:val="00C82897"/>
    <w:rsid w:val="00C82A1C"/>
    <w:rsid w:val="00C83789"/>
    <w:rsid w:val="00C842D5"/>
    <w:rsid w:val="00C8434A"/>
    <w:rsid w:val="00C84871"/>
    <w:rsid w:val="00C857A6"/>
    <w:rsid w:val="00C85895"/>
    <w:rsid w:val="00C869E0"/>
    <w:rsid w:val="00C878BB"/>
    <w:rsid w:val="00C91055"/>
    <w:rsid w:val="00C91444"/>
    <w:rsid w:val="00C93475"/>
    <w:rsid w:val="00C93658"/>
    <w:rsid w:val="00C94D2F"/>
    <w:rsid w:val="00C94EC5"/>
    <w:rsid w:val="00C9542C"/>
    <w:rsid w:val="00C956BA"/>
    <w:rsid w:val="00C97048"/>
    <w:rsid w:val="00C97CB5"/>
    <w:rsid w:val="00CA180E"/>
    <w:rsid w:val="00CA478A"/>
    <w:rsid w:val="00CA4884"/>
    <w:rsid w:val="00CA6725"/>
    <w:rsid w:val="00CA7EC9"/>
    <w:rsid w:val="00CB08B4"/>
    <w:rsid w:val="00CB31DC"/>
    <w:rsid w:val="00CB417F"/>
    <w:rsid w:val="00CB51F2"/>
    <w:rsid w:val="00CB5365"/>
    <w:rsid w:val="00CB6FDA"/>
    <w:rsid w:val="00CC002A"/>
    <w:rsid w:val="00CC0A66"/>
    <w:rsid w:val="00CC15B7"/>
    <w:rsid w:val="00CC1D2C"/>
    <w:rsid w:val="00CC2F9C"/>
    <w:rsid w:val="00CC5DA7"/>
    <w:rsid w:val="00CC7064"/>
    <w:rsid w:val="00CC7696"/>
    <w:rsid w:val="00CD131C"/>
    <w:rsid w:val="00CD21C8"/>
    <w:rsid w:val="00CD2BD7"/>
    <w:rsid w:val="00CD44FE"/>
    <w:rsid w:val="00CD4637"/>
    <w:rsid w:val="00CD4DDE"/>
    <w:rsid w:val="00CD529C"/>
    <w:rsid w:val="00CD550F"/>
    <w:rsid w:val="00CD5CB8"/>
    <w:rsid w:val="00CD5FB7"/>
    <w:rsid w:val="00CD60EF"/>
    <w:rsid w:val="00CD79C6"/>
    <w:rsid w:val="00CD7A53"/>
    <w:rsid w:val="00CD7D9F"/>
    <w:rsid w:val="00CE1D20"/>
    <w:rsid w:val="00CE20A5"/>
    <w:rsid w:val="00CE2362"/>
    <w:rsid w:val="00CE269E"/>
    <w:rsid w:val="00CE27B5"/>
    <w:rsid w:val="00CE2C33"/>
    <w:rsid w:val="00CE3F2F"/>
    <w:rsid w:val="00CF0138"/>
    <w:rsid w:val="00CF0524"/>
    <w:rsid w:val="00CF171C"/>
    <w:rsid w:val="00CF1A3D"/>
    <w:rsid w:val="00CF3D3B"/>
    <w:rsid w:val="00CF4882"/>
    <w:rsid w:val="00CF502A"/>
    <w:rsid w:val="00CF5C21"/>
    <w:rsid w:val="00CF5DDA"/>
    <w:rsid w:val="00CF7B40"/>
    <w:rsid w:val="00CF7BF9"/>
    <w:rsid w:val="00CF7F8A"/>
    <w:rsid w:val="00D009BD"/>
    <w:rsid w:val="00D00BB1"/>
    <w:rsid w:val="00D00FF7"/>
    <w:rsid w:val="00D01897"/>
    <w:rsid w:val="00D01CD1"/>
    <w:rsid w:val="00D03615"/>
    <w:rsid w:val="00D04078"/>
    <w:rsid w:val="00D04425"/>
    <w:rsid w:val="00D0509D"/>
    <w:rsid w:val="00D110AF"/>
    <w:rsid w:val="00D1155E"/>
    <w:rsid w:val="00D16252"/>
    <w:rsid w:val="00D171D3"/>
    <w:rsid w:val="00D210E8"/>
    <w:rsid w:val="00D22A5A"/>
    <w:rsid w:val="00D24BFD"/>
    <w:rsid w:val="00D24E80"/>
    <w:rsid w:val="00D251BB"/>
    <w:rsid w:val="00D2563F"/>
    <w:rsid w:val="00D2578C"/>
    <w:rsid w:val="00D25A1A"/>
    <w:rsid w:val="00D2775B"/>
    <w:rsid w:val="00D279B5"/>
    <w:rsid w:val="00D306B4"/>
    <w:rsid w:val="00D30CA3"/>
    <w:rsid w:val="00D31BAE"/>
    <w:rsid w:val="00D32DFF"/>
    <w:rsid w:val="00D335D8"/>
    <w:rsid w:val="00D33BB6"/>
    <w:rsid w:val="00D33C00"/>
    <w:rsid w:val="00D34B1B"/>
    <w:rsid w:val="00D34E45"/>
    <w:rsid w:val="00D34F7E"/>
    <w:rsid w:val="00D35DF8"/>
    <w:rsid w:val="00D3606C"/>
    <w:rsid w:val="00D372A7"/>
    <w:rsid w:val="00D37730"/>
    <w:rsid w:val="00D379A5"/>
    <w:rsid w:val="00D40C49"/>
    <w:rsid w:val="00D40EC8"/>
    <w:rsid w:val="00D42487"/>
    <w:rsid w:val="00D42842"/>
    <w:rsid w:val="00D433C4"/>
    <w:rsid w:val="00D438FE"/>
    <w:rsid w:val="00D46B83"/>
    <w:rsid w:val="00D50462"/>
    <w:rsid w:val="00D50C41"/>
    <w:rsid w:val="00D50E3B"/>
    <w:rsid w:val="00D51C1D"/>
    <w:rsid w:val="00D529B7"/>
    <w:rsid w:val="00D52F4C"/>
    <w:rsid w:val="00D549A4"/>
    <w:rsid w:val="00D56236"/>
    <w:rsid w:val="00D56924"/>
    <w:rsid w:val="00D56C3E"/>
    <w:rsid w:val="00D57B97"/>
    <w:rsid w:val="00D60AB6"/>
    <w:rsid w:val="00D61283"/>
    <w:rsid w:val="00D65D71"/>
    <w:rsid w:val="00D665C7"/>
    <w:rsid w:val="00D668CF"/>
    <w:rsid w:val="00D66D2B"/>
    <w:rsid w:val="00D67524"/>
    <w:rsid w:val="00D67CD1"/>
    <w:rsid w:val="00D70F1E"/>
    <w:rsid w:val="00D717E6"/>
    <w:rsid w:val="00D7233E"/>
    <w:rsid w:val="00D72ABA"/>
    <w:rsid w:val="00D72CFA"/>
    <w:rsid w:val="00D7381F"/>
    <w:rsid w:val="00D73963"/>
    <w:rsid w:val="00D73B08"/>
    <w:rsid w:val="00D73ED5"/>
    <w:rsid w:val="00D75E76"/>
    <w:rsid w:val="00D76F2A"/>
    <w:rsid w:val="00D8057A"/>
    <w:rsid w:val="00D8211C"/>
    <w:rsid w:val="00D824D6"/>
    <w:rsid w:val="00D82689"/>
    <w:rsid w:val="00D8432E"/>
    <w:rsid w:val="00D84638"/>
    <w:rsid w:val="00D848D0"/>
    <w:rsid w:val="00D85CA3"/>
    <w:rsid w:val="00D85E81"/>
    <w:rsid w:val="00D87BE1"/>
    <w:rsid w:val="00D9544D"/>
    <w:rsid w:val="00D95456"/>
    <w:rsid w:val="00D957ED"/>
    <w:rsid w:val="00D95916"/>
    <w:rsid w:val="00D97807"/>
    <w:rsid w:val="00D97F5B"/>
    <w:rsid w:val="00DA0B99"/>
    <w:rsid w:val="00DA0CCE"/>
    <w:rsid w:val="00DA1309"/>
    <w:rsid w:val="00DA274A"/>
    <w:rsid w:val="00DA2A0E"/>
    <w:rsid w:val="00DA4A8A"/>
    <w:rsid w:val="00DA574C"/>
    <w:rsid w:val="00DA5DC8"/>
    <w:rsid w:val="00DA6AA5"/>
    <w:rsid w:val="00DA7AE5"/>
    <w:rsid w:val="00DB0F56"/>
    <w:rsid w:val="00DB158B"/>
    <w:rsid w:val="00DB48C4"/>
    <w:rsid w:val="00DB4B0E"/>
    <w:rsid w:val="00DB5A2D"/>
    <w:rsid w:val="00DC0450"/>
    <w:rsid w:val="00DC0856"/>
    <w:rsid w:val="00DC4BE7"/>
    <w:rsid w:val="00DC576A"/>
    <w:rsid w:val="00DC5971"/>
    <w:rsid w:val="00DC5D85"/>
    <w:rsid w:val="00DC5EFB"/>
    <w:rsid w:val="00DC63AC"/>
    <w:rsid w:val="00DC6EC0"/>
    <w:rsid w:val="00DD0452"/>
    <w:rsid w:val="00DD08A1"/>
    <w:rsid w:val="00DD2F02"/>
    <w:rsid w:val="00DD3684"/>
    <w:rsid w:val="00DD510F"/>
    <w:rsid w:val="00DD5273"/>
    <w:rsid w:val="00DD5F49"/>
    <w:rsid w:val="00DD6846"/>
    <w:rsid w:val="00DD7D0E"/>
    <w:rsid w:val="00DE247E"/>
    <w:rsid w:val="00DE2CC4"/>
    <w:rsid w:val="00DE44FB"/>
    <w:rsid w:val="00DE45A9"/>
    <w:rsid w:val="00DE6218"/>
    <w:rsid w:val="00DE6711"/>
    <w:rsid w:val="00DE6E47"/>
    <w:rsid w:val="00DE7BD4"/>
    <w:rsid w:val="00DF0683"/>
    <w:rsid w:val="00DF16B1"/>
    <w:rsid w:val="00DF1E1C"/>
    <w:rsid w:val="00DF1EF0"/>
    <w:rsid w:val="00DF3385"/>
    <w:rsid w:val="00DF37D4"/>
    <w:rsid w:val="00DF468E"/>
    <w:rsid w:val="00DF57BA"/>
    <w:rsid w:val="00DF5BDE"/>
    <w:rsid w:val="00DF68A5"/>
    <w:rsid w:val="00DF768B"/>
    <w:rsid w:val="00E00F25"/>
    <w:rsid w:val="00E0184B"/>
    <w:rsid w:val="00E023B3"/>
    <w:rsid w:val="00E03626"/>
    <w:rsid w:val="00E03813"/>
    <w:rsid w:val="00E03A34"/>
    <w:rsid w:val="00E05F81"/>
    <w:rsid w:val="00E07111"/>
    <w:rsid w:val="00E07225"/>
    <w:rsid w:val="00E07329"/>
    <w:rsid w:val="00E07A61"/>
    <w:rsid w:val="00E07EC8"/>
    <w:rsid w:val="00E10B66"/>
    <w:rsid w:val="00E11BDF"/>
    <w:rsid w:val="00E1423C"/>
    <w:rsid w:val="00E14B62"/>
    <w:rsid w:val="00E16C3E"/>
    <w:rsid w:val="00E2345A"/>
    <w:rsid w:val="00E2428D"/>
    <w:rsid w:val="00E262FC"/>
    <w:rsid w:val="00E26C67"/>
    <w:rsid w:val="00E30719"/>
    <w:rsid w:val="00E30B3D"/>
    <w:rsid w:val="00E31C0C"/>
    <w:rsid w:val="00E3441E"/>
    <w:rsid w:val="00E344B8"/>
    <w:rsid w:val="00E351D9"/>
    <w:rsid w:val="00E371C9"/>
    <w:rsid w:val="00E376F8"/>
    <w:rsid w:val="00E37A65"/>
    <w:rsid w:val="00E37C53"/>
    <w:rsid w:val="00E40645"/>
    <w:rsid w:val="00E408EC"/>
    <w:rsid w:val="00E410FD"/>
    <w:rsid w:val="00E41577"/>
    <w:rsid w:val="00E42840"/>
    <w:rsid w:val="00E442DA"/>
    <w:rsid w:val="00E4588A"/>
    <w:rsid w:val="00E46DE1"/>
    <w:rsid w:val="00E473D4"/>
    <w:rsid w:val="00E50030"/>
    <w:rsid w:val="00E50555"/>
    <w:rsid w:val="00E51957"/>
    <w:rsid w:val="00E521E3"/>
    <w:rsid w:val="00E537C7"/>
    <w:rsid w:val="00E54B4F"/>
    <w:rsid w:val="00E565A4"/>
    <w:rsid w:val="00E56B32"/>
    <w:rsid w:val="00E578B9"/>
    <w:rsid w:val="00E6023C"/>
    <w:rsid w:val="00E63BBA"/>
    <w:rsid w:val="00E650B9"/>
    <w:rsid w:val="00E6721C"/>
    <w:rsid w:val="00E67B5E"/>
    <w:rsid w:val="00E67BA0"/>
    <w:rsid w:val="00E7091A"/>
    <w:rsid w:val="00E71DB0"/>
    <w:rsid w:val="00E72127"/>
    <w:rsid w:val="00E735D3"/>
    <w:rsid w:val="00E74F37"/>
    <w:rsid w:val="00E76634"/>
    <w:rsid w:val="00E80EA6"/>
    <w:rsid w:val="00E81A8B"/>
    <w:rsid w:val="00E82454"/>
    <w:rsid w:val="00E830B6"/>
    <w:rsid w:val="00E8310D"/>
    <w:rsid w:val="00E83EB7"/>
    <w:rsid w:val="00E85F85"/>
    <w:rsid w:val="00E86F7B"/>
    <w:rsid w:val="00E873A4"/>
    <w:rsid w:val="00E87B6A"/>
    <w:rsid w:val="00E91BA1"/>
    <w:rsid w:val="00E94A75"/>
    <w:rsid w:val="00E95107"/>
    <w:rsid w:val="00E95989"/>
    <w:rsid w:val="00E96F7A"/>
    <w:rsid w:val="00EA0254"/>
    <w:rsid w:val="00EA0D9F"/>
    <w:rsid w:val="00EA16D9"/>
    <w:rsid w:val="00EA1B38"/>
    <w:rsid w:val="00EA1C8C"/>
    <w:rsid w:val="00EA3445"/>
    <w:rsid w:val="00EA4241"/>
    <w:rsid w:val="00EA6CFF"/>
    <w:rsid w:val="00EB091F"/>
    <w:rsid w:val="00EB0F87"/>
    <w:rsid w:val="00EB2584"/>
    <w:rsid w:val="00EB2BF9"/>
    <w:rsid w:val="00EB5230"/>
    <w:rsid w:val="00EB55F6"/>
    <w:rsid w:val="00EB5747"/>
    <w:rsid w:val="00EB5BC7"/>
    <w:rsid w:val="00EB5BE5"/>
    <w:rsid w:val="00EB687C"/>
    <w:rsid w:val="00EB78B2"/>
    <w:rsid w:val="00EC06A7"/>
    <w:rsid w:val="00EC199D"/>
    <w:rsid w:val="00EC1B26"/>
    <w:rsid w:val="00EC2819"/>
    <w:rsid w:val="00EC29B0"/>
    <w:rsid w:val="00EC3916"/>
    <w:rsid w:val="00EC6433"/>
    <w:rsid w:val="00EC700D"/>
    <w:rsid w:val="00ED1DDD"/>
    <w:rsid w:val="00ED26D3"/>
    <w:rsid w:val="00ED3EC6"/>
    <w:rsid w:val="00ED5016"/>
    <w:rsid w:val="00ED5F3C"/>
    <w:rsid w:val="00ED6D6F"/>
    <w:rsid w:val="00ED7A85"/>
    <w:rsid w:val="00EE037A"/>
    <w:rsid w:val="00EE0DB2"/>
    <w:rsid w:val="00EE10BB"/>
    <w:rsid w:val="00EE16B6"/>
    <w:rsid w:val="00EE31B7"/>
    <w:rsid w:val="00EE3435"/>
    <w:rsid w:val="00EE3450"/>
    <w:rsid w:val="00EE5001"/>
    <w:rsid w:val="00EE5573"/>
    <w:rsid w:val="00EE753D"/>
    <w:rsid w:val="00EF12A8"/>
    <w:rsid w:val="00EF2569"/>
    <w:rsid w:val="00EF3A93"/>
    <w:rsid w:val="00EF41D5"/>
    <w:rsid w:val="00EF420E"/>
    <w:rsid w:val="00EF6BA4"/>
    <w:rsid w:val="00EF7930"/>
    <w:rsid w:val="00EF7996"/>
    <w:rsid w:val="00F00C0C"/>
    <w:rsid w:val="00F01203"/>
    <w:rsid w:val="00F02594"/>
    <w:rsid w:val="00F0336F"/>
    <w:rsid w:val="00F03843"/>
    <w:rsid w:val="00F053DC"/>
    <w:rsid w:val="00F05599"/>
    <w:rsid w:val="00F05A17"/>
    <w:rsid w:val="00F06EB5"/>
    <w:rsid w:val="00F07FE7"/>
    <w:rsid w:val="00F13592"/>
    <w:rsid w:val="00F13F4A"/>
    <w:rsid w:val="00F141D5"/>
    <w:rsid w:val="00F1487A"/>
    <w:rsid w:val="00F155AC"/>
    <w:rsid w:val="00F16833"/>
    <w:rsid w:val="00F16A34"/>
    <w:rsid w:val="00F17CED"/>
    <w:rsid w:val="00F202F7"/>
    <w:rsid w:val="00F22844"/>
    <w:rsid w:val="00F22EB3"/>
    <w:rsid w:val="00F252A6"/>
    <w:rsid w:val="00F25848"/>
    <w:rsid w:val="00F2619C"/>
    <w:rsid w:val="00F26383"/>
    <w:rsid w:val="00F3221A"/>
    <w:rsid w:val="00F325C2"/>
    <w:rsid w:val="00F32DFC"/>
    <w:rsid w:val="00F34668"/>
    <w:rsid w:val="00F34DAA"/>
    <w:rsid w:val="00F35D06"/>
    <w:rsid w:val="00F37F62"/>
    <w:rsid w:val="00F423F2"/>
    <w:rsid w:val="00F42F98"/>
    <w:rsid w:val="00F4316A"/>
    <w:rsid w:val="00F4495B"/>
    <w:rsid w:val="00F4512C"/>
    <w:rsid w:val="00F45FB5"/>
    <w:rsid w:val="00F46314"/>
    <w:rsid w:val="00F47407"/>
    <w:rsid w:val="00F47AE3"/>
    <w:rsid w:val="00F52380"/>
    <w:rsid w:val="00F52620"/>
    <w:rsid w:val="00F53A9A"/>
    <w:rsid w:val="00F547B9"/>
    <w:rsid w:val="00F55F82"/>
    <w:rsid w:val="00F56678"/>
    <w:rsid w:val="00F56ACD"/>
    <w:rsid w:val="00F57856"/>
    <w:rsid w:val="00F57DB7"/>
    <w:rsid w:val="00F62880"/>
    <w:rsid w:val="00F632AA"/>
    <w:rsid w:val="00F64595"/>
    <w:rsid w:val="00F64FEF"/>
    <w:rsid w:val="00F67175"/>
    <w:rsid w:val="00F67486"/>
    <w:rsid w:val="00F67B2C"/>
    <w:rsid w:val="00F70B39"/>
    <w:rsid w:val="00F71436"/>
    <w:rsid w:val="00F7180F"/>
    <w:rsid w:val="00F71DF9"/>
    <w:rsid w:val="00F7380B"/>
    <w:rsid w:val="00F73AD2"/>
    <w:rsid w:val="00F7406C"/>
    <w:rsid w:val="00F7463D"/>
    <w:rsid w:val="00F749C0"/>
    <w:rsid w:val="00F75292"/>
    <w:rsid w:val="00F75F60"/>
    <w:rsid w:val="00F76BFB"/>
    <w:rsid w:val="00F81399"/>
    <w:rsid w:val="00F8257F"/>
    <w:rsid w:val="00F829C8"/>
    <w:rsid w:val="00F83AFD"/>
    <w:rsid w:val="00F846DE"/>
    <w:rsid w:val="00F84F35"/>
    <w:rsid w:val="00F85752"/>
    <w:rsid w:val="00F85D78"/>
    <w:rsid w:val="00F86627"/>
    <w:rsid w:val="00F87015"/>
    <w:rsid w:val="00F87D11"/>
    <w:rsid w:val="00F87D5C"/>
    <w:rsid w:val="00F90AD1"/>
    <w:rsid w:val="00F9143D"/>
    <w:rsid w:val="00F92680"/>
    <w:rsid w:val="00F94DFE"/>
    <w:rsid w:val="00F97981"/>
    <w:rsid w:val="00FA010E"/>
    <w:rsid w:val="00FA01D6"/>
    <w:rsid w:val="00FA1BD6"/>
    <w:rsid w:val="00FA1C1B"/>
    <w:rsid w:val="00FA3518"/>
    <w:rsid w:val="00FA4FDB"/>
    <w:rsid w:val="00FA5F62"/>
    <w:rsid w:val="00FA61AD"/>
    <w:rsid w:val="00FA6490"/>
    <w:rsid w:val="00FA6E8E"/>
    <w:rsid w:val="00FA78BA"/>
    <w:rsid w:val="00FB101F"/>
    <w:rsid w:val="00FB2607"/>
    <w:rsid w:val="00FB377C"/>
    <w:rsid w:val="00FB3834"/>
    <w:rsid w:val="00FB4C27"/>
    <w:rsid w:val="00FB4D85"/>
    <w:rsid w:val="00FB6538"/>
    <w:rsid w:val="00FB73A8"/>
    <w:rsid w:val="00FC0361"/>
    <w:rsid w:val="00FC04BE"/>
    <w:rsid w:val="00FC2580"/>
    <w:rsid w:val="00FC2703"/>
    <w:rsid w:val="00FC2B43"/>
    <w:rsid w:val="00FC43F8"/>
    <w:rsid w:val="00FC4512"/>
    <w:rsid w:val="00FC4713"/>
    <w:rsid w:val="00FC5CBC"/>
    <w:rsid w:val="00FC684C"/>
    <w:rsid w:val="00FC7759"/>
    <w:rsid w:val="00FD1DBE"/>
    <w:rsid w:val="00FD2123"/>
    <w:rsid w:val="00FD4466"/>
    <w:rsid w:val="00FD5005"/>
    <w:rsid w:val="00FD57C5"/>
    <w:rsid w:val="00FD644E"/>
    <w:rsid w:val="00FD6D7D"/>
    <w:rsid w:val="00FE0BB1"/>
    <w:rsid w:val="00FE1E60"/>
    <w:rsid w:val="00FE2AC2"/>
    <w:rsid w:val="00FE3F6C"/>
    <w:rsid w:val="00FE4A75"/>
    <w:rsid w:val="00FE6451"/>
    <w:rsid w:val="00FE79E6"/>
    <w:rsid w:val="00FF04A0"/>
    <w:rsid w:val="00FF44BD"/>
    <w:rsid w:val="00FF47B3"/>
    <w:rsid w:val="00FF482C"/>
    <w:rsid w:val="00FF6308"/>
    <w:rsid w:val="00FF6A27"/>
    <w:rsid w:val="00FF7E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uiPriority w:val="9"/>
    <w:qFormat/>
    <w:rsid w:val="00D82689"/>
    <w:pPr>
      <w:keepNext/>
      <w:keepLines/>
      <w:spacing w:before="480" w:after="0"/>
      <w:outlineLvl w:val="0"/>
    </w:pPr>
    <w:rPr>
      <w:rFonts w:ascii="Cambria" w:eastAsia="MS Gothic" w:hAnsi="Cambria"/>
      <w:b/>
      <w:bCs/>
      <w:color w:val="365F91"/>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5A1B3D"/>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5A1B3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5A1B3D"/>
    <w:rPr>
      <w:vertAlign w:val="superscript"/>
    </w:rPr>
  </w:style>
  <w:style w:type="character" w:styleId="Hipervnculo">
    <w:name w:val="Hyperlink"/>
    <w:uiPriority w:val="99"/>
    <w:unhideWhenUsed/>
    <w:rsid w:val="00D665C7"/>
    <w:rPr>
      <w:color w:val="0000FF"/>
      <w:u w:val="single"/>
    </w:rPr>
  </w:style>
  <w:style w:type="paragraph" w:styleId="Sombreadovistoso-nfasis3">
    <w:name w:val="Colorful Shading Accent 3"/>
    <w:aliases w:val="Footnote,Párrafo de lista1,Colorful List - Accent 11,List Paragraph1"/>
    <w:basedOn w:val="Normal"/>
    <w:link w:val="Sombreadovistoso-nfasis3Car"/>
    <w:uiPriority w:val="34"/>
    <w:qFormat/>
    <w:rsid w:val="00D665C7"/>
    <w:pPr>
      <w:ind w:left="720"/>
      <w:contextualSpacing/>
    </w:pPr>
  </w:style>
  <w:style w:type="character" w:customStyle="1" w:styleId="Sombreadovistoso-nfasis3Car">
    <w:name w:val="Sombreado vistoso - Énfasis 3 Car"/>
    <w:aliases w:val="Footnote Car,Párrafo de lista1 Car,Colorful List - Accent 11 Car,List Paragraph1 Car"/>
    <w:link w:val="Sombreadovistoso-nfasis3"/>
    <w:uiPriority w:val="34"/>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styleId="Listaoscura-nfasis3">
    <w:name w:val="Dark List Accent 3"/>
    <w:hidden/>
    <w:uiPriority w:val="99"/>
    <w:semiHidden/>
    <w:rsid w:val="00790114"/>
    <w:rPr>
      <w:sz w:val="22"/>
      <w:szCs w:val="22"/>
      <w:lang w:val="en-US" w:eastAsia="en-US"/>
    </w:rPr>
  </w:style>
  <w:style w:type="paragraph" w:styleId="TDC1">
    <w:name w:val="toc 1"/>
    <w:basedOn w:val="Normal"/>
    <w:next w:val="Normal"/>
    <w:autoRedefine/>
    <w:uiPriority w:val="39"/>
    <w:unhideWhenUsed/>
    <w:qFormat/>
    <w:rsid w:val="005F447F"/>
    <w:pPr>
      <w:tabs>
        <w:tab w:val="left" w:pos="709"/>
        <w:tab w:val="left" w:pos="8505"/>
      </w:tabs>
      <w:spacing w:after="100" w:line="240" w:lineRule="auto"/>
      <w:ind w:left="720" w:right="994" w:hanging="432"/>
      <w:jc w:val="both"/>
    </w:pPr>
  </w:style>
  <w:style w:type="character" w:customStyle="1" w:styleId="Ttulo1Car">
    <w:name w:val="Título 1 Car"/>
    <w:link w:val="Ttulo1"/>
    <w:uiPriority w:val="9"/>
    <w:rsid w:val="00D82689"/>
    <w:rPr>
      <w:rFonts w:ascii="Cambria" w:eastAsia="MS Gothic" w:hAnsi="Cambria" w:cs="Times New Roman"/>
      <w:b/>
      <w:bCs/>
      <w:color w:val="365F91"/>
      <w:sz w:val="28"/>
      <w:szCs w:val="28"/>
    </w:rPr>
  </w:style>
  <w:style w:type="paragraph" w:customStyle="1" w:styleId="TOCHeading1">
    <w:name w:val="TOC Heading1"/>
    <w:basedOn w:val="Ttulo1"/>
    <w:next w:val="Normal"/>
    <w:uiPriority w:val="39"/>
    <w:semiHidden/>
    <w:unhideWhenUsed/>
    <w:qFormat/>
    <w:rsid w:val="00D82689"/>
    <w:pPr>
      <w:outlineLvl w:val="9"/>
    </w:pPr>
    <w:rPr>
      <w:lang w:val="es-CR" w:eastAsia="es-CR"/>
    </w:rPr>
  </w:style>
  <w:style w:type="paragraph" w:styleId="TDC2">
    <w:name w:val="toc 2"/>
    <w:basedOn w:val="Normal"/>
    <w:next w:val="Normal"/>
    <w:autoRedefine/>
    <w:uiPriority w:val="39"/>
    <w:semiHidden/>
    <w:unhideWhenUsed/>
    <w:qFormat/>
    <w:rsid w:val="00D82689"/>
    <w:pPr>
      <w:spacing w:after="100"/>
      <w:ind w:left="220"/>
    </w:pPr>
    <w:rPr>
      <w:rFonts w:eastAsia="MS Mincho"/>
      <w:lang w:val="es-CR" w:eastAsia="es-CR"/>
    </w:rPr>
  </w:style>
  <w:style w:type="paragraph" w:styleId="TDC3">
    <w:name w:val="toc 3"/>
    <w:basedOn w:val="Normal"/>
    <w:next w:val="Normal"/>
    <w:autoRedefine/>
    <w:uiPriority w:val="39"/>
    <w:semiHidden/>
    <w:unhideWhenUsed/>
    <w:qFormat/>
    <w:rsid w:val="00D82689"/>
    <w:pPr>
      <w:spacing w:after="100"/>
      <w:ind w:left="440"/>
    </w:pPr>
    <w:rPr>
      <w:rFonts w:eastAsia="MS Mincho"/>
      <w:lang w:val="es-CR" w:eastAsia="es-CR"/>
    </w:rPr>
  </w:style>
  <w:style w:type="paragraph" w:styleId="Textonotaalfinal">
    <w:name w:val="endnote text"/>
    <w:basedOn w:val="Normal"/>
    <w:link w:val="TextonotaalfinalCar"/>
    <w:semiHidden/>
    <w:unhideWhenUsed/>
    <w:rsid w:val="001B6877"/>
    <w:pPr>
      <w:spacing w:after="0" w:line="240" w:lineRule="auto"/>
    </w:pPr>
    <w:rPr>
      <w:rFonts w:ascii="Times New Roman" w:eastAsia="Times New Roman" w:hAnsi="Times New Roman"/>
      <w:sz w:val="20"/>
      <w:szCs w:val="20"/>
      <w:lang w:val="es-ES_tradnl"/>
    </w:rPr>
  </w:style>
  <w:style w:type="character" w:customStyle="1" w:styleId="TextonotaalfinalCar">
    <w:name w:val="Texto nota al final Car"/>
    <w:link w:val="Textonotaalfinal"/>
    <w:semiHidden/>
    <w:rsid w:val="001B6877"/>
    <w:rPr>
      <w:rFonts w:ascii="Times New Roman" w:eastAsia="Times New Roman" w:hAnsi="Times New Roman"/>
      <w:lang w:val="es-ES_tradnl" w:eastAsia="en-US"/>
    </w:rPr>
  </w:style>
  <w:style w:type="paragraph" w:styleId="Cuadrculamedia1-nfasis2">
    <w:name w:val="Medium Grid 1 Accent 2"/>
    <w:basedOn w:val="Normal"/>
    <w:uiPriority w:val="34"/>
    <w:qFormat/>
    <w:rsid w:val="00B97440"/>
    <w:pPr>
      <w:ind w:left="720"/>
      <w:contextualSpacing/>
    </w:pPr>
    <w:rPr>
      <w:sz w:val="20"/>
      <w:szCs w:val="20"/>
      <w:lang w:val="es-CR" w:eastAsia="es-CR"/>
    </w:rPr>
  </w:style>
  <w:style w:type="paragraph" w:styleId="Listamedia2-nfasis2">
    <w:name w:val="Medium List 2 Accent 2"/>
    <w:hidden/>
    <w:uiPriority w:val="71"/>
    <w:rsid w:val="00195E80"/>
    <w:rPr>
      <w:sz w:val="22"/>
      <w:szCs w:val="22"/>
      <w:lang w:val="en-US" w:eastAsia="en-US"/>
    </w:rPr>
  </w:style>
  <w:style w:type="paragraph" w:styleId="Sombreadovistoso-nfasis1">
    <w:name w:val="Colorful Shading Accent 1"/>
    <w:hidden/>
    <w:uiPriority w:val="71"/>
    <w:rsid w:val="006A56BF"/>
    <w:rPr>
      <w:sz w:val="22"/>
      <w:szCs w:val="22"/>
      <w:lang w:val="en-US" w:eastAsia="en-US"/>
    </w:rPr>
  </w:style>
  <w:style w:type="paragraph" w:styleId="Prrafodelista">
    <w:name w:val="List Paragraph"/>
    <w:basedOn w:val="Normal"/>
    <w:uiPriority w:val="34"/>
    <w:qFormat/>
    <w:rsid w:val="00981F90"/>
    <w:pPr>
      <w:ind w:left="708"/>
    </w:pPr>
  </w:style>
  <w:style w:type="paragraph" w:styleId="Revisin">
    <w:name w:val="Revision"/>
    <w:hidden/>
    <w:uiPriority w:val="99"/>
    <w:semiHidden/>
    <w:rsid w:val="00F46314"/>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15226">
      <w:bodyDiv w:val="1"/>
      <w:marLeft w:val="0"/>
      <w:marRight w:val="0"/>
      <w:marTop w:val="0"/>
      <w:marBottom w:val="0"/>
      <w:divBdr>
        <w:top w:val="none" w:sz="0" w:space="0" w:color="auto"/>
        <w:left w:val="none" w:sz="0" w:space="0" w:color="auto"/>
        <w:bottom w:val="none" w:sz="0" w:space="0" w:color="auto"/>
        <w:right w:val="none" w:sz="0" w:space="0" w:color="auto"/>
      </w:divBdr>
    </w:div>
    <w:div w:id="86393908">
      <w:bodyDiv w:val="1"/>
      <w:marLeft w:val="0"/>
      <w:marRight w:val="0"/>
      <w:marTop w:val="0"/>
      <w:marBottom w:val="0"/>
      <w:divBdr>
        <w:top w:val="none" w:sz="0" w:space="0" w:color="auto"/>
        <w:left w:val="none" w:sz="0" w:space="0" w:color="auto"/>
        <w:bottom w:val="none" w:sz="0" w:space="0" w:color="auto"/>
        <w:right w:val="none" w:sz="0" w:space="0" w:color="auto"/>
      </w:divBdr>
    </w:div>
    <w:div w:id="95254997">
      <w:bodyDiv w:val="1"/>
      <w:marLeft w:val="0"/>
      <w:marRight w:val="0"/>
      <w:marTop w:val="0"/>
      <w:marBottom w:val="0"/>
      <w:divBdr>
        <w:top w:val="none" w:sz="0" w:space="0" w:color="auto"/>
        <w:left w:val="none" w:sz="0" w:space="0" w:color="auto"/>
        <w:bottom w:val="none" w:sz="0" w:space="0" w:color="auto"/>
        <w:right w:val="none" w:sz="0" w:space="0" w:color="auto"/>
      </w:divBdr>
    </w:div>
    <w:div w:id="189538970">
      <w:bodyDiv w:val="1"/>
      <w:marLeft w:val="0"/>
      <w:marRight w:val="0"/>
      <w:marTop w:val="0"/>
      <w:marBottom w:val="0"/>
      <w:divBdr>
        <w:top w:val="none" w:sz="0" w:space="0" w:color="auto"/>
        <w:left w:val="none" w:sz="0" w:space="0" w:color="auto"/>
        <w:bottom w:val="none" w:sz="0" w:space="0" w:color="auto"/>
        <w:right w:val="none" w:sz="0" w:space="0" w:color="auto"/>
      </w:divBdr>
    </w:div>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248318183">
      <w:bodyDiv w:val="1"/>
      <w:marLeft w:val="0"/>
      <w:marRight w:val="0"/>
      <w:marTop w:val="0"/>
      <w:marBottom w:val="0"/>
      <w:divBdr>
        <w:top w:val="none" w:sz="0" w:space="0" w:color="auto"/>
        <w:left w:val="none" w:sz="0" w:space="0" w:color="auto"/>
        <w:bottom w:val="none" w:sz="0" w:space="0" w:color="auto"/>
        <w:right w:val="none" w:sz="0" w:space="0" w:color="auto"/>
      </w:divBdr>
    </w:div>
    <w:div w:id="255746747">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494607928">
      <w:bodyDiv w:val="1"/>
      <w:marLeft w:val="0"/>
      <w:marRight w:val="0"/>
      <w:marTop w:val="0"/>
      <w:marBottom w:val="0"/>
      <w:divBdr>
        <w:top w:val="none" w:sz="0" w:space="0" w:color="auto"/>
        <w:left w:val="none" w:sz="0" w:space="0" w:color="auto"/>
        <w:bottom w:val="none" w:sz="0" w:space="0" w:color="auto"/>
        <w:right w:val="none" w:sz="0" w:space="0" w:color="auto"/>
      </w:divBdr>
    </w:div>
    <w:div w:id="532573562">
      <w:bodyDiv w:val="1"/>
      <w:marLeft w:val="0"/>
      <w:marRight w:val="0"/>
      <w:marTop w:val="0"/>
      <w:marBottom w:val="0"/>
      <w:divBdr>
        <w:top w:val="none" w:sz="0" w:space="0" w:color="auto"/>
        <w:left w:val="none" w:sz="0" w:space="0" w:color="auto"/>
        <w:bottom w:val="none" w:sz="0" w:space="0" w:color="auto"/>
        <w:right w:val="none" w:sz="0" w:space="0" w:color="auto"/>
      </w:divBdr>
    </w:div>
    <w:div w:id="552349880">
      <w:bodyDiv w:val="1"/>
      <w:marLeft w:val="0"/>
      <w:marRight w:val="0"/>
      <w:marTop w:val="0"/>
      <w:marBottom w:val="0"/>
      <w:divBdr>
        <w:top w:val="none" w:sz="0" w:space="0" w:color="auto"/>
        <w:left w:val="none" w:sz="0" w:space="0" w:color="auto"/>
        <w:bottom w:val="none" w:sz="0" w:space="0" w:color="auto"/>
        <w:right w:val="none" w:sz="0" w:space="0" w:color="auto"/>
      </w:divBdr>
    </w:div>
    <w:div w:id="747189699">
      <w:bodyDiv w:val="1"/>
      <w:marLeft w:val="0"/>
      <w:marRight w:val="0"/>
      <w:marTop w:val="0"/>
      <w:marBottom w:val="0"/>
      <w:divBdr>
        <w:top w:val="none" w:sz="0" w:space="0" w:color="auto"/>
        <w:left w:val="none" w:sz="0" w:space="0" w:color="auto"/>
        <w:bottom w:val="none" w:sz="0" w:space="0" w:color="auto"/>
        <w:right w:val="none" w:sz="0" w:space="0" w:color="auto"/>
      </w:divBdr>
    </w:div>
    <w:div w:id="853955026">
      <w:bodyDiv w:val="1"/>
      <w:marLeft w:val="0"/>
      <w:marRight w:val="0"/>
      <w:marTop w:val="0"/>
      <w:marBottom w:val="0"/>
      <w:divBdr>
        <w:top w:val="none" w:sz="0" w:space="0" w:color="auto"/>
        <w:left w:val="none" w:sz="0" w:space="0" w:color="auto"/>
        <w:bottom w:val="none" w:sz="0" w:space="0" w:color="auto"/>
        <w:right w:val="none" w:sz="0" w:space="0" w:color="auto"/>
      </w:divBdr>
    </w:div>
    <w:div w:id="979722913">
      <w:bodyDiv w:val="1"/>
      <w:marLeft w:val="0"/>
      <w:marRight w:val="0"/>
      <w:marTop w:val="0"/>
      <w:marBottom w:val="0"/>
      <w:divBdr>
        <w:top w:val="none" w:sz="0" w:space="0" w:color="auto"/>
        <w:left w:val="none" w:sz="0" w:space="0" w:color="auto"/>
        <w:bottom w:val="none" w:sz="0" w:space="0" w:color="auto"/>
        <w:right w:val="none" w:sz="0" w:space="0" w:color="auto"/>
      </w:divBdr>
    </w:div>
    <w:div w:id="1176262066">
      <w:bodyDiv w:val="1"/>
      <w:marLeft w:val="0"/>
      <w:marRight w:val="0"/>
      <w:marTop w:val="0"/>
      <w:marBottom w:val="0"/>
      <w:divBdr>
        <w:top w:val="none" w:sz="0" w:space="0" w:color="auto"/>
        <w:left w:val="none" w:sz="0" w:space="0" w:color="auto"/>
        <w:bottom w:val="none" w:sz="0" w:space="0" w:color="auto"/>
        <w:right w:val="none" w:sz="0" w:space="0" w:color="auto"/>
      </w:divBdr>
    </w:div>
    <w:div w:id="1194731950">
      <w:bodyDiv w:val="1"/>
      <w:marLeft w:val="0"/>
      <w:marRight w:val="0"/>
      <w:marTop w:val="0"/>
      <w:marBottom w:val="0"/>
      <w:divBdr>
        <w:top w:val="none" w:sz="0" w:space="0" w:color="auto"/>
        <w:left w:val="none" w:sz="0" w:space="0" w:color="auto"/>
        <w:bottom w:val="none" w:sz="0" w:space="0" w:color="auto"/>
        <w:right w:val="none" w:sz="0" w:space="0" w:color="auto"/>
      </w:divBdr>
    </w:div>
    <w:div w:id="1337000268">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2058429547">
      <w:bodyDiv w:val="1"/>
      <w:marLeft w:val="0"/>
      <w:marRight w:val="0"/>
      <w:marTop w:val="0"/>
      <w:marBottom w:val="0"/>
      <w:divBdr>
        <w:top w:val="none" w:sz="0" w:space="0" w:color="auto"/>
        <w:left w:val="none" w:sz="0" w:space="0" w:color="auto"/>
        <w:bottom w:val="none" w:sz="0" w:space="0" w:color="auto"/>
        <w:right w:val="none" w:sz="0" w:space="0" w:color="auto"/>
      </w:divBdr>
    </w:div>
    <w:div w:id="210032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poderjudicial.gob.hn" TargetMode="External"/><Relationship Id="rId2" Type="http://schemas.openxmlformats.org/officeDocument/2006/relationships/hyperlink" Target="http://www.corteidh.or.cr/docs/casos/articulos/seriec_317_esp.pdf" TargetMode="External"/><Relationship Id="rId1" Type="http://schemas.openxmlformats.org/officeDocument/2006/relationships/hyperlink" Target="http://www.corteidh.or.cr/docs/casos/articulos/seriec_302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F4440-4115-44B6-AE09-020F338F9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7768</Words>
  <Characters>42728</Characters>
  <Application>Microsoft Office Word</Application>
  <DocSecurity>0</DocSecurity>
  <Lines>356</Lines>
  <Paragraphs>100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50396</CharactersWithSpaces>
  <SharedDoc>false</SharedDoc>
  <HLinks>
    <vt:vector size="42" baseType="variant">
      <vt:variant>
        <vt:i4>1900602</vt:i4>
      </vt:variant>
      <vt:variant>
        <vt:i4>20</vt:i4>
      </vt:variant>
      <vt:variant>
        <vt:i4>0</vt:i4>
      </vt:variant>
      <vt:variant>
        <vt:i4>5</vt:i4>
      </vt:variant>
      <vt:variant>
        <vt:lpwstr/>
      </vt:variant>
      <vt:variant>
        <vt:lpwstr>_Toc484097356</vt:lpwstr>
      </vt:variant>
      <vt:variant>
        <vt:i4>1900602</vt:i4>
      </vt:variant>
      <vt:variant>
        <vt:i4>14</vt:i4>
      </vt:variant>
      <vt:variant>
        <vt:i4>0</vt:i4>
      </vt:variant>
      <vt:variant>
        <vt:i4>5</vt:i4>
      </vt:variant>
      <vt:variant>
        <vt:lpwstr/>
      </vt:variant>
      <vt:variant>
        <vt:lpwstr>_Toc484097355</vt:lpwstr>
      </vt:variant>
      <vt:variant>
        <vt:i4>1900602</vt:i4>
      </vt:variant>
      <vt:variant>
        <vt:i4>8</vt:i4>
      </vt:variant>
      <vt:variant>
        <vt:i4>0</vt:i4>
      </vt:variant>
      <vt:variant>
        <vt:i4>5</vt:i4>
      </vt:variant>
      <vt:variant>
        <vt:lpwstr/>
      </vt:variant>
      <vt:variant>
        <vt:lpwstr>_Toc484097354</vt:lpwstr>
      </vt:variant>
      <vt:variant>
        <vt:i4>1900602</vt:i4>
      </vt:variant>
      <vt:variant>
        <vt:i4>2</vt:i4>
      </vt:variant>
      <vt:variant>
        <vt:i4>0</vt:i4>
      </vt:variant>
      <vt:variant>
        <vt:i4>5</vt:i4>
      </vt:variant>
      <vt:variant>
        <vt:lpwstr/>
      </vt:variant>
      <vt:variant>
        <vt:lpwstr>_Toc484097353</vt:lpwstr>
      </vt:variant>
      <vt:variant>
        <vt:i4>1441879</vt:i4>
      </vt:variant>
      <vt:variant>
        <vt:i4>6</vt:i4>
      </vt:variant>
      <vt:variant>
        <vt:i4>0</vt:i4>
      </vt:variant>
      <vt:variant>
        <vt:i4>5</vt:i4>
      </vt:variant>
      <vt:variant>
        <vt:lpwstr>http://www.poderjudicial.gob.hn/</vt:lpwstr>
      </vt:variant>
      <vt:variant>
        <vt:lpwstr/>
      </vt:variant>
      <vt:variant>
        <vt:i4>5308496</vt:i4>
      </vt:variant>
      <vt:variant>
        <vt:i4>3</vt:i4>
      </vt:variant>
      <vt:variant>
        <vt:i4>0</vt:i4>
      </vt:variant>
      <vt:variant>
        <vt:i4>5</vt:i4>
      </vt:variant>
      <vt:variant>
        <vt:lpwstr>http://www.corteidh.or.cr/docs/casos/articulos/seriec_317_esp.pdf</vt:lpwstr>
      </vt:variant>
      <vt:variant>
        <vt:lpwstr/>
      </vt:variant>
      <vt:variant>
        <vt:i4>5242965</vt:i4>
      </vt:variant>
      <vt:variant>
        <vt:i4>0</vt:i4>
      </vt:variant>
      <vt:variant>
        <vt:i4>0</vt:i4>
      </vt:variant>
      <vt:variant>
        <vt:i4>5</vt:i4>
      </vt:variant>
      <vt:variant>
        <vt:lpwstr>http://www.corteidh.or.cr/docs/casos/articulos/seriec_302_esp.pdf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2017-07-25T18:33:00Z</cp:lastPrinted>
  <dcterms:created xsi:type="dcterms:W3CDTF">2017-07-25T18:33:00Z</dcterms:created>
  <dcterms:modified xsi:type="dcterms:W3CDTF">2017-07-25T18:33:00Z</dcterms:modified>
</cp:coreProperties>
</file>