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C47" w:rsidRDefault="00590C47" w:rsidP="00590C47">
      <w:pPr>
        <w:spacing w:after="0" w:line="240" w:lineRule="auto"/>
        <w:jc w:val="center"/>
        <w:rPr>
          <w:rFonts w:ascii="Verdana" w:hAnsi="Verdana"/>
          <w:b/>
          <w:sz w:val="10"/>
          <w:szCs w:val="20"/>
          <w:lang w:val="es-CR"/>
        </w:rPr>
      </w:pPr>
      <w:bookmarkStart w:id="0" w:name="_GoBack"/>
      <w:bookmarkEnd w:id="0"/>
    </w:p>
    <w:p w:rsidR="00BA702C" w:rsidRDefault="00BA702C" w:rsidP="00590C47">
      <w:pPr>
        <w:spacing w:after="0" w:line="240" w:lineRule="auto"/>
        <w:jc w:val="center"/>
        <w:rPr>
          <w:rFonts w:ascii="Verdana" w:hAnsi="Verdana"/>
          <w:b/>
          <w:sz w:val="10"/>
          <w:szCs w:val="20"/>
          <w:lang w:val="es-CR"/>
        </w:rPr>
      </w:pPr>
    </w:p>
    <w:p w:rsidR="00BA702C" w:rsidRDefault="00BA702C" w:rsidP="00590C47">
      <w:pPr>
        <w:spacing w:after="0" w:line="240" w:lineRule="auto"/>
        <w:jc w:val="center"/>
        <w:rPr>
          <w:rFonts w:ascii="Verdana" w:hAnsi="Verdana"/>
          <w:b/>
          <w:sz w:val="10"/>
          <w:szCs w:val="20"/>
          <w:lang w:val="es-CR"/>
        </w:rPr>
      </w:pPr>
    </w:p>
    <w:p w:rsidR="00BA702C" w:rsidRDefault="00BA702C" w:rsidP="00590C47">
      <w:pPr>
        <w:spacing w:after="0" w:line="240" w:lineRule="auto"/>
        <w:jc w:val="center"/>
        <w:rPr>
          <w:rFonts w:ascii="Verdana" w:hAnsi="Verdana"/>
          <w:b/>
          <w:sz w:val="10"/>
          <w:szCs w:val="20"/>
          <w:lang w:val="es-CR"/>
        </w:rPr>
      </w:pPr>
    </w:p>
    <w:p w:rsidR="00D34527" w:rsidRDefault="00D34527" w:rsidP="00590C47">
      <w:pPr>
        <w:spacing w:after="0" w:line="240" w:lineRule="auto"/>
        <w:jc w:val="center"/>
        <w:rPr>
          <w:rFonts w:ascii="Verdana" w:hAnsi="Verdana"/>
          <w:b/>
          <w:sz w:val="10"/>
          <w:szCs w:val="20"/>
          <w:lang w:val="es-CR"/>
        </w:rPr>
      </w:pPr>
    </w:p>
    <w:p w:rsidR="00D34527" w:rsidRDefault="00D34527" w:rsidP="00590C47">
      <w:pPr>
        <w:spacing w:after="0" w:line="240" w:lineRule="auto"/>
        <w:jc w:val="center"/>
        <w:rPr>
          <w:rFonts w:ascii="Verdana" w:hAnsi="Verdana"/>
          <w:b/>
          <w:sz w:val="10"/>
          <w:szCs w:val="20"/>
          <w:lang w:val="es-CR"/>
        </w:rPr>
      </w:pPr>
    </w:p>
    <w:p w:rsidR="00D34527" w:rsidRDefault="00D34527" w:rsidP="00590C47">
      <w:pPr>
        <w:spacing w:after="0" w:line="240" w:lineRule="auto"/>
        <w:jc w:val="center"/>
        <w:rPr>
          <w:rFonts w:ascii="Verdana" w:hAnsi="Verdana"/>
          <w:b/>
          <w:sz w:val="10"/>
          <w:szCs w:val="20"/>
          <w:lang w:val="es-CR"/>
        </w:rPr>
      </w:pPr>
    </w:p>
    <w:p w:rsidR="00D34527" w:rsidRDefault="00D34527" w:rsidP="00590C47">
      <w:pPr>
        <w:spacing w:after="0" w:line="240" w:lineRule="auto"/>
        <w:jc w:val="center"/>
        <w:rPr>
          <w:rFonts w:ascii="Verdana" w:hAnsi="Verdana"/>
          <w:b/>
          <w:sz w:val="10"/>
          <w:szCs w:val="20"/>
          <w:lang w:val="es-CR"/>
        </w:rPr>
      </w:pPr>
    </w:p>
    <w:p w:rsidR="00BA702C" w:rsidRPr="0061562F" w:rsidRDefault="00BA702C" w:rsidP="00590C47">
      <w:pPr>
        <w:spacing w:after="0" w:line="240" w:lineRule="auto"/>
        <w:jc w:val="center"/>
        <w:rPr>
          <w:rFonts w:ascii="Verdana" w:hAnsi="Verdana"/>
          <w:b/>
          <w:sz w:val="10"/>
          <w:szCs w:val="20"/>
          <w:lang w:val="es-CR"/>
        </w:rPr>
      </w:pPr>
    </w:p>
    <w:p w:rsidR="00590C47" w:rsidRPr="0061562F" w:rsidRDefault="00590C47" w:rsidP="00590C47">
      <w:pPr>
        <w:spacing w:after="0" w:line="240" w:lineRule="auto"/>
        <w:jc w:val="center"/>
        <w:rPr>
          <w:rFonts w:ascii="Verdana" w:hAnsi="Verdana"/>
          <w:b/>
          <w:sz w:val="10"/>
          <w:szCs w:val="20"/>
          <w:lang w:val="es-CR"/>
        </w:rPr>
      </w:pPr>
    </w:p>
    <w:p w:rsidR="00590C47" w:rsidRPr="0061562F" w:rsidRDefault="00590C47" w:rsidP="00590C47">
      <w:pPr>
        <w:spacing w:after="0" w:line="240" w:lineRule="auto"/>
        <w:jc w:val="center"/>
        <w:rPr>
          <w:rFonts w:ascii="Verdana" w:hAnsi="Verdana"/>
          <w:b/>
          <w:sz w:val="10"/>
          <w:szCs w:val="20"/>
          <w:lang w:val="es-CR"/>
        </w:rPr>
      </w:pPr>
    </w:p>
    <w:p w:rsidR="00590C47" w:rsidRDefault="00590C47" w:rsidP="00590C47">
      <w:pPr>
        <w:spacing w:after="0" w:line="240" w:lineRule="auto"/>
        <w:jc w:val="center"/>
        <w:rPr>
          <w:rFonts w:ascii="Verdana" w:hAnsi="Verdana"/>
          <w:b/>
          <w:sz w:val="20"/>
          <w:szCs w:val="20"/>
          <w:lang w:val="es-CR"/>
        </w:rPr>
      </w:pPr>
      <w:r w:rsidRPr="00745AE4">
        <w:rPr>
          <w:rFonts w:ascii="Verdana" w:hAnsi="Verdana"/>
          <w:b/>
          <w:sz w:val="20"/>
          <w:szCs w:val="20"/>
          <w:lang w:val="es-CR"/>
        </w:rPr>
        <w:t xml:space="preserve">RESOLUCIÓN DE LA </w:t>
      </w:r>
    </w:p>
    <w:p w:rsidR="00590C47" w:rsidRDefault="00590C47" w:rsidP="00590C47">
      <w:pPr>
        <w:spacing w:after="0" w:line="240" w:lineRule="auto"/>
        <w:jc w:val="center"/>
        <w:rPr>
          <w:rFonts w:ascii="Verdana" w:hAnsi="Verdana"/>
          <w:b/>
          <w:smallCaps/>
          <w:sz w:val="20"/>
          <w:lang w:val="es-CR"/>
        </w:rPr>
      </w:pPr>
      <w:r w:rsidRPr="00745AE4">
        <w:rPr>
          <w:rFonts w:ascii="Verdana" w:hAnsi="Verdana"/>
          <w:b/>
          <w:sz w:val="20"/>
          <w:szCs w:val="20"/>
          <w:lang w:val="es-CR"/>
        </w:rPr>
        <w:t>CORTE INTERAMERICANA DE DERECHOS HUMANOS</w:t>
      </w:r>
      <w:r w:rsidR="00BB6F84">
        <w:rPr>
          <w:rFonts w:ascii="Verdana" w:hAnsi="Verdana"/>
          <w:b/>
          <w:i/>
          <w:sz w:val="20"/>
          <w:szCs w:val="20"/>
          <w:lang w:val="es-CR"/>
        </w:rPr>
        <w:t>*</w:t>
      </w:r>
    </w:p>
    <w:p w:rsidR="00590C47" w:rsidRPr="0061562F" w:rsidRDefault="00590C47" w:rsidP="00590C47">
      <w:pPr>
        <w:spacing w:after="0" w:line="240" w:lineRule="auto"/>
        <w:jc w:val="center"/>
        <w:rPr>
          <w:rFonts w:ascii="Verdana" w:hAnsi="Verdana"/>
          <w:b/>
          <w:smallCaps/>
          <w:sz w:val="10"/>
          <w:lang w:val="es-CR"/>
        </w:rPr>
      </w:pPr>
    </w:p>
    <w:p w:rsidR="00590C47" w:rsidRPr="0061562F" w:rsidRDefault="00590C47" w:rsidP="00590C47">
      <w:pPr>
        <w:spacing w:after="0" w:line="240" w:lineRule="auto"/>
        <w:jc w:val="center"/>
        <w:rPr>
          <w:rFonts w:ascii="Verdana" w:hAnsi="Verdana"/>
          <w:b/>
          <w:sz w:val="10"/>
          <w:szCs w:val="20"/>
          <w:lang w:val="es-CR"/>
        </w:rPr>
      </w:pPr>
    </w:p>
    <w:p w:rsidR="00590C47" w:rsidRDefault="00590C47" w:rsidP="00590C47">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FE19DF">
        <w:rPr>
          <w:rFonts w:ascii="Verdana" w:hAnsi="Verdana"/>
          <w:b/>
          <w:sz w:val="20"/>
          <w:szCs w:val="20"/>
          <w:lang w:val="es-CR"/>
        </w:rPr>
        <w:t>23</w:t>
      </w:r>
      <w:r>
        <w:rPr>
          <w:rFonts w:ascii="Verdana" w:hAnsi="Verdana"/>
          <w:b/>
          <w:sz w:val="20"/>
          <w:szCs w:val="20"/>
          <w:lang w:val="es-CR"/>
        </w:rPr>
        <w:t xml:space="preserve"> DE MAYO</w:t>
      </w:r>
      <w:r w:rsidRPr="00745AE4">
        <w:rPr>
          <w:rFonts w:ascii="Verdana" w:hAnsi="Verdana"/>
          <w:b/>
          <w:sz w:val="20"/>
          <w:szCs w:val="20"/>
          <w:lang w:val="es-CR"/>
        </w:rPr>
        <w:t xml:space="preserve"> DE </w:t>
      </w:r>
      <w:r>
        <w:rPr>
          <w:rFonts w:ascii="Verdana" w:hAnsi="Verdana"/>
          <w:b/>
          <w:sz w:val="20"/>
          <w:szCs w:val="20"/>
          <w:lang w:val="es-CR"/>
        </w:rPr>
        <w:t>2017</w:t>
      </w:r>
    </w:p>
    <w:p w:rsidR="00590C47" w:rsidRPr="0061562F" w:rsidRDefault="00590C47" w:rsidP="00590C47">
      <w:pPr>
        <w:spacing w:after="0" w:line="240" w:lineRule="auto"/>
        <w:jc w:val="center"/>
        <w:rPr>
          <w:rFonts w:ascii="Verdana" w:hAnsi="Verdana"/>
          <w:b/>
          <w:sz w:val="10"/>
          <w:szCs w:val="20"/>
          <w:lang w:val="es-CR"/>
        </w:rPr>
      </w:pPr>
    </w:p>
    <w:p w:rsidR="00590C47" w:rsidRPr="009B4B9D" w:rsidRDefault="00590C47" w:rsidP="00590C47">
      <w:pPr>
        <w:spacing w:after="0" w:line="240" w:lineRule="auto"/>
        <w:jc w:val="center"/>
        <w:rPr>
          <w:rFonts w:ascii="Verdana" w:hAnsi="Verdana"/>
          <w:b/>
          <w:i/>
          <w:sz w:val="20"/>
          <w:szCs w:val="20"/>
          <w:lang w:val="es-CR"/>
        </w:rPr>
      </w:pPr>
      <w:r w:rsidRPr="009B4B9D">
        <w:rPr>
          <w:rFonts w:ascii="Verdana" w:hAnsi="Verdana"/>
          <w:b/>
          <w:i/>
          <w:sz w:val="20"/>
          <w:szCs w:val="20"/>
          <w:lang w:val="es-CR"/>
        </w:rPr>
        <w:t xml:space="preserve">CASO </w:t>
      </w:r>
      <w:r>
        <w:rPr>
          <w:rFonts w:ascii="Verdana" w:hAnsi="Verdana"/>
          <w:b/>
          <w:i/>
          <w:sz w:val="20"/>
          <w:szCs w:val="20"/>
          <w:lang w:val="es-CR"/>
        </w:rPr>
        <w:t>PACHECO TERUEL Y OTROS</w:t>
      </w:r>
      <w:r w:rsidRPr="009B4B9D">
        <w:rPr>
          <w:rFonts w:ascii="Verdana" w:hAnsi="Verdana"/>
          <w:b/>
          <w:i/>
          <w:sz w:val="20"/>
          <w:szCs w:val="20"/>
          <w:lang w:val="es-CR"/>
        </w:rPr>
        <w:t xml:space="preserve"> VS. </w:t>
      </w:r>
      <w:r>
        <w:rPr>
          <w:rFonts w:ascii="Verdana" w:hAnsi="Verdana"/>
          <w:b/>
          <w:i/>
          <w:sz w:val="20"/>
          <w:szCs w:val="20"/>
          <w:lang w:val="es-CR"/>
        </w:rPr>
        <w:t>HONDURAS</w:t>
      </w:r>
    </w:p>
    <w:p w:rsidR="00590C47" w:rsidRPr="0061562F" w:rsidRDefault="00590C47" w:rsidP="00590C47">
      <w:pPr>
        <w:spacing w:after="0" w:line="240" w:lineRule="auto"/>
        <w:jc w:val="center"/>
        <w:rPr>
          <w:rFonts w:ascii="Verdana" w:hAnsi="Verdana"/>
          <w:b/>
          <w:sz w:val="10"/>
          <w:szCs w:val="20"/>
          <w:lang w:val="es-CR"/>
        </w:rPr>
      </w:pPr>
    </w:p>
    <w:p w:rsidR="00590C47" w:rsidRPr="009B4B9D" w:rsidRDefault="00590C47" w:rsidP="00590C47">
      <w:pPr>
        <w:spacing w:after="0" w:line="240" w:lineRule="auto"/>
        <w:jc w:val="center"/>
        <w:rPr>
          <w:rFonts w:ascii="Verdana" w:hAnsi="Verdana"/>
          <w:b/>
          <w:sz w:val="20"/>
          <w:szCs w:val="20"/>
          <w:lang w:val="es-CR"/>
        </w:rPr>
      </w:pPr>
      <w:r w:rsidRPr="009B4B9D">
        <w:rPr>
          <w:rFonts w:ascii="Verdana" w:hAnsi="Verdana"/>
          <w:b/>
          <w:sz w:val="20"/>
          <w:szCs w:val="20"/>
          <w:lang w:val="es-CR"/>
        </w:rPr>
        <w:t>SUPERVISIÓN DE CUMPLIMIENTO DE SENTENCIA</w:t>
      </w:r>
    </w:p>
    <w:p w:rsidR="00590C47" w:rsidRPr="007123C0" w:rsidRDefault="00590C47" w:rsidP="00590C47">
      <w:pPr>
        <w:spacing w:after="0" w:line="240" w:lineRule="auto"/>
        <w:jc w:val="both"/>
        <w:rPr>
          <w:rFonts w:ascii="Verdana" w:hAnsi="Verdana"/>
          <w:sz w:val="12"/>
          <w:szCs w:val="20"/>
          <w:lang w:val="es-CR"/>
        </w:rPr>
      </w:pPr>
    </w:p>
    <w:p w:rsidR="00590C47" w:rsidRDefault="00590C47" w:rsidP="00590C47">
      <w:pPr>
        <w:spacing w:after="0" w:line="240" w:lineRule="auto"/>
        <w:jc w:val="both"/>
        <w:rPr>
          <w:rFonts w:ascii="Verdana" w:hAnsi="Verdana"/>
          <w:b/>
          <w:sz w:val="20"/>
          <w:szCs w:val="20"/>
          <w:lang w:val="es-CR"/>
        </w:rPr>
      </w:pPr>
      <w:r w:rsidRPr="009B4B9D">
        <w:rPr>
          <w:rFonts w:ascii="Verdana" w:hAnsi="Verdana"/>
          <w:b/>
          <w:sz w:val="20"/>
          <w:szCs w:val="20"/>
          <w:lang w:val="es-CR"/>
        </w:rPr>
        <w:t>VISTO:</w:t>
      </w:r>
      <w:r>
        <w:rPr>
          <w:rFonts w:ascii="Verdana" w:hAnsi="Verdana"/>
          <w:b/>
          <w:sz w:val="20"/>
          <w:szCs w:val="20"/>
          <w:lang w:val="es-CR"/>
        </w:rPr>
        <w:t xml:space="preserve"> </w:t>
      </w:r>
    </w:p>
    <w:p w:rsidR="00590C47" w:rsidRPr="007123C0" w:rsidRDefault="00590C47" w:rsidP="00590C47">
      <w:pPr>
        <w:pStyle w:val="Prrafodelista"/>
        <w:spacing w:after="0" w:line="240" w:lineRule="auto"/>
        <w:ind w:left="0"/>
        <w:contextualSpacing w:val="0"/>
        <w:jc w:val="both"/>
        <w:rPr>
          <w:rFonts w:ascii="Verdana" w:hAnsi="Verdana"/>
          <w:sz w:val="12"/>
          <w:szCs w:val="20"/>
          <w:shd w:val="clear" w:color="auto" w:fill="FFFFFF"/>
          <w:lang w:val="es-CR"/>
        </w:rPr>
      </w:pPr>
    </w:p>
    <w:p w:rsidR="00590C47" w:rsidRDefault="00590C47" w:rsidP="007123C0">
      <w:pPr>
        <w:pStyle w:val="Prrafodelista"/>
        <w:numPr>
          <w:ilvl w:val="0"/>
          <w:numId w:val="2"/>
        </w:numPr>
        <w:spacing w:before="120" w:after="120" w:line="240" w:lineRule="auto"/>
        <w:ind w:left="0" w:firstLine="0"/>
        <w:contextualSpacing w:val="0"/>
        <w:jc w:val="both"/>
        <w:rPr>
          <w:rFonts w:ascii="Verdana" w:hAnsi="Verdana"/>
          <w:sz w:val="20"/>
          <w:szCs w:val="20"/>
          <w:lang w:val="es-CR"/>
        </w:rPr>
      </w:pPr>
      <w:r w:rsidRPr="007634A0">
        <w:rPr>
          <w:rFonts w:ascii="Verdana" w:hAnsi="Verdana"/>
          <w:sz w:val="20"/>
          <w:szCs w:val="20"/>
          <w:lang w:val="es-CR"/>
        </w:rPr>
        <w:t>La Sentencia de fondo, reparaciones y costas (en adelante “la Sentencia”) dictada por la Corte Interamericana de Derechos Humanos (en adelante “la Corte Interamericana”, “la Corte” o “el Tribunal”) el 27 de abril de 2012</w:t>
      </w:r>
      <w:r w:rsidRPr="007634A0">
        <w:rPr>
          <w:rStyle w:val="Refdenotaalpie"/>
          <w:rFonts w:ascii="Verdana" w:hAnsi="Verdana"/>
          <w:sz w:val="20"/>
          <w:szCs w:val="20"/>
          <w:lang w:val="es-MX"/>
        </w:rPr>
        <w:footnoteReference w:id="1"/>
      </w:r>
      <w:r w:rsidRPr="007634A0">
        <w:rPr>
          <w:rFonts w:ascii="Verdana" w:hAnsi="Verdana"/>
          <w:sz w:val="20"/>
          <w:szCs w:val="20"/>
          <w:lang w:val="es-CR"/>
        </w:rPr>
        <w:t xml:space="preserve">. Tomando en cuenta el reconocimiento de responsabilidad efectuado por la República de Honduras (en adelante “el Estado” u “Honduras”), la Corte declaró la responsabilidad internacional de </w:t>
      </w:r>
      <w:r>
        <w:rPr>
          <w:rFonts w:ascii="Verdana" w:hAnsi="Verdana"/>
          <w:sz w:val="20"/>
          <w:szCs w:val="20"/>
          <w:lang w:val="es-CR"/>
        </w:rPr>
        <w:t xml:space="preserve">dicho Estado </w:t>
      </w:r>
      <w:r w:rsidRPr="007634A0">
        <w:rPr>
          <w:rFonts w:ascii="Verdana" w:hAnsi="Verdana"/>
          <w:sz w:val="20"/>
          <w:szCs w:val="20"/>
          <w:lang w:val="es-CR"/>
        </w:rPr>
        <w:t xml:space="preserve">por la muerte de 107 </w:t>
      </w:r>
      <w:r w:rsidR="00C21C34">
        <w:rPr>
          <w:rFonts w:ascii="Verdana" w:hAnsi="Verdana"/>
          <w:sz w:val="20"/>
          <w:szCs w:val="20"/>
          <w:lang w:val="es-CR"/>
        </w:rPr>
        <w:t>personas</w:t>
      </w:r>
      <w:r w:rsidRPr="007634A0">
        <w:rPr>
          <w:rFonts w:ascii="Verdana" w:hAnsi="Verdana"/>
          <w:sz w:val="20"/>
          <w:szCs w:val="20"/>
          <w:lang w:val="es-CR"/>
        </w:rPr>
        <w:t xml:space="preserve"> </w:t>
      </w:r>
      <w:r w:rsidR="00C21C34">
        <w:rPr>
          <w:rFonts w:ascii="Verdana" w:hAnsi="Verdana"/>
          <w:sz w:val="20"/>
          <w:szCs w:val="20"/>
          <w:lang w:val="es-CR"/>
        </w:rPr>
        <w:t>que se encontraban privada</w:t>
      </w:r>
      <w:r w:rsidRPr="007634A0">
        <w:rPr>
          <w:rFonts w:ascii="Verdana" w:hAnsi="Verdana"/>
          <w:sz w:val="20"/>
          <w:szCs w:val="20"/>
          <w:lang w:val="es-CR"/>
        </w:rPr>
        <w:t>s de libertad, en la celda No. 19 del Centro Penal de San Pedro Sul</w:t>
      </w:r>
      <w:r w:rsidR="007647BF">
        <w:rPr>
          <w:rFonts w:ascii="Verdana" w:hAnsi="Verdana"/>
          <w:sz w:val="20"/>
          <w:szCs w:val="20"/>
          <w:lang w:val="es-CR"/>
        </w:rPr>
        <w:t>a</w:t>
      </w:r>
      <w:r w:rsidR="00C21C34">
        <w:rPr>
          <w:rFonts w:ascii="Verdana" w:hAnsi="Verdana"/>
          <w:sz w:val="20"/>
          <w:szCs w:val="20"/>
          <w:lang w:val="es-CR"/>
        </w:rPr>
        <w:t>, quienes fallecieron debido al incendio ocurrido el 17 de mayo de 2004</w:t>
      </w:r>
      <w:r>
        <w:rPr>
          <w:rFonts w:ascii="Verdana" w:hAnsi="Verdana"/>
          <w:sz w:val="20"/>
          <w:szCs w:val="20"/>
          <w:lang w:val="es-CR"/>
        </w:rPr>
        <w:t>.</w:t>
      </w:r>
      <w:r w:rsidRPr="007634A0">
        <w:rPr>
          <w:rFonts w:ascii="Verdana" w:hAnsi="Verdana"/>
          <w:sz w:val="20"/>
          <w:szCs w:val="20"/>
          <w:lang w:val="es-CR"/>
        </w:rPr>
        <w:t xml:space="preserve"> </w:t>
      </w:r>
      <w:r>
        <w:rPr>
          <w:rFonts w:ascii="Verdana" w:hAnsi="Verdana"/>
          <w:sz w:val="20"/>
          <w:szCs w:val="20"/>
          <w:lang w:val="es-CR"/>
        </w:rPr>
        <w:t xml:space="preserve">El incendio fue </w:t>
      </w:r>
      <w:r w:rsidRPr="007634A0">
        <w:rPr>
          <w:rFonts w:ascii="Verdana" w:hAnsi="Verdana"/>
          <w:sz w:val="20"/>
          <w:szCs w:val="20"/>
          <w:lang w:val="es-CR"/>
        </w:rPr>
        <w:t xml:space="preserve">resultado directo de una serie de deficiencias estructurales presentes en dicho centro penitenciario, las cuales eran de conocimiento de las autoridades competentes, sin que a la fecha de la Sentencia se hubiesen determinado las personas responsables de los hechos. El Tribunal declaró que el Estado había violado la obligación de garantizar los derechos a la vida y a la integridad personal en perjuicio de las 107 personas privadas de libertad que perdieron la vida. También declaró la violación a los derechos a la integridad personal, a la libertad personal y al principio de legalidad y de retroactividad en perjuicio de los 22 internos fallecidos individualizados que se encontraban en prisión preventiva en la celda No. 19 junto con las personas condenadas. Por último, la Corte estableció que el Estado violó el derecho a la integridad personal y los derechos a las garantías judiciales y a la protección judicial, por no brindar a los familiares de las víctimas un recurso efectivo para esclarecer lo sucedido y determinar las responsabilidades correspondientes, en perjuicio de los 83 familiares de los internos fallecidos que fueron identificados en el fallo. El Tribunal estableció que su Sentencia constituye por sí misma una forma de reparación y, además, </w:t>
      </w:r>
      <w:r>
        <w:rPr>
          <w:rFonts w:ascii="Verdana" w:hAnsi="Verdana"/>
          <w:sz w:val="20"/>
          <w:szCs w:val="20"/>
          <w:lang w:val="es-CR"/>
        </w:rPr>
        <w:t xml:space="preserve">ordenó y homologó </w:t>
      </w:r>
      <w:r w:rsidRPr="007634A0">
        <w:rPr>
          <w:rFonts w:ascii="Verdana" w:hAnsi="Verdana"/>
          <w:sz w:val="20"/>
          <w:szCs w:val="20"/>
          <w:lang w:val="es-CR"/>
        </w:rPr>
        <w:t>medidas de reparación convenidas en el acuerdo de solución amistosa</w:t>
      </w:r>
      <w:r>
        <w:rPr>
          <w:rFonts w:ascii="Verdana" w:hAnsi="Verdana"/>
          <w:sz w:val="20"/>
          <w:szCs w:val="20"/>
          <w:lang w:val="es-CR"/>
        </w:rPr>
        <w:t xml:space="preserve"> </w:t>
      </w:r>
      <w:r w:rsidRPr="007634A0">
        <w:rPr>
          <w:rFonts w:ascii="Verdana" w:hAnsi="Verdana"/>
          <w:sz w:val="20"/>
          <w:szCs w:val="20"/>
          <w:lang w:val="es-CR"/>
        </w:rPr>
        <w:t>celebrado entre Honduras y los representantes de las víctimas, por considerar que las mismas contribuían a la realización del objeto y fin de la Convención Americana (</w:t>
      </w:r>
      <w:r w:rsidRPr="007634A0">
        <w:rPr>
          <w:rFonts w:ascii="Verdana" w:hAnsi="Verdana"/>
          <w:i/>
          <w:sz w:val="20"/>
          <w:szCs w:val="20"/>
          <w:lang w:val="es-CR"/>
        </w:rPr>
        <w:t xml:space="preserve">infra </w:t>
      </w:r>
      <w:r w:rsidRPr="007634A0">
        <w:rPr>
          <w:rFonts w:ascii="Verdana" w:hAnsi="Verdana"/>
          <w:sz w:val="20"/>
          <w:szCs w:val="20"/>
          <w:lang w:val="es-CR"/>
        </w:rPr>
        <w:t xml:space="preserve">Considerando 1). </w:t>
      </w:r>
    </w:p>
    <w:p w:rsidR="00590C47" w:rsidRPr="007634A0" w:rsidRDefault="00590C47" w:rsidP="007123C0">
      <w:pPr>
        <w:pStyle w:val="Prrafodelista"/>
        <w:numPr>
          <w:ilvl w:val="0"/>
          <w:numId w:val="2"/>
        </w:numPr>
        <w:spacing w:before="120" w:after="120" w:line="240" w:lineRule="auto"/>
        <w:ind w:left="0" w:firstLine="0"/>
        <w:contextualSpacing w:val="0"/>
        <w:jc w:val="both"/>
        <w:rPr>
          <w:rFonts w:ascii="Verdana" w:hAnsi="Verdana"/>
          <w:color w:val="000000"/>
          <w:sz w:val="20"/>
          <w:szCs w:val="20"/>
          <w:shd w:val="clear" w:color="auto" w:fill="FFFFFF"/>
          <w:lang w:val="es-CR"/>
        </w:rPr>
      </w:pPr>
      <w:r w:rsidRPr="007634A0">
        <w:rPr>
          <w:rFonts w:ascii="Verdana" w:hAnsi="Verdana"/>
          <w:sz w:val="20"/>
          <w:szCs w:val="20"/>
          <w:lang w:val="es-CR"/>
        </w:rPr>
        <w:t xml:space="preserve">Los </w:t>
      </w:r>
      <w:r>
        <w:rPr>
          <w:rFonts w:ascii="Verdana" w:hAnsi="Verdana"/>
          <w:sz w:val="20"/>
          <w:szCs w:val="20"/>
          <w:lang w:val="es-CR"/>
        </w:rPr>
        <w:t>cuatro</w:t>
      </w:r>
      <w:r w:rsidRPr="007634A0">
        <w:rPr>
          <w:rFonts w:ascii="Verdana" w:hAnsi="Verdana"/>
          <w:sz w:val="20"/>
          <w:szCs w:val="20"/>
          <w:lang w:val="es-CR"/>
        </w:rPr>
        <w:t xml:space="preserve"> informes presentados por el Estado entre </w:t>
      </w:r>
      <w:r>
        <w:rPr>
          <w:rFonts w:ascii="Verdana" w:hAnsi="Verdana"/>
          <w:sz w:val="20"/>
          <w:szCs w:val="20"/>
          <w:lang w:val="es-CR"/>
        </w:rPr>
        <w:t>julio</w:t>
      </w:r>
      <w:r w:rsidRPr="007634A0">
        <w:rPr>
          <w:rFonts w:ascii="Verdana" w:hAnsi="Verdana"/>
          <w:sz w:val="20"/>
          <w:szCs w:val="20"/>
          <w:lang w:val="es-CR"/>
        </w:rPr>
        <w:t xml:space="preserve"> de </w:t>
      </w:r>
      <w:r>
        <w:rPr>
          <w:rFonts w:ascii="Verdana" w:hAnsi="Verdana"/>
          <w:sz w:val="20"/>
          <w:szCs w:val="20"/>
          <w:lang w:val="es-CR"/>
        </w:rPr>
        <w:t>2013</w:t>
      </w:r>
      <w:r w:rsidRPr="007634A0">
        <w:rPr>
          <w:rFonts w:ascii="Verdana" w:hAnsi="Verdana"/>
          <w:sz w:val="20"/>
          <w:szCs w:val="20"/>
          <w:lang w:val="es-CR"/>
        </w:rPr>
        <w:t xml:space="preserve"> y </w:t>
      </w:r>
      <w:r>
        <w:rPr>
          <w:rFonts w:ascii="Verdana" w:hAnsi="Verdana"/>
          <w:sz w:val="20"/>
          <w:szCs w:val="20"/>
          <w:lang w:val="es-CR"/>
        </w:rPr>
        <w:t>octubre de 2015</w:t>
      </w:r>
      <w:r w:rsidRPr="007634A0">
        <w:rPr>
          <w:rStyle w:val="Refdenotaalpie"/>
          <w:rFonts w:ascii="Verdana" w:hAnsi="Verdana"/>
          <w:color w:val="000000"/>
          <w:sz w:val="20"/>
          <w:szCs w:val="20"/>
          <w:shd w:val="clear" w:color="auto" w:fill="FFFFFF"/>
          <w:lang w:val="es-CR"/>
        </w:rPr>
        <w:footnoteReference w:id="2"/>
      </w:r>
      <w:r>
        <w:rPr>
          <w:rFonts w:ascii="Verdana" w:hAnsi="Verdana"/>
          <w:sz w:val="20"/>
          <w:szCs w:val="20"/>
          <w:lang w:val="es-CR"/>
        </w:rPr>
        <w:t xml:space="preserve">, y las correspondientes </w:t>
      </w:r>
      <w:r w:rsidRPr="007634A0">
        <w:rPr>
          <w:rFonts w:ascii="Verdana" w:hAnsi="Verdana"/>
          <w:color w:val="000000"/>
          <w:sz w:val="20"/>
          <w:szCs w:val="20"/>
          <w:shd w:val="clear" w:color="auto" w:fill="FFFFFF"/>
          <w:lang w:val="es-CR"/>
        </w:rPr>
        <w:t>observaciones</w:t>
      </w:r>
      <w:r w:rsidR="00C02486">
        <w:rPr>
          <w:rStyle w:val="Refdenotaalpie"/>
          <w:rFonts w:ascii="Verdana" w:hAnsi="Verdana"/>
          <w:color w:val="000000"/>
          <w:sz w:val="20"/>
          <w:szCs w:val="20"/>
          <w:shd w:val="clear" w:color="auto" w:fill="FFFFFF"/>
          <w:lang w:val="es-CR"/>
        </w:rPr>
        <w:footnoteReference w:id="3"/>
      </w:r>
      <w:r w:rsidRPr="007634A0">
        <w:rPr>
          <w:rFonts w:ascii="Verdana" w:hAnsi="Verdana"/>
          <w:color w:val="000000"/>
          <w:sz w:val="20"/>
          <w:szCs w:val="20"/>
          <w:shd w:val="clear" w:color="auto" w:fill="FFFFFF"/>
          <w:lang w:val="es-CR"/>
        </w:rPr>
        <w:t xml:space="preserve"> presentad</w:t>
      </w:r>
      <w:r>
        <w:rPr>
          <w:rFonts w:ascii="Verdana" w:hAnsi="Verdana"/>
          <w:color w:val="000000"/>
          <w:sz w:val="20"/>
          <w:szCs w:val="20"/>
          <w:shd w:val="clear" w:color="auto" w:fill="FFFFFF"/>
          <w:lang w:val="es-CR"/>
        </w:rPr>
        <w:t>a</w:t>
      </w:r>
      <w:r w:rsidRPr="007634A0">
        <w:rPr>
          <w:rFonts w:ascii="Verdana" w:hAnsi="Verdana"/>
          <w:color w:val="000000"/>
          <w:sz w:val="20"/>
          <w:szCs w:val="20"/>
          <w:shd w:val="clear" w:color="auto" w:fill="FFFFFF"/>
          <w:lang w:val="es-CR"/>
        </w:rPr>
        <w:t xml:space="preserve">s por </w:t>
      </w:r>
      <w:r>
        <w:rPr>
          <w:rFonts w:ascii="Verdana" w:hAnsi="Verdana"/>
          <w:color w:val="000000"/>
          <w:sz w:val="20"/>
          <w:szCs w:val="20"/>
          <w:shd w:val="clear" w:color="auto" w:fill="FFFFFF"/>
          <w:lang w:val="es-CR"/>
        </w:rPr>
        <w:t>los</w:t>
      </w:r>
      <w:r w:rsidRPr="007634A0">
        <w:rPr>
          <w:rFonts w:ascii="Verdana" w:hAnsi="Verdana"/>
          <w:color w:val="000000"/>
          <w:sz w:val="20"/>
          <w:szCs w:val="20"/>
          <w:shd w:val="clear" w:color="auto" w:fill="FFFFFF"/>
          <w:lang w:val="es-CR"/>
        </w:rPr>
        <w:t xml:space="preserve"> representante</w:t>
      </w:r>
      <w:r>
        <w:rPr>
          <w:rFonts w:ascii="Verdana" w:hAnsi="Verdana"/>
          <w:color w:val="000000"/>
          <w:sz w:val="20"/>
          <w:szCs w:val="20"/>
          <w:shd w:val="clear" w:color="auto" w:fill="FFFFFF"/>
          <w:lang w:val="es-CR"/>
        </w:rPr>
        <w:t>s</w:t>
      </w:r>
      <w:r w:rsidRPr="007634A0">
        <w:rPr>
          <w:rFonts w:ascii="Verdana" w:hAnsi="Verdana"/>
          <w:color w:val="000000"/>
          <w:sz w:val="20"/>
          <w:szCs w:val="20"/>
          <w:shd w:val="clear" w:color="auto" w:fill="FFFFFF"/>
          <w:lang w:val="es-CR"/>
        </w:rPr>
        <w:t xml:space="preserve"> de la</w:t>
      </w:r>
      <w:r>
        <w:rPr>
          <w:rFonts w:ascii="Verdana" w:hAnsi="Verdana"/>
          <w:color w:val="000000"/>
          <w:sz w:val="20"/>
          <w:szCs w:val="20"/>
          <w:shd w:val="clear" w:color="auto" w:fill="FFFFFF"/>
          <w:lang w:val="es-CR"/>
        </w:rPr>
        <w:t>s</w:t>
      </w:r>
      <w:r w:rsidRPr="007634A0">
        <w:rPr>
          <w:rFonts w:ascii="Verdana" w:hAnsi="Verdana"/>
          <w:color w:val="000000"/>
          <w:sz w:val="20"/>
          <w:szCs w:val="20"/>
          <w:shd w:val="clear" w:color="auto" w:fill="FFFFFF"/>
          <w:lang w:val="es-CR"/>
        </w:rPr>
        <w:t xml:space="preserve"> </w:t>
      </w:r>
      <w:r w:rsidRPr="007634A0">
        <w:rPr>
          <w:rFonts w:ascii="Verdana" w:hAnsi="Verdana"/>
          <w:color w:val="000000"/>
          <w:sz w:val="20"/>
          <w:szCs w:val="20"/>
          <w:shd w:val="clear" w:color="auto" w:fill="FFFFFF"/>
          <w:lang w:val="es-CR"/>
        </w:rPr>
        <w:lastRenderedPageBreak/>
        <w:t>víctima</w:t>
      </w:r>
      <w:r>
        <w:rPr>
          <w:rFonts w:ascii="Verdana" w:hAnsi="Verdana"/>
          <w:color w:val="000000"/>
          <w:sz w:val="20"/>
          <w:szCs w:val="20"/>
          <w:shd w:val="clear" w:color="auto" w:fill="FFFFFF"/>
          <w:lang w:val="es-CR"/>
        </w:rPr>
        <w:t>s</w:t>
      </w:r>
      <w:r w:rsidRPr="007634A0">
        <w:rPr>
          <w:rFonts w:ascii="Verdana" w:hAnsi="Verdana"/>
          <w:color w:val="000000"/>
          <w:sz w:val="20"/>
          <w:szCs w:val="20"/>
          <w:shd w:val="clear" w:color="auto" w:fill="FFFFFF"/>
          <w:lang w:val="es-CR"/>
        </w:rPr>
        <w:t xml:space="preserve"> (en adelante “</w:t>
      </w:r>
      <w:r>
        <w:rPr>
          <w:rFonts w:ascii="Verdana" w:hAnsi="Verdana"/>
          <w:color w:val="000000"/>
          <w:sz w:val="20"/>
          <w:szCs w:val="20"/>
          <w:shd w:val="clear" w:color="auto" w:fill="FFFFFF"/>
          <w:lang w:val="es-CR"/>
        </w:rPr>
        <w:t xml:space="preserve">los </w:t>
      </w:r>
      <w:r w:rsidRPr="007634A0">
        <w:rPr>
          <w:rFonts w:ascii="Verdana" w:hAnsi="Verdana"/>
          <w:color w:val="000000"/>
          <w:sz w:val="20"/>
          <w:szCs w:val="20"/>
          <w:shd w:val="clear" w:color="auto" w:fill="FFFFFF"/>
          <w:lang w:val="es-CR"/>
        </w:rPr>
        <w:t>representantes”)</w:t>
      </w:r>
      <w:r w:rsidRPr="007634A0">
        <w:rPr>
          <w:rStyle w:val="Refdenotaalpie"/>
          <w:rFonts w:ascii="Verdana" w:hAnsi="Verdana"/>
          <w:color w:val="000000"/>
          <w:sz w:val="20"/>
          <w:szCs w:val="20"/>
          <w:shd w:val="clear" w:color="auto" w:fill="FFFFFF"/>
          <w:lang w:val="es-CR"/>
        </w:rPr>
        <w:footnoteReference w:id="4"/>
      </w:r>
      <w:r w:rsidRPr="007634A0">
        <w:rPr>
          <w:rFonts w:ascii="Verdana" w:hAnsi="Verdana"/>
          <w:color w:val="000000"/>
          <w:sz w:val="20"/>
          <w:szCs w:val="20"/>
          <w:shd w:val="clear" w:color="auto" w:fill="FFFFFF"/>
          <w:lang w:val="es-CR"/>
        </w:rPr>
        <w:t xml:space="preserve"> </w:t>
      </w:r>
      <w:r>
        <w:rPr>
          <w:rFonts w:ascii="Verdana" w:hAnsi="Verdana"/>
          <w:color w:val="000000"/>
          <w:sz w:val="20"/>
          <w:szCs w:val="20"/>
          <w:shd w:val="clear" w:color="auto" w:fill="FFFFFF"/>
          <w:lang w:val="es-CR"/>
        </w:rPr>
        <w:t>y la Comisión Interamericana de Derechos Humanos (en adelante “la Comisión Interamericana”)</w:t>
      </w:r>
      <w:r>
        <w:rPr>
          <w:rStyle w:val="Refdenotaalpie"/>
          <w:rFonts w:ascii="Verdana" w:hAnsi="Verdana"/>
          <w:color w:val="000000"/>
          <w:sz w:val="20"/>
          <w:szCs w:val="20"/>
          <w:shd w:val="clear" w:color="auto" w:fill="FFFFFF"/>
          <w:lang w:val="es-CR"/>
        </w:rPr>
        <w:footnoteReference w:id="5"/>
      </w:r>
      <w:r>
        <w:rPr>
          <w:rFonts w:ascii="Verdana" w:hAnsi="Verdana"/>
          <w:color w:val="000000"/>
          <w:sz w:val="20"/>
          <w:szCs w:val="20"/>
          <w:shd w:val="clear" w:color="auto" w:fill="FFFFFF"/>
          <w:lang w:val="es-CR"/>
        </w:rPr>
        <w:t xml:space="preserve">. </w:t>
      </w:r>
    </w:p>
    <w:p w:rsidR="00590C47" w:rsidRPr="00F23210" w:rsidRDefault="00590C47" w:rsidP="007123C0">
      <w:pPr>
        <w:pStyle w:val="Prrafodelista"/>
        <w:numPr>
          <w:ilvl w:val="0"/>
          <w:numId w:val="2"/>
        </w:numPr>
        <w:spacing w:before="120" w:after="120" w:line="240" w:lineRule="auto"/>
        <w:ind w:left="0" w:firstLine="0"/>
        <w:contextualSpacing w:val="0"/>
        <w:jc w:val="both"/>
        <w:rPr>
          <w:rFonts w:ascii="Verdana" w:hAnsi="Verdana"/>
          <w:b/>
          <w:sz w:val="20"/>
          <w:lang w:val="es-MX"/>
        </w:rPr>
      </w:pPr>
      <w:r>
        <w:rPr>
          <w:rFonts w:ascii="Verdana" w:hAnsi="Verdana"/>
          <w:color w:val="000000"/>
          <w:sz w:val="20"/>
          <w:szCs w:val="20"/>
          <w:shd w:val="clear" w:color="auto" w:fill="FFFFFF"/>
          <w:lang w:val="es-MX"/>
        </w:rPr>
        <w:t>El</w:t>
      </w:r>
      <w:r>
        <w:rPr>
          <w:rFonts w:ascii="Verdana" w:hAnsi="Verdana"/>
          <w:color w:val="000000"/>
          <w:sz w:val="20"/>
          <w:szCs w:val="20"/>
          <w:shd w:val="clear" w:color="auto" w:fill="FFFFFF"/>
          <w:lang w:val="es-CR"/>
        </w:rPr>
        <w:t xml:space="preserve"> escrito presentado el 7 de abril de 2017 por Honduras, mediante el cual remitió un acuerdo suscrito el 31 de marzo de 2017 </w:t>
      </w:r>
      <w:r w:rsidR="005905A9">
        <w:rPr>
          <w:rFonts w:ascii="Verdana" w:hAnsi="Verdana"/>
          <w:color w:val="000000"/>
          <w:sz w:val="20"/>
          <w:szCs w:val="20"/>
          <w:shd w:val="clear" w:color="auto" w:fill="FFFFFF"/>
          <w:lang w:val="es-CR"/>
        </w:rPr>
        <w:t>entre</w:t>
      </w:r>
      <w:r>
        <w:rPr>
          <w:rFonts w:ascii="Verdana" w:hAnsi="Verdana"/>
          <w:color w:val="000000"/>
          <w:sz w:val="20"/>
          <w:szCs w:val="20"/>
          <w:shd w:val="clear" w:color="auto" w:fill="FFFFFF"/>
          <w:lang w:val="es-CR"/>
        </w:rPr>
        <w:t xml:space="preserve"> el</w:t>
      </w:r>
      <w:r w:rsidRPr="00F23210">
        <w:rPr>
          <w:rFonts w:ascii="Verdana" w:hAnsi="Verdana"/>
          <w:sz w:val="20"/>
          <w:lang w:val="es-CR"/>
        </w:rPr>
        <w:t xml:space="preserve"> Instituto Nacional Penitenciario</w:t>
      </w:r>
      <w:r>
        <w:rPr>
          <w:rFonts w:ascii="Verdana" w:hAnsi="Verdana"/>
          <w:color w:val="000000"/>
          <w:sz w:val="20"/>
          <w:szCs w:val="20"/>
          <w:shd w:val="clear" w:color="auto" w:fill="FFFFFF"/>
          <w:lang w:val="es-CR"/>
        </w:rPr>
        <w:t xml:space="preserve"> y los representantes de las víctimas en relación con la forma de cumplir con el </w:t>
      </w:r>
      <w:r w:rsidRPr="00F23210">
        <w:rPr>
          <w:rFonts w:ascii="Verdana" w:hAnsi="Verdana"/>
          <w:sz w:val="20"/>
          <w:lang w:val="es-CR"/>
        </w:rPr>
        <w:t>pago de las indemnizaciones por daño</w:t>
      </w:r>
      <w:r w:rsidR="00F42163">
        <w:rPr>
          <w:rFonts w:ascii="Verdana" w:hAnsi="Verdana"/>
          <w:sz w:val="20"/>
          <w:lang w:val="es-CR"/>
        </w:rPr>
        <w:t>s</w:t>
      </w:r>
      <w:r w:rsidRPr="00F23210">
        <w:rPr>
          <w:rFonts w:ascii="Verdana" w:hAnsi="Verdana"/>
          <w:sz w:val="20"/>
          <w:lang w:val="es-CR"/>
        </w:rPr>
        <w:t xml:space="preserve"> material</w:t>
      </w:r>
      <w:r w:rsidR="00F42163">
        <w:rPr>
          <w:rFonts w:ascii="Verdana" w:hAnsi="Verdana"/>
          <w:sz w:val="20"/>
          <w:lang w:val="es-CR"/>
        </w:rPr>
        <w:t>es</w:t>
      </w:r>
      <w:r w:rsidRPr="00F23210">
        <w:rPr>
          <w:rFonts w:ascii="Verdana" w:hAnsi="Verdana"/>
          <w:sz w:val="20"/>
          <w:lang w:val="es-CR"/>
        </w:rPr>
        <w:t xml:space="preserve"> e inmaterial</w:t>
      </w:r>
      <w:r w:rsidR="00F42163">
        <w:rPr>
          <w:rFonts w:ascii="Verdana" w:hAnsi="Verdana"/>
          <w:sz w:val="20"/>
          <w:lang w:val="es-CR"/>
        </w:rPr>
        <w:t>es</w:t>
      </w:r>
      <w:r w:rsidRPr="00F23210">
        <w:rPr>
          <w:rFonts w:ascii="Verdana" w:hAnsi="Verdana"/>
          <w:sz w:val="20"/>
          <w:lang w:val="es-CR"/>
        </w:rPr>
        <w:t xml:space="preserve"> y el reintegro de costas y gastos</w:t>
      </w:r>
      <w:r>
        <w:rPr>
          <w:rFonts w:ascii="Verdana" w:hAnsi="Verdana"/>
          <w:sz w:val="20"/>
          <w:lang w:val="es-CR"/>
        </w:rPr>
        <w:t xml:space="preserve"> (</w:t>
      </w:r>
      <w:r w:rsidRPr="007334DC">
        <w:rPr>
          <w:rFonts w:ascii="Verdana" w:hAnsi="Verdana"/>
          <w:i/>
          <w:sz w:val="20"/>
          <w:lang w:val="es-CR"/>
        </w:rPr>
        <w:t>infra</w:t>
      </w:r>
      <w:r>
        <w:rPr>
          <w:rFonts w:ascii="Verdana" w:hAnsi="Verdana"/>
          <w:sz w:val="20"/>
          <w:lang w:val="es-CR"/>
        </w:rPr>
        <w:t xml:space="preserve"> </w:t>
      </w:r>
      <w:r w:rsidRPr="008A4972">
        <w:rPr>
          <w:rFonts w:ascii="Verdana" w:hAnsi="Verdana"/>
          <w:sz w:val="20"/>
          <w:lang w:val="es-CR"/>
        </w:rPr>
        <w:t>Considerando</w:t>
      </w:r>
      <w:r w:rsidR="00E42AB4">
        <w:rPr>
          <w:rFonts w:ascii="Verdana" w:hAnsi="Verdana"/>
          <w:sz w:val="20"/>
          <w:lang w:val="es-CR"/>
        </w:rPr>
        <w:t>s</w:t>
      </w:r>
      <w:r w:rsidRPr="008A4972">
        <w:rPr>
          <w:rFonts w:ascii="Verdana" w:hAnsi="Verdana"/>
          <w:sz w:val="20"/>
          <w:lang w:val="es-CR"/>
        </w:rPr>
        <w:t xml:space="preserve"> </w:t>
      </w:r>
      <w:r w:rsidR="00CF3B8E">
        <w:rPr>
          <w:rFonts w:ascii="Verdana" w:hAnsi="Verdana"/>
          <w:sz w:val="20"/>
          <w:lang w:val="es-CR"/>
        </w:rPr>
        <w:t>3</w:t>
      </w:r>
      <w:r w:rsidR="00E42AB4">
        <w:rPr>
          <w:rFonts w:ascii="Verdana" w:hAnsi="Verdana"/>
          <w:sz w:val="20"/>
          <w:lang w:val="es-CR"/>
        </w:rPr>
        <w:t xml:space="preserve"> y 8 a 10</w:t>
      </w:r>
      <w:r w:rsidRPr="008A4972">
        <w:rPr>
          <w:rFonts w:ascii="Verdana" w:hAnsi="Verdana"/>
          <w:sz w:val="20"/>
          <w:lang w:val="es-CR"/>
        </w:rPr>
        <w:t>), y</w:t>
      </w:r>
      <w:r>
        <w:rPr>
          <w:rFonts w:ascii="Verdana" w:hAnsi="Verdana"/>
          <w:sz w:val="20"/>
          <w:lang w:val="es-CR"/>
        </w:rPr>
        <w:t xml:space="preserve"> solicitó a la Corte su homologación</w:t>
      </w:r>
      <w:r w:rsidRPr="00F23210">
        <w:rPr>
          <w:rFonts w:ascii="Verdana" w:hAnsi="Verdana"/>
          <w:sz w:val="20"/>
          <w:lang w:val="es-CR"/>
        </w:rPr>
        <w:t xml:space="preserve">. </w:t>
      </w:r>
    </w:p>
    <w:p w:rsidR="00E42AB4" w:rsidRPr="00E42AB4" w:rsidRDefault="00590C47" w:rsidP="00E42AB4">
      <w:pPr>
        <w:pStyle w:val="Prrafodelista"/>
        <w:numPr>
          <w:ilvl w:val="0"/>
          <w:numId w:val="2"/>
        </w:numPr>
        <w:autoSpaceDE w:val="0"/>
        <w:autoSpaceDN w:val="0"/>
        <w:spacing w:before="120" w:after="120" w:line="240" w:lineRule="auto"/>
        <w:ind w:left="0" w:firstLine="0"/>
        <w:contextualSpacing w:val="0"/>
        <w:jc w:val="both"/>
        <w:rPr>
          <w:rFonts w:ascii="Verdana" w:hAnsi="Verdana"/>
          <w:sz w:val="20"/>
          <w:lang w:val="es-CR"/>
        </w:rPr>
      </w:pPr>
      <w:r>
        <w:rPr>
          <w:rFonts w:ascii="Verdana" w:hAnsi="Verdana"/>
          <w:sz w:val="20"/>
          <w:lang w:val="es-MX"/>
        </w:rPr>
        <w:t xml:space="preserve">El escrito presentado el 3 de mayo de 2017 por los representantes de las </w:t>
      </w:r>
      <w:r w:rsidRPr="00BA00E9">
        <w:rPr>
          <w:rFonts w:ascii="Verdana" w:hAnsi="Verdana"/>
          <w:sz w:val="20"/>
          <w:lang w:val="es-MX"/>
        </w:rPr>
        <w:t>víctimas, mediante el cual también solicitaron la homologación del r</w:t>
      </w:r>
      <w:r w:rsidR="00E42AB4">
        <w:rPr>
          <w:rFonts w:ascii="Verdana" w:hAnsi="Verdana"/>
          <w:sz w:val="20"/>
          <w:lang w:val="es-MX"/>
        </w:rPr>
        <w:t>eferido acuerdo de 31 de marzo.</w:t>
      </w:r>
    </w:p>
    <w:p w:rsidR="00E42AB4" w:rsidRPr="00E42AB4" w:rsidRDefault="00E42AB4" w:rsidP="00E42AB4">
      <w:pPr>
        <w:pStyle w:val="Prrafodelista"/>
        <w:numPr>
          <w:ilvl w:val="0"/>
          <w:numId w:val="2"/>
        </w:numPr>
        <w:autoSpaceDE w:val="0"/>
        <w:autoSpaceDN w:val="0"/>
        <w:spacing w:before="120" w:after="120" w:line="240" w:lineRule="auto"/>
        <w:ind w:left="0" w:firstLine="0"/>
        <w:contextualSpacing w:val="0"/>
        <w:jc w:val="both"/>
        <w:rPr>
          <w:rFonts w:ascii="Verdana" w:hAnsi="Verdana"/>
          <w:sz w:val="20"/>
          <w:lang w:val="es-CR"/>
        </w:rPr>
      </w:pPr>
      <w:r w:rsidRPr="00E42AB4">
        <w:rPr>
          <w:rFonts w:ascii="Verdana" w:hAnsi="Verdana"/>
          <w:sz w:val="20"/>
          <w:lang w:val="es-CR"/>
        </w:rPr>
        <w:t xml:space="preserve">La nota de la Secretaría de la Corte de </w:t>
      </w:r>
      <w:r>
        <w:rPr>
          <w:rFonts w:ascii="Verdana" w:hAnsi="Verdana"/>
          <w:sz w:val="20"/>
          <w:lang w:val="es-CR"/>
        </w:rPr>
        <w:t>4 de mayo de 2017</w:t>
      </w:r>
      <w:r w:rsidRPr="00E42AB4">
        <w:rPr>
          <w:rFonts w:ascii="Verdana" w:hAnsi="Verdana"/>
          <w:sz w:val="20"/>
          <w:lang w:val="es-CR"/>
        </w:rPr>
        <w:t>, mediante la cual,</w:t>
      </w:r>
      <w:r>
        <w:rPr>
          <w:rFonts w:ascii="Verdana" w:hAnsi="Verdana"/>
          <w:sz w:val="20"/>
          <w:lang w:val="es-CR"/>
        </w:rPr>
        <w:t xml:space="preserve"> </w:t>
      </w:r>
      <w:r w:rsidRPr="00E42AB4">
        <w:rPr>
          <w:rFonts w:ascii="Verdana" w:hAnsi="Verdana"/>
          <w:sz w:val="20"/>
          <w:lang w:val="es-CR"/>
        </w:rPr>
        <w:t>siguiendo instrucciones del Presidente del Tribunal,</w:t>
      </w:r>
      <w:r>
        <w:rPr>
          <w:rFonts w:ascii="Verdana" w:hAnsi="Verdana"/>
          <w:sz w:val="20"/>
          <w:lang w:val="es-CR"/>
        </w:rPr>
        <w:t xml:space="preserve"> se solicit</w:t>
      </w:r>
      <w:r w:rsidR="00DD02AF">
        <w:rPr>
          <w:rFonts w:ascii="Verdana" w:hAnsi="Verdana"/>
          <w:sz w:val="20"/>
          <w:lang w:val="es-CR"/>
        </w:rPr>
        <w:t>aron</w:t>
      </w:r>
      <w:r>
        <w:rPr>
          <w:rFonts w:ascii="Verdana" w:hAnsi="Verdana"/>
          <w:sz w:val="20"/>
          <w:lang w:val="es-CR"/>
        </w:rPr>
        <w:t xml:space="preserve"> al Estado </w:t>
      </w:r>
      <w:r w:rsidR="00DD02AF">
        <w:rPr>
          <w:rFonts w:ascii="Verdana" w:hAnsi="Verdana"/>
          <w:color w:val="000000"/>
          <w:sz w:val="20"/>
          <w:szCs w:val="20"/>
          <w:shd w:val="clear" w:color="auto" w:fill="FFFFFF"/>
          <w:lang w:val="es-CR"/>
        </w:rPr>
        <w:t>explicaciones respecto a una cláusula del acuerdo y un anexo al mismo.</w:t>
      </w:r>
    </w:p>
    <w:p w:rsidR="00590C47" w:rsidRPr="00D042C0" w:rsidRDefault="00590C47" w:rsidP="007123C0">
      <w:pPr>
        <w:pStyle w:val="Prrafodelista"/>
        <w:numPr>
          <w:ilvl w:val="0"/>
          <w:numId w:val="2"/>
        </w:numPr>
        <w:autoSpaceDE w:val="0"/>
        <w:autoSpaceDN w:val="0"/>
        <w:spacing w:before="120" w:after="120" w:line="240" w:lineRule="auto"/>
        <w:ind w:left="0" w:firstLine="0"/>
        <w:contextualSpacing w:val="0"/>
        <w:jc w:val="both"/>
        <w:rPr>
          <w:rFonts w:ascii="Verdana" w:hAnsi="Verdana"/>
          <w:sz w:val="20"/>
          <w:lang w:val="es-CR"/>
        </w:rPr>
      </w:pPr>
      <w:r>
        <w:rPr>
          <w:rFonts w:ascii="Verdana" w:hAnsi="Verdana"/>
          <w:color w:val="000000"/>
          <w:sz w:val="20"/>
          <w:szCs w:val="20"/>
          <w:shd w:val="clear" w:color="auto" w:fill="FFFFFF"/>
          <w:lang w:val="es-CR"/>
        </w:rPr>
        <w:t xml:space="preserve">El escrito presentado el </w:t>
      </w:r>
      <w:r w:rsidRPr="00052366">
        <w:rPr>
          <w:rFonts w:ascii="Verdana" w:hAnsi="Verdana"/>
          <w:color w:val="000000"/>
          <w:sz w:val="20"/>
          <w:szCs w:val="20"/>
          <w:shd w:val="clear" w:color="auto" w:fill="FFFFFF"/>
          <w:lang w:val="es-CR"/>
        </w:rPr>
        <w:t>11 de mayo de</w:t>
      </w:r>
      <w:r>
        <w:rPr>
          <w:rFonts w:ascii="Verdana" w:hAnsi="Verdana"/>
          <w:color w:val="000000"/>
          <w:sz w:val="20"/>
          <w:szCs w:val="20"/>
          <w:shd w:val="clear" w:color="auto" w:fill="FFFFFF"/>
          <w:lang w:val="es-CR"/>
        </w:rPr>
        <w:t xml:space="preserve"> 2017 por el Estado, mediante el cual aportó</w:t>
      </w:r>
      <w:r w:rsidR="00DD02AF">
        <w:rPr>
          <w:rFonts w:ascii="Verdana" w:hAnsi="Verdana"/>
          <w:color w:val="000000"/>
          <w:sz w:val="20"/>
          <w:szCs w:val="20"/>
          <w:shd w:val="clear" w:color="auto" w:fill="FFFFFF"/>
          <w:lang w:val="es-CR"/>
        </w:rPr>
        <w:t xml:space="preserve"> un informe en respuesta a la nota de la Secretaría de la Corte</w:t>
      </w:r>
      <w:r w:rsidR="00204E39">
        <w:rPr>
          <w:rFonts w:ascii="Verdana" w:hAnsi="Verdana"/>
          <w:color w:val="000000"/>
          <w:sz w:val="20"/>
          <w:szCs w:val="20"/>
          <w:shd w:val="clear" w:color="auto" w:fill="FFFFFF"/>
          <w:lang w:val="es-CR"/>
        </w:rPr>
        <w:t xml:space="preserve"> de 4 de mayo de ese mismo año.</w:t>
      </w:r>
      <w:r>
        <w:rPr>
          <w:rFonts w:ascii="Verdana" w:hAnsi="Verdana"/>
          <w:color w:val="000000"/>
          <w:sz w:val="20"/>
          <w:szCs w:val="20"/>
          <w:shd w:val="clear" w:color="auto" w:fill="FFFFFF"/>
          <w:lang w:val="es-CR"/>
        </w:rPr>
        <w:t xml:space="preserve"> </w:t>
      </w:r>
    </w:p>
    <w:p w:rsidR="00D042C0" w:rsidRPr="00D042C0" w:rsidRDefault="00D042C0" w:rsidP="007123C0">
      <w:pPr>
        <w:pStyle w:val="Prrafodelista"/>
        <w:numPr>
          <w:ilvl w:val="0"/>
          <w:numId w:val="2"/>
        </w:numPr>
        <w:autoSpaceDE w:val="0"/>
        <w:autoSpaceDN w:val="0"/>
        <w:spacing w:before="120" w:after="120" w:line="240" w:lineRule="auto"/>
        <w:ind w:left="0" w:firstLine="0"/>
        <w:contextualSpacing w:val="0"/>
        <w:jc w:val="both"/>
        <w:rPr>
          <w:rFonts w:ascii="Verdana" w:hAnsi="Verdana"/>
          <w:sz w:val="20"/>
          <w:lang w:val="es-CR"/>
        </w:rPr>
      </w:pPr>
      <w:r>
        <w:rPr>
          <w:rFonts w:ascii="Verdana" w:hAnsi="Verdana"/>
          <w:sz w:val="20"/>
          <w:lang w:val="es-CR"/>
        </w:rPr>
        <w:t>El escrito presentado el 19 de mayo de 2017 por los representantes de las víctimas, mediante el cual remitieron sus observaciones al informe estatal de 11 de mayo de 2017.</w:t>
      </w:r>
      <w:r w:rsidR="00441886">
        <w:rPr>
          <w:rFonts w:ascii="Verdana" w:hAnsi="Verdana"/>
          <w:sz w:val="20"/>
          <w:lang w:val="es-CR"/>
        </w:rPr>
        <w:t xml:space="preserve"> </w:t>
      </w:r>
    </w:p>
    <w:p w:rsidR="00D042C0" w:rsidRPr="007123C0" w:rsidRDefault="00D042C0" w:rsidP="00D042C0">
      <w:pPr>
        <w:pStyle w:val="Prrafodelista"/>
        <w:autoSpaceDE w:val="0"/>
        <w:autoSpaceDN w:val="0"/>
        <w:spacing w:after="0" w:line="240" w:lineRule="auto"/>
        <w:ind w:left="0"/>
        <w:contextualSpacing w:val="0"/>
        <w:jc w:val="both"/>
        <w:rPr>
          <w:rFonts w:ascii="Verdana" w:hAnsi="Verdana"/>
          <w:sz w:val="12"/>
          <w:lang w:val="es-CR"/>
        </w:rPr>
      </w:pPr>
    </w:p>
    <w:p w:rsidR="00590C47" w:rsidRDefault="00590C47" w:rsidP="00590C47">
      <w:pPr>
        <w:pStyle w:val="Prrafodelista"/>
        <w:spacing w:after="0" w:line="240" w:lineRule="auto"/>
        <w:ind w:left="0"/>
        <w:contextualSpacing w:val="0"/>
        <w:jc w:val="both"/>
        <w:rPr>
          <w:rFonts w:ascii="Verdana" w:hAnsi="Verdana"/>
          <w:b/>
          <w:sz w:val="20"/>
          <w:lang w:val="es-MX"/>
        </w:rPr>
      </w:pPr>
      <w:r w:rsidRPr="009B4B9D">
        <w:rPr>
          <w:rFonts w:ascii="Verdana" w:hAnsi="Verdana"/>
          <w:b/>
          <w:sz w:val="20"/>
          <w:szCs w:val="20"/>
          <w:lang w:val="es-CR"/>
        </w:rPr>
        <w:t>C</w:t>
      </w:r>
      <w:r w:rsidRPr="009B4B9D">
        <w:rPr>
          <w:rFonts w:ascii="Verdana" w:hAnsi="Verdana"/>
          <w:b/>
          <w:sz w:val="20"/>
          <w:lang w:val="es-MX"/>
        </w:rPr>
        <w:t xml:space="preserve">ONSIDERANDO QUE: </w:t>
      </w:r>
    </w:p>
    <w:p w:rsidR="00590C47" w:rsidRPr="00306751" w:rsidRDefault="00590C47" w:rsidP="00590C47">
      <w:pPr>
        <w:pStyle w:val="Prrafodelista"/>
        <w:spacing w:after="0" w:line="240" w:lineRule="auto"/>
        <w:ind w:left="0"/>
        <w:contextualSpacing w:val="0"/>
        <w:jc w:val="both"/>
        <w:rPr>
          <w:rFonts w:ascii="Verdana" w:hAnsi="Verdana"/>
          <w:sz w:val="14"/>
          <w:lang w:val="es-MX"/>
        </w:rPr>
      </w:pPr>
    </w:p>
    <w:p w:rsidR="00590C47" w:rsidRPr="00D32827" w:rsidRDefault="00590C47" w:rsidP="004477BE">
      <w:pPr>
        <w:pStyle w:val="Prrafodelista"/>
        <w:numPr>
          <w:ilvl w:val="0"/>
          <w:numId w:val="3"/>
        </w:numPr>
        <w:spacing w:before="120" w:after="120" w:line="240" w:lineRule="auto"/>
        <w:ind w:left="0" w:firstLine="0"/>
        <w:contextualSpacing w:val="0"/>
        <w:jc w:val="both"/>
        <w:rPr>
          <w:rFonts w:ascii="Verdana" w:hAnsi="Verdana"/>
          <w:b/>
          <w:sz w:val="20"/>
          <w:lang w:val="es-MX"/>
        </w:rPr>
      </w:pPr>
      <w:r w:rsidRPr="009B4B9D">
        <w:rPr>
          <w:rFonts w:ascii="Verdana" w:hAnsi="Verdana"/>
          <w:sz w:val="20"/>
          <w:lang w:val="es-CR"/>
        </w:rPr>
        <w:t xml:space="preserve">En el ejercicio de </w:t>
      </w:r>
      <w:r w:rsidRPr="009B4B9D">
        <w:rPr>
          <w:rFonts w:ascii="Verdana" w:hAnsi="Verdana"/>
          <w:sz w:val="20"/>
          <w:lang w:val="es-ES"/>
        </w:rPr>
        <w:t xml:space="preserve">su función jurisdiccional de </w:t>
      </w:r>
      <w:r w:rsidRPr="009B4B9D">
        <w:rPr>
          <w:rFonts w:ascii="Verdana" w:hAnsi="Verdana"/>
          <w:sz w:val="20"/>
          <w:lang w:val="es-CR"/>
        </w:rPr>
        <w:t>supervisar el cumplimiento de sus decisiones</w:t>
      </w:r>
      <w:r w:rsidRPr="009B4B9D">
        <w:rPr>
          <w:rStyle w:val="Refdenotaalpie"/>
          <w:rFonts w:ascii="Verdana" w:hAnsi="Verdana"/>
          <w:sz w:val="20"/>
        </w:rPr>
        <w:footnoteReference w:id="6"/>
      </w:r>
      <w:r w:rsidRPr="009B4B9D">
        <w:rPr>
          <w:rFonts w:ascii="Verdana" w:hAnsi="Verdana"/>
          <w:sz w:val="20"/>
          <w:lang w:val="es-CR"/>
        </w:rPr>
        <w:t xml:space="preserve">, la Corte ha venido supervisando la ejecución de la Sentencia emitida </w:t>
      </w:r>
      <w:r>
        <w:rPr>
          <w:rFonts w:ascii="Verdana" w:hAnsi="Verdana"/>
          <w:sz w:val="20"/>
          <w:lang w:val="es-CR"/>
        </w:rPr>
        <w:t>hace más de cinco años</w:t>
      </w:r>
      <w:r>
        <w:rPr>
          <w:rFonts w:ascii="Verdana" w:hAnsi="Verdana"/>
          <w:sz w:val="20"/>
          <w:lang w:val="es-MX"/>
        </w:rPr>
        <w:t>.</w:t>
      </w:r>
      <w:r w:rsidRPr="009B4B9D">
        <w:rPr>
          <w:rFonts w:ascii="Verdana" w:hAnsi="Verdana"/>
          <w:sz w:val="20"/>
          <w:lang w:val="es-MX"/>
        </w:rPr>
        <w:t xml:space="preserve"> </w:t>
      </w:r>
      <w:r w:rsidRPr="00D32827">
        <w:rPr>
          <w:rFonts w:ascii="Verdana" w:hAnsi="Verdana"/>
          <w:sz w:val="20"/>
          <w:szCs w:val="20"/>
          <w:lang w:val="es-CR"/>
        </w:rPr>
        <w:t xml:space="preserve">En la Sentencia la Corte </w:t>
      </w:r>
      <w:r>
        <w:rPr>
          <w:rFonts w:ascii="Verdana" w:hAnsi="Verdana"/>
          <w:sz w:val="20"/>
          <w:szCs w:val="20"/>
          <w:lang w:val="es-CR"/>
        </w:rPr>
        <w:t>ordenó y homologó once</w:t>
      </w:r>
      <w:r w:rsidRPr="00D32827">
        <w:rPr>
          <w:rFonts w:ascii="Verdana" w:hAnsi="Verdana"/>
          <w:sz w:val="20"/>
          <w:szCs w:val="20"/>
          <w:lang w:val="es-CR"/>
        </w:rPr>
        <w:t xml:space="preserve"> medidas de reparación</w:t>
      </w:r>
      <w:r>
        <w:rPr>
          <w:rStyle w:val="Refdenotaalpie"/>
          <w:rFonts w:ascii="Verdana" w:hAnsi="Verdana"/>
          <w:sz w:val="20"/>
          <w:szCs w:val="20"/>
          <w:lang w:val="es-CR"/>
        </w:rPr>
        <w:footnoteReference w:id="7"/>
      </w:r>
      <w:r>
        <w:rPr>
          <w:rFonts w:ascii="Verdana" w:hAnsi="Verdana"/>
          <w:sz w:val="20"/>
          <w:szCs w:val="20"/>
          <w:lang w:val="es-CR"/>
        </w:rPr>
        <w:t>.</w:t>
      </w:r>
    </w:p>
    <w:p w:rsidR="00590C47" w:rsidRPr="006A08FC" w:rsidRDefault="00590C47" w:rsidP="004477BE">
      <w:pPr>
        <w:pStyle w:val="Prrafodelista"/>
        <w:numPr>
          <w:ilvl w:val="0"/>
          <w:numId w:val="3"/>
        </w:numPr>
        <w:spacing w:before="120" w:after="120" w:line="240" w:lineRule="auto"/>
        <w:ind w:left="0" w:firstLine="0"/>
        <w:contextualSpacing w:val="0"/>
        <w:jc w:val="both"/>
        <w:rPr>
          <w:rFonts w:ascii="Verdana" w:hAnsi="Verdana"/>
          <w:b/>
          <w:sz w:val="20"/>
          <w:lang w:val="es-MX"/>
        </w:rPr>
      </w:pPr>
      <w:r w:rsidRPr="009B4B9D">
        <w:rPr>
          <w:rFonts w:ascii="Verdana" w:hAnsi="Verdana"/>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w:t>
      </w:r>
      <w:r w:rsidR="005905A9">
        <w:rPr>
          <w:rFonts w:ascii="Verdana" w:hAnsi="Verdana"/>
          <w:sz w:val="20"/>
          <w:szCs w:val="20"/>
          <w:lang w:val="es-CR"/>
        </w:rPr>
        <w:t xml:space="preserve"> por ésta</w:t>
      </w:r>
      <w:r w:rsidRPr="009B4B9D">
        <w:rPr>
          <w:rFonts w:ascii="Verdana" w:hAnsi="Verdana"/>
          <w:sz w:val="20"/>
          <w:szCs w:val="20"/>
          <w:lang w:val="es-CR"/>
        </w:rPr>
        <w:t xml:space="preserve">, lo cual es fundamental para evaluar el estado de cumplimiento de la Sentencia en su </w:t>
      </w:r>
      <w:r w:rsidRPr="009B4B9D">
        <w:rPr>
          <w:rFonts w:ascii="Verdana" w:hAnsi="Verdana"/>
          <w:sz w:val="20"/>
          <w:szCs w:val="20"/>
          <w:lang w:val="es-CR"/>
        </w:rPr>
        <w:lastRenderedPageBreak/>
        <w:t>conjunto</w:t>
      </w:r>
      <w:r w:rsidRPr="009B4B9D">
        <w:rPr>
          <w:rStyle w:val="Refdenotaalpie"/>
          <w:rFonts w:ascii="Verdana" w:hAnsi="Verdana"/>
          <w:sz w:val="20"/>
          <w:szCs w:val="20"/>
        </w:rPr>
        <w:footnoteReference w:id="8"/>
      </w:r>
      <w:r w:rsidRPr="009B4B9D">
        <w:rPr>
          <w:rFonts w:ascii="Verdana" w:hAnsi="Verdana"/>
          <w:sz w:val="20"/>
          <w:szCs w:val="20"/>
          <w:lang w:val="es-CR"/>
        </w:rPr>
        <w:t>.</w:t>
      </w:r>
      <w:r>
        <w:rPr>
          <w:rFonts w:ascii="Times New Roman" w:hAnsi="Times New Roman"/>
          <w:sz w:val="24"/>
          <w:szCs w:val="24"/>
          <w:lang w:val="es-CR"/>
        </w:rPr>
        <w:t xml:space="preserve"> </w:t>
      </w:r>
      <w:r w:rsidRPr="006A08FC">
        <w:rPr>
          <w:rFonts w:ascii="Verdana" w:hAnsi="Verdana"/>
          <w:sz w:val="20"/>
          <w:szCs w:val="20"/>
          <w:lang w:val="es-CR"/>
        </w:rPr>
        <w:t>Los Estados Parte en la Convención deben garantizar el cumplimiento de las disposiciones convencionales y sus efectos propios (</w:t>
      </w:r>
      <w:r w:rsidRPr="006A08FC">
        <w:rPr>
          <w:rFonts w:ascii="Verdana" w:hAnsi="Verdana"/>
          <w:i/>
          <w:sz w:val="20"/>
          <w:szCs w:val="20"/>
          <w:lang w:val="es-CR"/>
        </w:rPr>
        <w:t>effet utile</w:t>
      </w:r>
      <w:r w:rsidRPr="006A08FC">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9B4B9D">
        <w:rPr>
          <w:rStyle w:val="Refdenotaalpie"/>
          <w:rFonts w:ascii="Verdana" w:hAnsi="Verdana"/>
          <w:sz w:val="20"/>
          <w:szCs w:val="20"/>
          <w:lang w:val="es-CR"/>
        </w:rPr>
        <w:footnoteReference w:id="9"/>
      </w:r>
      <w:r w:rsidRPr="006A08FC">
        <w:rPr>
          <w:rFonts w:ascii="Verdana" w:hAnsi="Verdana"/>
          <w:sz w:val="20"/>
          <w:szCs w:val="20"/>
          <w:lang w:val="es-CR"/>
        </w:rPr>
        <w:t>.</w:t>
      </w:r>
    </w:p>
    <w:p w:rsidR="00590C47" w:rsidRPr="00A870DF" w:rsidRDefault="00590C47" w:rsidP="004477BE">
      <w:pPr>
        <w:pStyle w:val="Prrafodelista"/>
        <w:numPr>
          <w:ilvl w:val="0"/>
          <w:numId w:val="3"/>
        </w:numPr>
        <w:spacing w:after="0" w:line="240" w:lineRule="auto"/>
        <w:ind w:left="0" w:firstLine="0"/>
        <w:contextualSpacing w:val="0"/>
        <w:jc w:val="both"/>
        <w:rPr>
          <w:rFonts w:ascii="Verdana" w:hAnsi="Verdana"/>
          <w:sz w:val="20"/>
          <w:szCs w:val="20"/>
          <w:lang w:val="es-CR"/>
        </w:rPr>
      </w:pPr>
      <w:r w:rsidRPr="009B4B9D">
        <w:rPr>
          <w:rFonts w:ascii="Verdana" w:hAnsi="Verdana"/>
          <w:sz w:val="20"/>
          <w:lang w:val="es-CR"/>
        </w:rPr>
        <w:t>L</w:t>
      </w:r>
      <w:r w:rsidRPr="009B4B9D">
        <w:rPr>
          <w:rFonts w:ascii="Verdana" w:hAnsi="Verdana"/>
          <w:sz w:val="20"/>
          <w:lang w:val="es-MX"/>
        </w:rPr>
        <w:t xml:space="preserve">a Corte </w:t>
      </w:r>
      <w:r>
        <w:rPr>
          <w:rFonts w:ascii="Verdana" w:hAnsi="Verdana"/>
          <w:sz w:val="20"/>
          <w:lang w:val="es-MX"/>
        </w:rPr>
        <w:t>se pronunciará sobre las solicitudes efectuadas en abril y mayo de 2017 tanto por el Estado como por los representantes de las víctimas (</w:t>
      </w:r>
      <w:r w:rsidRPr="003D2365">
        <w:rPr>
          <w:rFonts w:ascii="Verdana" w:hAnsi="Verdana"/>
          <w:i/>
          <w:sz w:val="20"/>
          <w:lang w:val="es-MX"/>
        </w:rPr>
        <w:t>supra</w:t>
      </w:r>
      <w:r>
        <w:rPr>
          <w:rFonts w:ascii="Verdana" w:hAnsi="Verdana"/>
          <w:sz w:val="20"/>
          <w:lang w:val="es-MX"/>
        </w:rPr>
        <w:t xml:space="preserve"> Vistos 3 y 4), para que este Tribunal homologue el reciente acuerdo que suscribieron relativo a la forma de efectuar los pagos de las indemnizaciones por </w:t>
      </w:r>
      <w:r w:rsidR="001B4E8B">
        <w:rPr>
          <w:rFonts w:ascii="Verdana" w:hAnsi="Verdana"/>
          <w:sz w:val="20"/>
          <w:lang w:val="es-MX"/>
        </w:rPr>
        <w:t xml:space="preserve">concepto de </w:t>
      </w:r>
      <w:r>
        <w:rPr>
          <w:rFonts w:ascii="Verdana" w:hAnsi="Verdana"/>
          <w:sz w:val="20"/>
          <w:lang w:val="es-MX"/>
        </w:rPr>
        <w:t xml:space="preserve">daños materiales e inmateriales y el reintegro de costas y gastos, ordenados en la Sentencia. Se trata de una solicitud urgente de resolver, tomando </w:t>
      </w:r>
      <w:r w:rsidRPr="0013651F">
        <w:rPr>
          <w:rFonts w:ascii="Verdana" w:hAnsi="Verdana"/>
          <w:sz w:val="20"/>
          <w:lang w:val="es-MX"/>
        </w:rPr>
        <w:t>en cuenta que han transcurrido cinco años desde la emisión de la Sentencia sin que las víctimas hayan recibido ningún monto de las indemnizaciones ordenadas (</w:t>
      </w:r>
      <w:r w:rsidRPr="0013651F">
        <w:rPr>
          <w:rFonts w:ascii="Verdana" w:hAnsi="Verdana"/>
          <w:i/>
          <w:sz w:val="20"/>
          <w:lang w:val="es-MX"/>
        </w:rPr>
        <w:t>infra</w:t>
      </w:r>
      <w:r w:rsidRPr="0013651F">
        <w:rPr>
          <w:rFonts w:ascii="Verdana" w:hAnsi="Verdana"/>
          <w:sz w:val="20"/>
          <w:lang w:val="es-MX"/>
        </w:rPr>
        <w:t xml:space="preserve"> Considerando </w:t>
      </w:r>
      <w:r w:rsidR="00CF3B8E">
        <w:rPr>
          <w:rFonts w:ascii="Verdana" w:hAnsi="Verdana"/>
          <w:sz w:val="20"/>
          <w:lang w:val="es-MX"/>
        </w:rPr>
        <w:t>6</w:t>
      </w:r>
      <w:r w:rsidRPr="0013651F">
        <w:rPr>
          <w:rFonts w:ascii="Verdana" w:hAnsi="Verdana"/>
          <w:sz w:val="20"/>
          <w:lang w:val="es-MX"/>
        </w:rPr>
        <w:t xml:space="preserve">). </w:t>
      </w:r>
      <w:r w:rsidRPr="0013651F">
        <w:rPr>
          <w:rFonts w:ascii="Verdana" w:hAnsi="Verdana"/>
          <w:sz w:val="20"/>
          <w:szCs w:val="20"/>
          <w:lang w:val="es-CR"/>
        </w:rPr>
        <w:t>En una posterior resolución el Tribunal se pronunciará sobre las demás reparaciones pendientes</w:t>
      </w:r>
      <w:r w:rsidRPr="00F7406C">
        <w:rPr>
          <w:rFonts w:ascii="Verdana" w:hAnsi="Verdana"/>
          <w:sz w:val="20"/>
          <w:szCs w:val="20"/>
          <w:lang w:val="es-CR"/>
        </w:rPr>
        <w:t xml:space="preserve"> de cumplimiento (</w:t>
      </w:r>
      <w:r w:rsidRPr="00F7406C">
        <w:rPr>
          <w:rFonts w:ascii="Verdana" w:hAnsi="Verdana"/>
          <w:i/>
          <w:sz w:val="20"/>
          <w:szCs w:val="20"/>
          <w:lang w:val="es-CR"/>
        </w:rPr>
        <w:t>supra</w:t>
      </w:r>
      <w:r w:rsidRPr="00F7406C">
        <w:rPr>
          <w:rFonts w:ascii="Verdana" w:hAnsi="Verdana"/>
          <w:sz w:val="20"/>
          <w:szCs w:val="20"/>
          <w:lang w:val="es-CR"/>
        </w:rPr>
        <w:t xml:space="preserve"> Considerando 1)</w:t>
      </w:r>
      <w:r>
        <w:rPr>
          <w:rFonts w:ascii="Verdana" w:hAnsi="Verdana"/>
          <w:sz w:val="20"/>
          <w:szCs w:val="20"/>
          <w:lang w:val="es-CR"/>
        </w:rPr>
        <w:t>.</w:t>
      </w:r>
    </w:p>
    <w:p w:rsidR="00590C47" w:rsidRPr="00056B07" w:rsidRDefault="00590C47" w:rsidP="00590C47">
      <w:pPr>
        <w:pStyle w:val="Prrafodelista"/>
        <w:spacing w:after="0" w:line="240" w:lineRule="auto"/>
        <w:ind w:left="0"/>
        <w:contextualSpacing w:val="0"/>
        <w:jc w:val="both"/>
        <w:outlineLvl w:val="0"/>
        <w:rPr>
          <w:rFonts w:ascii="Verdana" w:hAnsi="Verdana"/>
          <w:sz w:val="14"/>
          <w:lang w:val="es-MX"/>
        </w:rPr>
      </w:pPr>
      <w:bookmarkStart w:id="1" w:name="_Toc465840940"/>
    </w:p>
    <w:p w:rsidR="00590C47" w:rsidRPr="001255AA" w:rsidRDefault="00590C47" w:rsidP="004477BE">
      <w:pPr>
        <w:pStyle w:val="Prrafodelista"/>
        <w:numPr>
          <w:ilvl w:val="0"/>
          <w:numId w:val="1"/>
        </w:numPr>
        <w:spacing w:after="0" w:line="240" w:lineRule="auto"/>
        <w:contextualSpacing w:val="0"/>
        <w:jc w:val="both"/>
        <w:outlineLvl w:val="0"/>
        <w:rPr>
          <w:rFonts w:ascii="Verdana" w:hAnsi="Verdana"/>
          <w:b/>
          <w:i/>
          <w:sz w:val="20"/>
          <w:lang w:val="es-MX"/>
        </w:rPr>
      </w:pPr>
      <w:r w:rsidRPr="001255AA">
        <w:rPr>
          <w:rFonts w:ascii="Verdana" w:hAnsi="Verdana"/>
          <w:b/>
          <w:i/>
          <w:sz w:val="20"/>
          <w:lang w:val="es-MX"/>
        </w:rPr>
        <w:t>Medida ordenada por la Corte</w:t>
      </w:r>
    </w:p>
    <w:bookmarkEnd w:id="1"/>
    <w:p w:rsidR="00590C47" w:rsidRPr="00056B07" w:rsidRDefault="00590C47" w:rsidP="00590C47">
      <w:pPr>
        <w:pStyle w:val="Prrafodelista"/>
        <w:spacing w:after="0" w:line="240" w:lineRule="auto"/>
        <w:ind w:left="0"/>
        <w:contextualSpacing w:val="0"/>
        <w:jc w:val="both"/>
        <w:rPr>
          <w:rFonts w:ascii="Verdana" w:hAnsi="Verdana"/>
          <w:sz w:val="16"/>
          <w:lang w:val="es-MX"/>
        </w:rPr>
      </w:pPr>
    </w:p>
    <w:p w:rsidR="00590C47" w:rsidRDefault="00590C47" w:rsidP="004477BE">
      <w:pPr>
        <w:pStyle w:val="Prrafodelista"/>
        <w:numPr>
          <w:ilvl w:val="0"/>
          <w:numId w:val="8"/>
        </w:numPr>
        <w:spacing w:before="120" w:after="120" w:line="240" w:lineRule="auto"/>
        <w:ind w:left="0" w:firstLine="0"/>
        <w:contextualSpacing w:val="0"/>
        <w:jc w:val="both"/>
        <w:rPr>
          <w:rFonts w:ascii="Verdana" w:hAnsi="Verdana"/>
          <w:sz w:val="20"/>
          <w:lang w:val="es-MX"/>
        </w:rPr>
      </w:pPr>
      <w:r>
        <w:rPr>
          <w:rFonts w:ascii="Verdana" w:hAnsi="Verdana"/>
          <w:sz w:val="20"/>
          <w:lang w:val="es-MX"/>
        </w:rPr>
        <w:t>E</w:t>
      </w:r>
      <w:r w:rsidRPr="00BD6F58">
        <w:rPr>
          <w:rFonts w:ascii="Verdana" w:hAnsi="Verdana"/>
          <w:sz w:val="20"/>
          <w:lang w:val="es-MX"/>
        </w:rPr>
        <w:t xml:space="preserve">n el punto </w:t>
      </w:r>
      <w:r>
        <w:rPr>
          <w:rFonts w:ascii="Verdana" w:hAnsi="Verdana"/>
          <w:sz w:val="20"/>
          <w:lang w:val="es-MX"/>
        </w:rPr>
        <w:t>dispositivo décimo primero</w:t>
      </w:r>
      <w:r w:rsidRPr="00BD6F58">
        <w:rPr>
          <w:rFonts w:ascii="Verdana" w:hAnsi="Verdana"/>
          <w:sz w:val="20"/>
          <w:lang w:val="es-MX"/>
        </w:rPr>
        <w:t xml:space="preserve"> y en los párrafos </w:t>
      </w:r>
      <w:r>
        <w:rPr>
          <w:rFonts w:ascii="Verdana" w:hAnsi="Verdana"/>
          <w:sz w:val="20"/>
          <w:lang w:val="es-MX"/>
        </w:rPr>
        <w:t>131 a 142</w:t>
      </w:r>
      <w:r w:rsidRPr="00BD6F58">
        <w:rPr>
          <w:rFonts w:ascii="Verdana" w:hAnsi="Verdana"/>
          <w:sz w:val="20"/>
          <w:lang w:val="es-MX"/>
        </w:rPr>
        <w:t xml:space="preserve"> de la Sentencia, la Corte dispuso que</w:t>
      </w:r>
      <w:r>
        <w:rPr>
          <w:rFonts w:ascii="Verdana" w:hAnsi="Verdana"/>
          <w:sz w:val="20"/>
          <w:lang w:val="es-MX"/>
        </w:rPr>
        <w:t xml:space="preserve"> el Estado debía</w:t>
      </w:r>
      <w:r w:rsidRPr="00C15BDD">
        <w:rPr>
          <w:rFonts w:ascii="Verdana" w:hAnsi="Verdana"/>
          <w:sz w:val="20"/>
          <w:lang w:val="es-MX"/>
        </w:rPr>
        <w:t xml:space="preserve"> pagar las cantidades establecidas en el acuerdo</w:t>
      </w:r>
      <w:r>
        <w:rPr>
          <w:rFonts w:ascii="Verdana" w:hAnsi="Verdana"/>
          <w:sz w:val="20"/>
          <w:lang w:val="es-MX"/>
        </w:rPr>
        <w:t xml:space="preserve"> de solución amistosa homologado en la Sentencia</w:t>
      </w:r>
      <w:r w:rsidRPr="00C15BDD">
        <w:rPr>
          <w:rFonts w:ascii="Verdana" w:hAnsi="Verdana"/>
          <w:sz w:val="20"/>
          <w:lang w:val="es-MX"/>
        </w:rPr>
        <w:t>, por concepto de indemnización por daño</w:t>
      </w:r>
      <w:r w:rsidR="00F42163">
        <w:rPr>
          <w:rFonts w:ascii="Verdana" w:hAnsi="Verdana"/>
          <w:sz w:val="20"/>
          <w:lang w:val="es-MX"/>
        </w:rPr>
        <w:t>s</w:t>
      </w:r>
      <w:r w:rsidRPr="00C15BDD">
        <w:rPr>
          <w:rFonts w:ascii="Verdana" w:hAnsi="Verdana"/>
          <w:sz w:val="20"/>
          <w:lang w:val="es-MX"/>
        </w:rPr>
        <w:t xml:space="preserve"> material</w:t>
      </w:r>
      <w:r w:rsidR="00F42163">
        <w:rPr>
          <w:rFonts w:ascii="Verdana" w:hAnsi="Verdana"/>
          <w:sz w:val="20"/>
          <w:lang w:val="es-MX"/>
        </w:rPr>
        <w:t>es</w:t>
      </w:r>
      <w:r w:rsidRPr="00C15BDD">
        <w:rPr>
          <w:rFonts w:ascii="Verdana" w:hAnsi="Verdana"/>
          <w:sz w:val="20"/>
          <w:lang w:val="es-MX"/>
        </w:rPr>
        <w:t xml:space="preserve"> e inmaterial</w:t>
      </w:r>
      <w:r w:rsidR="00F42163">
        <w:rPr>
          <w:rFonts w:ascii="Verdana" w:hAnsi="Verdana"/>
          <w:sz w:val="20"/>
          <w:lang w:val="es-MX"/>
        </w:rPr>
        <w:t>es</w:t>
      </w:r>
      <w:r w:rsidRPr="00C15BDD">
        <w:rPr>
          <w:rFonts w:ascii="Verdana" w:hAnsi="Verdana"/>
          <w:sz w:val="20"/>
          <w:lang w:val="es-MX"/>
        </w:rPr>
        <w:t xml:space="preserve"> y por el reintegro de costas y gastos, </w:t>
      </w:r>
      <w:r>
        <w:rPr>
          <w:rFonts w:ascii="Verdana" w:hAnsi="Verdana"/>
          <w:sz w:val="20"/>
          <w:lang w:val="es-MX"/>
        </w:rPr>
        <w:t xml:space="preserve">en los siguientes términos: </w:t>
      </w:r>
    </w:p>
    <w:p w:rsidR="00590C47" w:rsidRPr="00DA20A9" w:rsidRDefault="00590C47" w:rsidP="004477BE">
      <w:pPr>
        <w:pStyle w:val="Prrafodelista"/>
        <w:numPr>
          <w:ilvl w:val="0"/>
          <w:numId w:val="6"/>
        </w:numPr>
        <w:spacing w:before="120" w:after="120" w:line="240" w:lineRule="auto"/>
        <w:contextualSpacing w:val="0"/>
        <w:jc w:val="both"/>
        <w:rPr>
          <w:rFonts w:ascii="Verdana" w:hAnsi="Verdana"/>
          <w:sz w:val="18"/>
          <w:szCs w:val="18"/>
          <w:lang w:val="es-MX"/>
        </w:rPr>
      </w:pPr>
      <w:r w:rsidRPr="00DA20A9">
        <w:rPr>
          <w:rFonts w:ascii="Verdana" w:hAnsi="Verdana"/>
          <w:sz w:val="18"/>
          <w:szCs w:val="18"/>
          <w:lang w:val="es-MX"/>
        </w:rPr>
        <w:t xml:space="preserve">los montos acordados para los pagos se mantendrán en reserva “por razones de seguridad”; </w:t>
      </w:r>
    </w:p>
    <w:p w:rsidR="00590C47" w:rsidRPr="00DA20A9" w:rsidRDefault="00590C47" w:rsidP="004477BE">
      <w:pPr>
        <w:pStyle w:val="Prrafodelista"/>
        <w:numPr>
          <w:ilvl w:val="0"/>
          <w:numId w:val="6"/>
        </w:numPr>
        <w:spacing w:before="120" w:after="120" w:line="240" w:lineRule="auto"/>
        <w:contextualSpacing w:val="0"/>
        <w:jc w:val="both"/>
        <w:rPr>
          <w:rFonts w:ascii="Verdana" w:hAnsi="Verdana"/>
          <w:sz w:val="18"/>
          <w:szCs w:val="18"/>
          <w:lang w:val="es-MX"/>
        </w:rPr>
      </w:pPr>
      <w:r w:rsidRPr="00DA20A9">
        <w:rPr>
          <w:rFonts w:ascii="Verdana" w:hAnsi="Verdana"/>
          <w:sz w:val="18"/>
          <w:szCs w:val="18"/>
          <w:lang w:val="es-MX"/>
        </w:rPr>
        <w:t>se realizará el pago de “un monto global como indemnización compensatoria, desglosad[o] en una cantidad por daños materiales, gastos y costas y otra cantidad por ‘daño moral’”. Dichas cantidades serán pagadas “en dos ejercicios fiscales”;</w:t>
      </w:r>
    </w:p>
    <w:p w:rsidR="00590C47" w:rsidRPr="00DA20A9" w:rsidRDefault="00590C47" w:rsidP="004477BE">
      <w:pPr>
        <w:pStyle w:val="Prrafodelista"/>
        <w:numPr>
          <w:ilvl w:val="0"/>
          <w:numId w:val="6"/>
        </w:numPr>
        <w:spacing w:before="120" w:after="120" w:line="240" w:lineRule="auto"/>
        <w:contextualSpacing w:val="0"/>
        <w:jc w:val="both"/>
        <w:rPr>
          <w:rFonts w:ascii="Verdana" w:hAnsi="Verdana"/>
          <w:sz w:val="18"/>
          <w:szCs w:val="18"/>
          <w:lang w:val="es-MX"/>
        </w:rPr>
      </w:pPr>
      <w:r w:rsidRPr="00DA20A9">
        <w:rPr>
          <w:rFonts w:ascii="Verdana" w:hAnsi="Verdana"/>
          <w:sz w:val="18"/>
          <w:szCs w:val="18"/>
          <w:lang w:val="es-MX"/>
        </w:rPr>
        <w:t xml:space="preserve">el monto correspondiente a los “daños materiales [… </w:t>
      </w:r>
      <w:r w:rsidRPr="00056B07">
        <w:rPr>
          <w:rFonts w:ascii="Verdana" w:hAnsi="Verdana"/>
          <w:sz w:val="18"/>
          <w:szCs w:val="18"/>
          <w:lang w:val="es-MX"/>
        </w:rPr>
        <w:t>se] constituirá [en un] fondo</w:t>
      </w:r>
      <w:r w:rsidRPr="00DA20A9">
        <w:rPr>
          <w:rFonts w:ascii="Verdana" w:hAnsi="Verdana"/>
          <w:sz w:val="18"/>
          <w:szCs w:val="18"/>
          <w:lang w:val="es-MX"/>
        </w:rPr>
        <w:t xml:space="preserve"> de oportunidad y compensación para los familiares de los [107] privados de libertad que perdieron su vida en el Centro [P]enal de San Pedro Sula […] y será regulado por la constitución de un fideicomiso, cuya reglamentación será elaborada por la iglesia católica Diócesis de San Pedro Sula. Los capítulos constitutivos del fideicomiso se estimarán porcentualmente en educación, salud y gastos fúnebres de los familiares de las víctimas”;</w:t>
      </w:r>
    </w:p>
    <w:p w:rsidR="00590C47" w:rsidRPr="00DA20A9" w:rsidRDefault="00590C47" w:rsidP="004477BE">
      <w:pPr>
        <w:pStyle w:val="Prrafodelista"/>
        <w:numPr>
          <w:ilvl w:val="0"/>
          <w:numId w:val="6"/>
        </w:numPr>
        <w:spacing w:before="120" w:after="120" w:line="240" w:lineRule="auto"/>
        <w:contextualSpacing w:val="0"/>
        <w:jc w:val="both"/>
        <w:rPr>
          <w:rFonts w:ascii="Verdana" w:hAnsi="Verdana"/>
          <w:sz w:val="18"/>
          <w:szCs w:val="18"/>
          <w:lang w:val="es-MX"/>
        </w:rPr>
      </w:pPr>
      <w:r w:rsidRPr="00DA20A9">
        <w:rPr>
          <w:rFonts w:ascii="Verdana" w:hAnsi="Verdana"/>
          <w:sz w:val="18"/>
          <w:szCs w:val="18"/>
          <w:lang w:val="es-MX"/>
        </w:rPr>
        <w:t xml:space="preserve">en razón de que, bajo los términos del acuerdo, </w:t>
      </w:r>
      <w:r w:rsidR="001B4E8B">
        <w:rPr>
          <w:rFonts w:ascii="Verdana" w:hAnsi="Verdana"/>
          <w:sz w:val="18"/>
          <w:szCs w:val="18"/>
          <w:lang w:val="es-MX"/>
        </w:rPr>
        <w:t>“</w:t>
      </w:r>
      <w:r w:rsidRPr="00DA20A9">
        <w:rPr>
          <w:rFonts w:ascii="Verdana" w:hAnsi="Verdana"/>
          <w:sz w:val="18"/>
          <w:szCs w:val="18"/>
          <w:lang w:val="es-ES"/>
        </w:rPr>
        <w:t>se determinaron cantidades globales sin haber establecido montos específicos para cada víctima ni su forma de distribución</w:t>
      </w:r>
      <w:r w:rsidR="001B4E8B">
        <w:rPr>
          <w:rFonts w:ascii="Verdana" w:hAnsi="Verdana"/>
          <w:sz w:val="18"/>
          <w:szCs w:val="18"/>
          <w:lang w:val="es-ES"/>
        </w:rPr>
        <w:t>”</w:t>
      </w:r>
      <w:r w:rsidRPr="00DA20A9">
        <w:rPr>
          <w:rFonts w:ascii="Verdana" w:hAnsi="Verdana"/>
          <w:sz w:val="18"/>
          <w:szCs w:val="18"/>
          <w:lang w:val="es-ES"/>
        </w:rPr>
        <w:t>, los montos acordados tanto por daño</w:t>
      </w:r>
      <w:r w:rsidR="00F42163">
        <w:rPr>
          <w:rFonts w:ascii="Verdana" w:hAnsi="Verdana"/>
          <w:sz w:val="18"/>
          <w:szCs w:val="18"/>
          <w:lang w:val="es-ES"/>
        </w:rPr>
        <w:t>s</w:t>
      </w:r>
      <w:r w:rsidRPr="00DA20A9">
        <w:rPr>
          <w:rFonts w:ascii="Verdana" w:hAnsi="Verdana"/>
          <w:sz w:val="18"/>
          <w:szCs w:val="18"/>
          <w:lang w:val="es-ES"/>
        </w:rPr>
        <w:t xml:space="preserve"> material</w:t>
      </w:r>
      <w:r w:rsidR="00F42163">
        <w:rPr>
          <w:rFonts w:ascii="Verdana" w:hAnsi="Verdana"/>
          <w:sz w:val="18"/>
          <w:szCs w:val="18"/>
          <w:lang w:val="es-ES"/>
        </w:rPr>
        <w:t>es</w:t>
      </w:r>
      <w:r w:rsidRPr="00DA20A9">
        <w:rPr>
          <w:rFonts w:ascii="Verdana" w:hAnsi="Verdana"/>
          <w:sz w:val="18"/>
          <w:szCs w:val="18"/>
          <w:lang w:val="es-ES"/>
        </w:rPr>
        <w:t xml:space="preserve"> e inmaterial</w:t>
      </w:r>
      <w:r w:rsidR="00F42163">
        <w:rPr>
          <w:rFonts w:ascii="Verdana" w:hAnsi="Verdana"/>
          <w:sz w:val="18"/>
          <w:szCs w:val="18"/>
          <w:lang w:val="es-ES"/>
        </w:rPr>
        <w:t>es</w:t>
      </w:r>
      <w:r w:rsidRPr="00DA20A9">
        <w:rPr>
          <w:rFonts w:ascii="Verdana" w:hAnsi="Verdana"/>
          <w:sz w:val="18"/>
          <w:szCs w:val="18"/>
          <w:lang w:val="es-ES"/>
        </w:rPr>
        <w:t xml:space="preserve"> y costas y gastos deberán ser </w:t>
      </w:r>
      <w:r w:rsidR="001B4E8B">
        <w:rPr>
          <w:rFonts w:ascii="Verdana" w:hAnsi="Verdana"/>
          <w:sz w:val="18"/>
          <w:szCs w:val="18"/>
          <w:lang w:val="es-ES"/>
        </w:rPr>
        <w:t>“</w:t>
      </w:r>
      <w:r w:rsidRPr="00DA20A9">
        <w:rPr>
          <w:rFonts w:ascii="Verdana" w:hAnsi="Verdana"/>
          <w:sz w:val="18"/>
          <w:szCs w:val="18"/>
          <w:lang w:val="es-ES"/>
        </w:rPr>
        <w:t xml:space="preserve">debidamente determinados por el fideicomiso de oportunidades y compensación y distribuidos a las víctimas, partes lesionadas del </w:t>
      </w:r>
      <w:r w:rsidR="001B4E8B">
        <w:rPr>
          <w:rFonts w:ascii="Verdana" w:hAnsi="Verdana"/>
          <w:sz w:val="18"/>
          <w:szCs w:val="18"/>
          <w:lang w:val="es-ES"/>
        </w:rPr>
        <w:t xml:space="preserve">[…] </w:t>
      </w:r>
      <w:r w:rsidRPr="00DA20A9">
        <w:rPr>
          <w:rFonts w:ascii="Verdana" w:hAnsi="Verdana"/>
          <w:sz w:val="18"/>
          <w:szCs w:val="18"/>
          <w:lang w:val="es-ES"/>
        </w:rPr>
        <w:t xml:space="preserve">caso </w:t>
      </w:r>
      <w:r w:rsidR="001B4E8B">
        <w:rPr>
          <w:rFonts w:ascii="Verdana" w:hAnsi="Verdana"/>
          <w:sz w:val="18"/>
          <w:szCs w:val="18"/>
          <w:lang w:val="es-ES"/>
        </w:rPr>
        <w:t xml:space="preserve">[… </w:t>
      </w:r>
      <w:r w:rsidRPr="00DA20A9">
        <w:rPr>
          <w:rFonts w:ascii="Verdana" w:hAnsi="Verdana"/>
          <w:sz w:val="18"/>
          <w:szCs w:val="18"/>
          <w:lang w:val="es-ES"/>
        </w:rPr>
        <w:t>y</w:t>
      </w:r>
      <w:r w:rsidR="001B4E8B">
        <w:rPr>
          <w:rFonts w:ascii="Verdana" w:hAnsi="Verdana"/>
          <w:sz w:val="18"/>
          <w:szCs w:val="18"/>
          <w:lang w:val="es-ES"/>
        </w:rPr>
        <w:t>]</w:t>
      </w:r>
      <w:r w:rsidRPr="00DA20A9">
        <w:rPr>
          <w:rFonts w:ascii="Verdana" w:hAnsi="Verdana"/>
          <w:sz w:val="18"/>
          <w:szCs w:val="18"/>
          <w:lang w:val="es-ES"/>
        </w:rPr>
        <w:t xml:space="preserve"> a los familiares</w:t>
      </w:r>
      <w:r w:rsidRPr="00DA20A9">
        <w:rPr>
          <w:rStyle w:val="apple-style-span"/>
          <w:rFonts w:ascii="Verdana" w:hAnsi="Verdana"/>
          <w:sz w:val="18"/>
          <w:szCs w:val="18"/>
          <w:lang w:val="es-ES"/>
        </w:rPr>
        <w:t xml:space="preserve"> directos </w:t>
      </w:r>
      <w:r w:rsidRPr="00DA20A9">
        <w:rPr>
          <w:rFonts w:ascii="Verdana" w:hAnsi="Verdana"/>
          <w:sz w:val="18"/>
          <w:szCs w:val="18"/>
          <w:lang w:val="es-ES"/>
        </w:rPr>
        <w:t>de los 89 internos fallecidos que acreditaran su calidad de beneficiarios</w:t>
      </w:r>
      <w:r w:rsidR="001B4E8B">
        <w:rPr>
          <w:rFonts w:ascii="Verdana" w:hAnsi="Verdana"/>
          <w:sz w:val="18"/>
          <w:szCs w:val="18"/>
          <w:lang w:val="es-ES"/>
        </w:rPr>
        <w:t>”</w:t>
      </w:r>
      <w:r w:rsidRPr="00DA20A9">
        <w:rPr>
          <w:rFonts w:ascii="Verdana" w:hAnsi="Verdana"/>
          <w:sz w:val="18"/>
          <w:szCs w:val="18"/>
          <w:lang w:val="es-ES"/>
        </w:rPr>
        <w:t xml:space="preserve"> del caso</w:t>
      </w:r>
      <w:r w:rsidRPr="00DA20A9">
        <w:rPr>
          <w:rStyle w:val="Refdenotaalpie"/>
          <w:rFonts w:ascii="Verdana" w:hAnsi="Verdana"/>
          <w:sz w:val="18"/>
          <w:szCs w:val="18"/>
          <w:lang w:val="es-MX"/>
        </w:rPr>
        <w:footnoteReference w:id="10"/>
      </w:r>
      <w:r w:rsidRPr="00DA20A9">
        <w:rPr>
          <w:rFonts w:ascii="Verdana" w:hAnsi="Verdana"/>
          <w:sz w:val="18"/>
          <w:szCs w:val="18"/>
          <w:lang w:val="es-ES"/>
        </w:rPr>
        <w:t>;</w:t>
      </w:r>
    </w:p>
    <w:p w:rsidR="00590C47" w:rsidRPr="00DA20A9" w:rsidRDefault="00590C47" w:rsidP="004477BE">
      <w:pPr>
        <w:pStyle w:val="Prrafodelista"/>
        <w:numPr>
          <w:ilvl w:val="0"/>
          <w:numId w:val="6"/>
        </w:numPr>
        <w:spacing w:before="120" w:after="120" w:line="240" w:lineRule="auto"/>
        <w:contextualSpacing w:val="0"/>
        <w:jc w:val="both"/>
        <w:rPr>
          <w:rFonts w:ascii="Verdana" w:hAnsi="Verdana"/>
          <w:sz w:val="18"/>
          <w:szCs w:val="18"/>
          <w:lang w:val="es-MX"/>
        </w:rPr>
      </w:pPr>
      <w:r w:rsidRPr="00DA20A9">
        <w:rPr>
          <w:rFonts w:ascii="Verdana" w:hAnsi="Verdana"/>
          <w:sz w:val="18"/>
          <w:szCs w:val="18"/>
          <w:lang w:val="es-MX"/>
        </w:rPr>
        <w:lastRenderedPageBreak/>
        <w:t xml:space="preserve">una vez identificados los beneficiarios de la reparación, </w:t>
      </w:r>
      <w:r w:rsidR="002012EF">
        <w:rPr>
          <w:rFonts w:ascii="Verdana" w:hAnsi="Verdana"/>
          <w:sz w:val="18"/>
          <w:szCs w:val="18"/>
          <w:lang w:val="es-MX"/>
        </w:rPr>
        <w:t>“</w:t>
      </w:r>
      <w:r w:rsidRPr="00DA20A9">
        <w:rPr>
          <w:rFonts w:ascii="Verdana" w:hAnsi="Verdana"/>
          <w:sz w:val="18"/>
          <w:szCs w:val="18"/>
          <w:lang w:val="es-MX"/>
        </w:rPr>
        <w:t xml:space="preserve">los beneficios del fondo de oportunidades y compensación deberán ser entregados a las partes lesionadas y beneficiarios del acuerdo dentro del plazo de tres años, contado a partir de la notificación de la </w:t>
      </w:r>
      <w:r w:rsidR="002012EF">
        <w:rPr>
          <w:rFonts w:ascii="Verdana" w:hAnsi="Verdana"/>
          <w:sz w:val="18"/>
          <w:szCs w:val="18"/>
          <w:lang w:val="es-MX"/>
        </w:rPr>
        <w:t xml:space="preserve">[…] </w:t>
      </w:r>
      <w:r w:rsidRPr="00DA20A9">
        <w:rPr>
          <w:rFonts w:ascii="Verdana" w:hAnsi="Verdana"/>
          <w:sz w:val="18"/>
          <w:szCs w:val="18"/>
          <w:lang w:val="es-MX"/>
        </w:rPr>
        <w:t>Sentencia</w:t>
      </w:r>
      <w:r w:rsidR="002012EF">
        <w:rPr>
          <w:rFonts w:ascii="Verdana" w:hAnsi="Verdana"/>
          <w:sz w:val="18"/>
          <w:szCs w:val="18"/>
          <w:lang w:val="es-MX"/>
        </w:rPr>
        <w:t>”</w:t>
      </w:r>
      <w:r w:rsidRPr="00DA20A9">
        <w:rPr>
          <w:rFonts w:ascii="Verdana" w:hAnsi="Verdana"/>
          <w:sz w:val="18"/>
          <w:szCs w:val="18"/>
          <w:lang w:val="es-MX"/>
        </w:rPr>
        <w:t>;</w:t>
      </w:r>
    </w:p>
    <w:p w:rsidR="00590C47" w:rsidRPr="00DA20A9" w:rsidRDefault="00590C47" w:rsidP="004477BE">
      <w:pPr>
        <w:pStyle w:val="Prrafodelista"/>
        <w:numPr>
          <w:ilvl w:val="0"/>
          <w:numId w:val="6"/>
        </w:numPr>
        <w:spacing w:before="120" w:after="120" w:line="240" w:lineRule="auto"/>
        <w:contextualSpacing w:val="0"/>
        <w:jc w:val="both"/>
        <w:rPr>
          <w:rFonts w:ascii="Verdana" w:hAnsi="Verdana"/>
          <w:sz w:val="18"/>
          <w:szCs w:val="18"/>
          <w:lang w:val="es-MX"/>
        </w:rPr>
      </w:pPr>
      <w:r w:rsidRPr="00DA20A9">
        <w:rPr>
          <w:rFonts w:ascii="Verdana" w:hAnsi="Verdana"/>
          <w:sz w:val="18"/>
          <w:szCs w:val="18"/>
          <w:lang w:val="es-ES"/>
        </w:rPr>
        <w:t>en caso de que los familiares de las víctimas indicadas en los Anexos C y D de la Sentencia</w:t>
      </w:r>
      <w:r w:rsidRPr="00DA20A9">
        <w:rPr>
          <w:rStyle w:val="Refdenotaalpie"/>
          <w:rFonts w:ascii="Verdana" w:hAnsi="Verdana"/>
          <w:sz w:val="18"/>
          <w:szCs w:val="18"/>
          <w:lang w:val="es-ES"/>
        </w:rPr>
        <w:footnoteReference w:id="11"/>
      </w:r>
      <w:r w:rsidRPr="00DA20A9">
        <w:rPr>
          <w:rFonts w:ascii="Verdana" w:hAnsi="Verdana"/>
          <w:sz w:val="18"/>
          <w:szCs w:val="18"/>
          <w:lang w:val="es-ES"/>
        </w:rPr>
        <w:t xml:space="preserve"> </w:t>
      </w:r>
      <w:r w:rsidR="002012EF">
        <w:rPr>
          <w:rFonts w:ascii="Verdana" w:hAnsi="Verdana"/>
          <w:sz w:val="18"/>
          <w:szCs w:val="18"/>
          <w:lang w:val="es-ES"/>
        </w:rPr>
        <w:t>“</w:t>
      </w:r>
      <w:r w:rsidRPr="00DA20A9">
        <w:rPr>
          <w:rFonts w:ascii="Verdana" w:hAnsi="Verdana"/>
          <w:sz w:val="18"/>
          <w:szCs w:val="18"/>
          <w:lang w:val="es-ES"/>
        </w:rPr>
        <w:t>fallezcan antes de que les sea entregada la indemnización respectiva, ésta se efectuará directamente a sus derechohabientes, conforme al derecho interno aplicable</w:t>
      </w:r>
      <w:r w:rsidR="002012EF">
        <w:rPr>
          <w:rFonts w:ascii="Verdana" w:hAnsi="Verdana"/>
          <w:sz w:val="18"/>
          <w:szCs w:val="18"/>
          <w:lang w:val="es-ES"/>
        </w:rPr>
        <w:t>”</w:t>
      </w:r>
      <w:r w:rsidRPr="00DA20A9">
        <w:rPr>
          <w:rFonts w:ascii="Verdana" w:hAnsi="Verdana"/>
          <w:sz w:val="18"/>
          <w:szCs w:val="18"/>
          <w:lang w:val="es-ES"/>
        </w:rPr>
        <w:t>, y</w:t>
      </w:r>
    </w:p>
    <w:p w:rsidR="00590C47" w:rsidRPr="00DA20A9" w:rsidRDefault="00590C47" w:rsidP="004477BE">
      <w:pPr>
        <w:pStyle w:val="Prrafodelista"/>
        <w:numPr>
          <w:ilvl w:val="0"/>
          <w:numId w:val="6"/>
        </w:numPr>
        <w:spacing w:before="120" w:after="120" w:line="240" w:lineRule="auto"/>
        <w:contextualSpacing w:val="0"/>
        <w:jc w:val="both"/>
        <w:rPr>
          <w:rFonts w:ascii="Verdana" w:hAnsi="Verdana"/>
          <w:sz w:val="18"/>
          <w:szCs w:val="18"/>
          <w:lang w:val="es-MX"/>
        </w:rPr>
      </w:pPr>
      <w:r w:rsidRPr="00DA20A9">
        <w:rPr>
          <w:rFonts w:ascii="Verdana" w:hAnsi="Verdana"/>
          <w:sz w:val="18"/>
          <w:szCs w:val="18"/>
          <w:lang w:val="es-MX"/>
        </w:rPr>
        <w:t>e</w:t>
      </w:r>
      <w:r w:rsidRPr="00DA20A9">
        <w:rPr>
          <w:rFonts w:ascii="Verdana" w:hAnsi="Verdana"/>
          <w:sz w:val="18"/>
          <w:szCs w:val="18"/>
          <w:lang w:val="es-ES"/>
        </w:rPr>
        <w:t xml:space="preserve">n caso de que el Estado incurriera en mora, </w:t>
      </w:r>
      <w:r w:rsidR="002012EF">
        <w:rPr>
          <w:rFonts w:ascii="Verdana" w:hAnsi="Verdana"/>
          <w:sz w:val="18"/>
          <w:szCs w:val="18"/>
          <w:lang w:val="es-ES"/>
        </w:rPr>
        <w:t>“</w:t>
      </w:r>
      <w:r w:rsidRPr="00DA20A9">
        <w:rPr>
          <w:rFonts w:ascii="Verdana" w:hAnsi="Verdana"/>
          <w:sz w:val="18"/>
          <w:szCs w:val="18"/>
          <w:lang w:val="es-ES"/>
        </w:rPr>
        <w:t>deberá pagar un interés sobre la cantidad adeudada correspondiente al interés bancario moratorio en la República de Honduras</w:t>
      </w:r>
      <w:r w:rsidR="002012EF">
        <w:rPr>
          <w:rFonts w:ascii="Verdana" w:hAnsi="Verdana"/>
          <w:sz w:val="18"/>
          <w:szCs w:val="18"/>
          <w:lang w:val="es-ES"/>
        </w:rPr>
        <w:t>”</w:t>
      </w:r>
      <w:r w:rsidRPr="00DA20A9">
        <w:rPr>
          <w:rFonts w:ascii="Verdana" w:hAnsi="Verdana"/>
          <w:sz w:val="18"/>
          <w:szCs w:val="18"/>
          <w:lang w:val="es-ES"/>
        </w:rPr>
        <w:t xml:space="preserve">. </w:t>
      </w:r>
    </w:p>
    <w:p w:rsidR="006F0AF8" w:rsidRPr="00056B07" w:rsidRDefault="006F0AF8" w:rsidP="001069E8">
      <w:pPr>
        <w:pStyle w:val="Prrafodelista"/>
        <w:spacing w:after="0" w:line="240" w:lineRule="auto"/>
        <w:ind w:left="0"/>
        <w:contextualSpacing w:val="0"/>
        <w:jc w:val="both"/>
        <w:rPr>
          <w:rFonts w:ascii="Verdana" w:hAnsi="Verdana"/>
          <w:sz w:val="14"/>
          <w:szCs w:val="20"/>
          <w:lang w:val="es-MX"/>
        </w:rPr>
      </w:pPr>
    </w:p>
    <w:p w:rsidR="00202E30" w:rsidRDefault="001069E8" w:rsidP="004477BE">
      <w:pPr>
        <w:pStyle w:val="Prrafodelista"/>
        <w:numPr>
          <w:ilvl w:val="0"/>
          <w:numId w:val="1"/>
        </w:numPr>
        <w:spacing w:after="0" w:line="240" w:lineRule="auto"/>
        <w:contextualSpacing w:val="0"/>
        <w:jc w:val="both"/>
        <w:outlineLvl w:val="0"/>
        <w:rPr>
          <w:rFonts w:ascii="Verdana" w:hAnsi="Verdana"/>
          <w:b/>
          <w:i/>
          <w:sz w:val="20"/>
          <w:lang w:val="es-MX"/>
        </w:rPr>
      </w:pPr>
      <w:r>
        <w:rPr>
          <w:rFonts w:ascii="Verdana" w:hAnsi="Verdana"/>
          <w:b/>
          <w:i/>
          <w:sz w:val="20"/>
          <w:lang w:val="es-MX"/>
        </w:rPr>
        <w:t>Consideraciones de la Corte</w:t>
      </w:r>
    </w:p>
    <w:p w:rsidR="001069E8" w:rsidRPr="00056B07" w:rsidRDefault="001069E8" w:rsidP="001069E8">
      <w:pPr>
        <w:pStyle w:val="Prrafodelista"/>
        <w:spacing w:after="0" w:line="240" w:lineRule="auto"/>
        <w:ind w:left="0"/>
        <w:contextualSpacing w:val="0"/>
        <w:jc w:val="both"/>
        <w:outlineLvl w:val="0"/>
        <w:rPr>
          <w:rFonts w:ascii="Verdana" w:hAnsi="Verdana"/>
          <w:sz w:val="14"/>
          <w:lang w:val="es-MX"/>
        </w:rPr>
      </w:pPr>
    </w:p>
    <w:p w:rsidR="00436119" w:rsidRPr="00056B07" w:rsidRDefault="00EA1921" w:rsidP="00046155">
      <w:pPr>
        <w:pStyle w:val="Prrafodelista"/>
        <w:numPr>
          <w:ilvl w:val="0"/>
          <w:numId w:val="11"/>
        </w:numPr>
        <w:spacing w:before="120" w:after="120" w:line="240" w:lineRule="auto"/>
        <w:ind w:left="0" w:firstLine="0"/>
        <w:contextualSpacing w:val="0"/>
        <w:jc w:val="both"/>
        <w:rPr>
          <w:rFonts w:ascii="Verdana" w:hAnsi="Verdana"/>
          <w:sz w:val="20"/>
          <w:lang w:val="es-MX"/>
        </w:rPr>
      </w:pPr>
      <w:r>
        <w:rPr>
          <w:rFonts w:ascii="Verdana" w:hAnsi="Verdana"/>
          <w:sz w:val="20"/>
          <w:lang w:val="es-MX"/>
        </w:rPr>
        <w:t xml:space="preserve">De la información presentada por las </w:t>
      </w:r>
      <w:r w:rsidR="007369B1">
        <w:rPr>
          <w:rFonts w:ascii="Verdana" w:hAnsi="Verdana"/>
          <w:sz w:val="20"/>
          <w:lang w:val="es-MX"/>
        </w:rPr>
        <w:t xml:space="preserve">partes, la Corte constata que </w:t>
      </w:r>
      <w:r w:rsidR="008C3871">
        <w:rPr>
          <w:rFonts w:ascii="Verdana" w:hAnsi="Verdana"/>
          <w:sz w:val="20"/>
          <w:lang w:val="es-MX"/>
        </w:rPr>
        <w:t>han transcurrido</w:t>
      </w:r>
      <w:r w:rsidR="007369B1">
        <w:rPr>
          <w:rFonts w:ascii="Verdana" w:hAnsi="Verdana"/>
          <w:sz w:val="20"/>
          <w:lang w:val="es-MX"/>
        </w:rPr>
        <w:t xml:space="preserve"> más de dos</w:t>
      </w:r>
      <w:r>
        <w:rPr>
          <w:rFonts w:ascii="Verdana" w:hAnsi="Verdana"/>
          <w:sz w:val="20"/>
          <w:lang w:val="es-MX"/>
        </w:rPr>
        <w:t xml:space="preserve"> años </w:t>
      </w:r>
      <w:r w:rsidR="008C3871">
        <w:rPr>
          <w:rFonts w:ascii="Verdana" w:hAnsi="Verdana"/>
          <w:sz w:val="20"/>
          <w:lang w:val="es-MX"/>
        </w:rPr>
        <w:t xml:space="preserve">desde que </w:t>
      </w:r>
      <w:r w:rsidR="00C55DD0">
        <w:rPr>
          <w:rFonts w:ascii="Verdana" w:hAnsi="Verdana"/>
          <w:sz w:val="20"/>
          <w:lang w:val="es-MX"/>
        </w:rPr>
        <w:t xml:space="preserve">estuvieron identificados </w:t>
      </w:r>
      <w:r w:rsidR="00C55DD0" w:rsidRPr="00056B07">
        <w:rPr>
          <w:rFonts w:ascii="Verdana" w:hAnsi="Verdana"/>
          <w:sz w:val="20"/>
          <w:lang w:val="es-MX"/>
        </w:rPr>
        <w:t>los familiares de los 89 internos fallecidos, señalados en el Anexo D de la Sentencia</w:t>
      </w:r>
      <w:r w:rsidR="002012EF">
        <w:rPr>
          <w:rFonts w:ascii="Verdana" w:hAnsi="Verdana"/>
          <w:sz w:val="20"/>
          <w:lang w:val="es-MX"/>
        </w:rPr>
        <w:t xml:space="preserve"> (</w:t>
      </w:r>
      <w:r w:rsidR="002012EF">
        <w:rPr>
          <w:rFonts w:ascii="Verdana" w:hAnsi="Verdana"/>
          <w:i/>
          <w:sz w:val="20"/>
          <w:lang w:val="es-MX"/>
        </w:rPr>
        <w:t xml:space="preserve">supra </w:t>
      </w:r>
      <w:r w:rsidR="002012EF">
        <w:rPr>
          <w:rFonts w:ascii="Verdana" w:hAnsi="Verdana"/>
          <w:sz w:val="20"/>
          <w:lang w:val="es-MX"/>
        </w:rPr>
        <w:t xml:space="preserve">notas </w:t>
      </w:r>
      <w:r w:rsidR="00DA5796">
        <w:rPr>
          <w:rFonts w:ascii="Verdana" w:hAnsi="Verdana"/>
          <w:sz w:val="20"/>
          <w:lang w:val="es-MX"/>
        </w:rPr>
        <w:t xml:space="preserve">al pie de página </w:t>
      </w:r>
      <w:r w:rsidR="002012EF">
        <w:rPr>
          <w:rFonts w:ascii="Verdana" w:hAnsi="Verdana"/>
          <w:sz w:val="20"/>
          <w:lang w:val="es-MX"/>
        </w:rPr>
        <w:t>10 y 11)</w:t>
      </w:r>
      <w:r w:rsidR="00C55DD0" w:rsidRPr="00056B07">
        <w:rPr>
          <w:rFonts w:ascii="Verdana" w:hAnsi="Verdana"/>
          <w:sz w:val="20"/>
          <w:lang w:val="es-MX"/>
        </w:rPr>
        <w:t>, por parte del Comisionado Nacional de los Derechos Humanos</w:t>
      </w:r>
      <w:r w:rsidR="00C55DD0">
        <w:rPr>
          <w:rFonts w:ascii="Verdana" w:hAnsi="Verdana"/>
          <w:sz w:val="20"/>
          <w:lang w:val="es-MX"/>
        </w:rPr>
        <w:t xml:space="preserve"> </w:t>
      </w:r>
      <w:r w:rsidR="00C55DD0" w:rsidRPr="00056B07">
        <w:rPr>
          <w:rFonts w:ascii="Verdana" w:hAnsi="Verdana"/>
          <w:sz w:val="20"/>
          <w:lang w:val="es-MX"/>
        </w:rPr>
        <w:t>(</w:t>
      </w:r>
      <w:r w:rsidR="00C55DD0" w:rsidRPr="00056B07">
        <w:rPr>
          <w:rFonts w:ascii="Verdana" w:hAnsi="Verdana"/>
          <w:i/>
          <w:sz w:val="20"/>
          <w:lang w:val="es-MX"/>
        </w:rPr>
        <w:t xml:space="preserve">supra </w:t>
      </w:r>
      <w:r w:rsidR="00C55DD0">
        <w:rPr>
          <w:rFonts w:ascii="Verdana" w:hAnsi="Verdana"/>
          <w:sz w:val="20"/>
          <w:lang w:val="es-MX"/>
        </w:rPr>
        <w:t>Considerando 5</w:t>
      </w:r>
      <w:r w:rsidR="00C55DD0" w:rsidRPr="00056B07">
        <w:rPr>
          <w:rFonts w:ascii="Verdana" w:hAnsi="Verdana"/>
          <w:sz w:val="20"/>
          <w:lang w:val="es-MX"/>
        </w:rPr>
        <w:t>.d y e)</w:t>
      </w:r>
      <w:r w:rsidR="00C55DD0">
        <w:rPr>
          <w:rStyle w:val="Refdenotaalpie"/>
          <w:rFonts w:ascii="Verdana" w:hAnsi="Verdana"/>
          <w:sz w:val="20"/>
          <w:lang w:val="es-MX"/>
        </w:rPr>
        <w:footnoteReference w:id="12"/>
      </w:r>
      <w:r w:rsidR="00C55DD0">
        <w:rPr>
          <w:rFonts w:ascii="Verdana" w:hAnsi="Verdana"/>
          <w:sz w:val="20"/>
          <w:lang w:val="es-MX"/>
        </w:rPr>
        <w:t>.</w:t>
      </w:r>
      <w:r w:rsidR="00C55DD0" w:rsidRPr="00056B07">
        <w:rPr>
          <w:rFonts w:ascii="Verdana" w:hAnsi="Verdana"/>
          <w:sz w:val="20"/>
          <w:lang w:val="es-MX"/>
        </w:rPr>
        <w:t xml:space="preserve"> </w:t>
      </w:r>
      <w:r w:rsidR="00C55DD0">
        <w:rPr>
          <w:rFonts w:ascii="Verdana" w:hAnsi="Verdana"/>
          <w:sz w:val="20"/>
          <w:lang w:val="es-MX"/>
        </w:rPr>
        <w:t xml:space="preserve">Asimismo, </w:t>
      </w:r>
      <w:r w:rsidR="00EF3306" w:rsidRPr="00945562">
        <w:rPr>
          <w:rFonts w:ascii="Verdana" w:hAnsi="Verdana"/>
          <w:sz w:val="20"/>
          <w:lang w:val="es-MX"/>
        </w:rPr>
        <w:t xml:space="preserve">desde </w:t>
      </w:r>
      <w:r w:rsidR="00945562" w:rsidRPr="00945562">
        <w:rPr>
          <w:rFonts w:ascii="Verdana" w:hAnsi="Verdana"/>
          <w:sz w:val="20"/>
          <w:lang w:val="es-MX"/>
        </w:rPr>
        <w:t>el 2013</w:t>
      </w:r>
      <w:r w:rsidR="00EF3306" w:rsidRPr="00945562">
        <w:rPr>
          <w:rFonts w:ascii="Verdana" w:hAnsi="Verdana"/>
          <w:sz w:val="20"/>
          <w:lang w:val="es-MX"/>
        </w:rPr>
        <w:t xml:space="preserve"> las partes informaron a esta Corte </w:t>
      </w:r>
      <w:r w:rsidR="00856210">
        <w:rPr>
          <w:rFonts w:ascii="Verdana" w:hAnsi="Verdana"/>
          <w:sz w:val="20"/>
          <w:lang w:val="es-MX"/>
        </w:rPr>
        <w:t xml:space="preserve">de </w:t>
      </w:r>
      <w:r w:rsidR="00C55DD0">
        <w:rPr>
          <w:rFonts w:ascii="Verdana" w:hAnsi="Verdana"/>
          <w:sz w:val="20"/>
          <w:lang w:val="es-MX"/>
        </w:rPr>
        <w:t xml:space="preserve">otros </w:t>
      </w:r>
      <w:r w:rsidR="00856210">
        <w:rPr>
          <w:rFonts w:ascii="Verdana" w:hAnsi="Verdana"/>
          <w:sz w:val="20"/>
          <w:lang w:val="es-MX"/>
        </w:rPr>
        <w:t>avances importantes para dar cumplimiento a las referidas medidas</w:t>
      </w:r>
      <w:r w:rsidR="00B02680">
        <w:rPr>
          <w:rStyle w:val="Refdenotaalpie"/>
          <w:rFonts w:ascii="Verdana" w:hAnsi="Verdana"/>
          <w:sz w:val="20"/>
          <w:lang w:val="es-MX"/>
        </w:rPr>
        <w:footnoteReference w:id="13"/>
      </w:r>
      <w:r w:rsidR="00856210">
        <w:rPr>
          <w:rFonts w:ascii="Verdana" w:hAnsi="Verdana"/>
          <w:sz w:val="20"/>
          <w:lang w:val="es-MX"/>
        </w:rPr>
        <w:t>, tales como</w:t>
      </w:r>
      <w:r w:rsidR="00EF3306" w:rsidRPr="00945562">
        <w:rPr>
          <w:rFonts w:ascii="Verdana" w:hAnsi="Verdana"/>
          <w:sz w:val="20"/>
          <w:lang w:val="es-MX"/>
        </w:rPr>
        <w:t xml:space="preserve">: i) </w:t>
      </w:r>
      <w:r w:rsidR="00856210">
        <w:rPr>
          <w:rFonts w:ascii="Verdana" w:hAnsi="Verdana"/>
          <w:sz w:val="20"/>
          <w:lang w:val="es-MX"/>
        </w:rPr>
        <w:t>la disponibilidad</w:t>
      </w:r>
      <w:r w:rsidR="00EF3306" w:rsidRPr="00945562">
        <w:rPr>
          <w:rFonts w:ascii="Verdana" w:hAnsi="Verdana"/>
          <w:sz w:val="20"/>
          <w:lang w:val="es-MX"/>
        </w:rPr>
        <w:t xml:space="preserve"> de los recursos </w:t>
      </w:r>
      <w:r w:rsidR="00856210">
        <w:rPr>
          <w:rFonts w:ascii="Verdana" w:hAnsi="Verdana"/>
          <w:sz w:val="20"/>
          <w:lang w:val="es-MX"/>
        </w:rPr>
        <w:t xml:space="preserve">por parte del Estado </w:t>
      </w:r>
      <w:r w:rsidR="00EF3306" w:rsidRPr="00945562">
        <w:rPr>
          <w:rFonts w:ascii="Verdana" w:hAnsi="Verdana"/>
          <w:sz w:val="20"/>
          <w:lang w:val="es-MX"/>
        </w:rPr>
        <w:t>para dar inicio al</w:t>
      </w:r>
      <w:r w:rsidR="00DA5796">
        <w:rPr>
          <w:rFonts w:ascii="Verdana" w:hAnsi="Verdana"/>
          <w:sz w:val="20"/>
          <w:lang w:val="es-MX"/>
        </w:rPr>
        <w:t xml:space="preserve"> primer</w:t>
      </w:r>
      <w:r w:rsidR="00EF3306" w:rsidRPr="00945562">
        <w:rPr>
          <w:rFonts w:ascii="Verdana" w:hAnsi="Verdana"/>
          <w:sz w:val="20"/>
          <w:lang w:val="es-MX"/>
        </w:rPr>
        <w:t xml:space="preserve"> pago</w:t>
      </w:r>
      <w:r w:rsidR="005C5499">
        <w:rPr>
          <w:rStyle w:val="Refdenotaalpie"/>
          <w:rFonts w:ascii="Verdana" w:hAnsi="Verdana"/>
          <w:sz w:val="20"/>
          <w:lang w:val="es-MX"/>
        </w:rPr>
        <w:footnoteReference w:id="14"/>
      </w:r>
      <w:r w:rsidR="00EF3306" w:rsidRPr="00945562">
        <w:rPr>
          <w:rFonts w:ascii="Verdana" w:hAnsi="Verdana"/>
          <w:sz w:val="20"/>
          <w:lang w:val="es-MX"/>
        </w:rPr>
        <w:t xml:space="preserve"> (</w:t>
      </w:r>
      <w:r w:rsidR="00EF3306" w:rsidRPr="00056B07">
        <w:rPr>
          <w:rFonts w:ascii="Verdana" w:hAnsi="Verdana"/>
          <w:i/>
          <w:sz w:val="20"/>
          <w:lang w:val="es-MX"/>
        </w:rPr>
        <w:t xml:space="preserve">supra </w:t>
      </w:r>
      <w:r w:rsidR="00C55DD0">
        <w:rPr>
          <w:rFonts w:ascii="Verdana" w:hAnsi="Verdana"/>
          <w:sz w:val="20"/>
          <w:lang w:val="es-MX"/>
        </w:rPr>
        <w:t>Considerando 5.b</w:t>
      </w:r>
      <w:r w:rsidR="00A16936">
        <w:rPr>
          <w:rFonts w:ascii="Verdana" w:hAnsi="Verdana"/>
          <w:sz w:val="20"/>
          <w:lang w:val="es-MX"/>
        </w:rPr>
        <w:t>),</w:t>
      </w:r>
      <w:r w:rsidR="00C55DD0">
        <w:rPr>
          <w:rFonts w:ascii="Verdana" w:hAnsi="Verdana"/>
          <w:sz w:val="20"/>
          <w:lang w:val="es-MX"/>
        </w:rPr>
        <w:t xml:space="preserve"> y</w:t>
      </w:r>
      <w:r w:rsidR="00EF3306" w:rsidRPr="00056B07">
        <w:rPr>
          <w:rFonts w:ascii="Verdana" w:hAnsi="Verdana"/>
          <w:sz w:val="20"/>
          <w:lang w:val="es-MX"/>
        </w:rPr>
        <w:t xml:space="preserve"> ii) la</w:t>
      </w:r>
      <w:r w:rsidR="00856210" w:rsidRPr="00056B07">
        <w:rPr>
          <w:rFonts w:ascii="Verdana" w:hAnsi="Verdana"/>
          <w:sz w:val="20"/>
          <w:lang w:val="es-MX"/>
        </w:rPr>
        <w:t xml:space="preserve"> elaboración del reglamento del fideicomiso por parte de la </w:t>
      </w:r>
      <w:r w:rsidR="00EF3306" w:rsidRPr="00056B07">
        <w:rPr>
          <w:rFonts w:ascii="Verdana" w:hAnsi="Verdana"/>
          <w:sz w:val="20"/>
          <w:lang w:val="es-MX"/>
        </w:rPr>
        <w:t xml:space="preserve">Diócesis de </w:t>
      </w:r>
      <w:r w:rsidR="00DA5796">
        <w:rPr>
          <w:rFonts w:ascii="Verdana" w:hAnsi="Verdana"/>
          <w:sz w:val="20"/>
          <w:lang w:val="es-MX"/>
        </w:rPr>
        <w:t xml:space="preserve">la Iglesia Católica de </w:t>
      </w:r>
      <w:r w:rsidR="00EF3306" w:rsidRPr="00056B07">
        <w:rPr>
          <w:rFonts w:ascii="Verdana" w:hAnsi="Verdana"/>
          <w:sz w:val="20"/>
          <w:lang w:val="es-MX"/>
        </w:rPr>
        <w:t xml:space="preserve">San Pedro Sula </w:t>
      </w:r>
      <w:r w:rsidR="00856210" w:rsidRPr="00056B07">
        <w:rPr>
          <w:rFonts w:ascii="Verdana" w:hAnsi="Verdana"/>
          <w:sz w:val="20"/>
          <w:lang w:val="es-MX"/>
        </w:rPr>
        <w:t>y su envío a</w:t>
      </w:r>
      <w:r w:rsidR="00EF3306" w:rsidRPr="00056B07">
        <w:rPr>
          <w:rFonts w:ascii="Verdana" w:hAnsi="Verdana"/>
          <w:sz w:val="20"/>
          <w:lang w:val="es-MX"/>
        </w:rPr>
        <w:t xml:space="preserve"> </w:t>
      </w:r>
      <w:r w:rsidR="00856210" w:rsidRPr="00056B07">
        <w:rPr>
          <w:rFonts w:ascii="Verdana" w:hAnsi="Verdana"/>
          <w:sz w:val="20"/>
          <w:lang w:val="es-MX"/>
        </w:rPr>
        <w:t xml:space="preserve">la Procuraduría General de la República </w:t>
      </w:r>
      <w:r w:rsidR="00EF3306" w:rsidRPr="00056B07">
        <w:rPr>
          <w:rFonts w:ascii="Verdana" w:hAnsi="Verdana"/>
          <w:sz w:val="20"/>
          <w:lang w:val="es-MX"/>
        </w:rPr>
        <w:t xml:space="preserve">para </w:t>
      </w:r>
      <w:r w:rsidR="00856210" w:rsidRPr="00056B07">
        <w:rPr>
          <w:rFonts w:ascii="Verdana" w:hAnsi="Verdana"/>
          <w:sz w:val="20"/>
          <w:lang w:val="es-MX"/>
        </w:rPr>
        <w:t xml:space="preserve">su </w:t>
      </w:r>
      <w:r w:rsidR="00EF3306" w:rsidRPr="00056B07">
        <w:rPr>
          <w:rFonts w:ascii="Verdana" w:hAnsi="Verdana"/>
          <w:sz w:val="20"/>
          <w:lang w:val="es-MX"/>
        </w:rPr>
        <w:t>consideración (</w:t>
      </w:r>
      <w:r w:rsidR="00EF3306" w:rsidRPr="00056B07">
        <w:rPr>
          <w:rFonts w:ascii="Verdana" w:hAnsi="Verdana"/>
          <w:i/>
          <w:sz w:val="20"/>
          <w:lang w:val="es-MX"/>
        </w:rPr>
        <w:t xml:space="preserve">supra </w:t>
      </w:r>
      <w:r w:rsidR="00C55DD0">
        <w:rPr>
          <w:rFonts w:ascii="Verdana" w:hAnsi="Verdana"/>
          <w:sz w:val="20"/>
          <w:lang w:val="es-MX"/>
        </w:rPr>
        <w:t>Considerando 5</w:t>
      </w:r>
      <w:r w:rsidR="00EF3306" w:rsidRPr="00056B07">
        <w:rPr>
          <w:rFonts w:ascii="Verdana" w:hAnsi="Verdana"/>
          <w:sz w:val="20"/>
          <w:lang w:val="es-MX"/>
        </w:rPr>
        <w:t>.c)</w:t>
      </w:r>
      <w:r w:rsidR="00590C47">
        <w:rPr>
          <w:rStyle w:val="Refdenotaalpie"/>
          <w:rFonts w:ascii="Verdana" w:hAnsi="Verdana"/>
          <w:sz w:val="20"/>
          <w:lang w:val="es-MX"/>
        </w:rPr>
        <w:footnoteReference w:id="15"/>
      </w:r>
      <w:r w:rsidR="00EF3306" w:rsidRPr="00056B07">
        <w:rPr>
          <w:rFonts w:ascii="Verdana" w:hAnsi="Verdana"/>
          <w:sz w:val="20"/>
          <w:lang w:val="es-MX"/>
        </w:rPr>
        <w:t>.</w:t>
      </w:r>
    </w:p>
    <w:p w:rsidR="00C3569C" w:rsidRPr="00436119" w:rsidRDefault="000A16EF" w:rsidP="00046155">
      <w:pPr>
        <w:pStyle w:val="Prrafodelista"/>
        <w:numPr>
          <w:ilvl w:val="0"/>
          <w:numId w:val="11"/>
        </w:numPr>
        <w:spacing w:before="120" w:after="120" w:line="240" w:lineRule="auto"/>
        <w:ind w:left="0" w:firstLine="0"/>
        <w:contextualSpacing w:val="0"/>
        <w:jc w:val="both"/>
        <w:rPr>
          <w:rFonts w:ascii="Verdana" w:hAnsi="Verdana"/>
          <w:sz w:val="20"/>
          <w:lang w:val="es-MX"/>
        </w:rPr>
      </w:pPr>
      <w:r>
        <w:rPr>
          <w:rFonts w:ascii="Verdana" w:hAnsi="Verdana"/>
          <w:sz w:val="20"/>
          <w:lang w:val="es-MX"/>
        </w:rPr>
        <w:t>Pese a dichos avances, e</w:t>
      </w:r>
      <w:r w:rsidR="00F773AA">
        <w:rPr>
          <w:rFonts w:ascii="Verdana" w:hAnsi="Verdana"/>
          <w:sz w:val="20"/>
          <w:lang w:val="es-MX"/>
        </w:rPr>
        <w:t>l</w:t>
      </w:r>
      <w:r w:rsidR="004A6C25">
        <w:rPr>
          <w:rFonts w:ascii="Verdana" w:hAnsi="Verdana"/>
          <w:sz w:val="20"/>
          <w:lang w:val="es-MX"/>
        </w:rPr>
        <w:t xml:space="preserve"> Tribunal </w:t>
      </w:r>
      <w:r w:rsidR="00EE5CD2">
        <w:rPr>
          <w:rFonts w:ascii="Verdana" w:hAnsi="Verdana"/>
          <w:sz w:val="20"/>
          <w:lang w:val="es-MX"/>
        </w:rPr>
        <w:t>nota</w:t>
      </w:r>
      <w:r w:rsidR="004A6C25">
        <w:rPr>
          <w:rFonts w:ascii="Verdana" w:hAnsi="Verdana"/>
          <w:sz w:val="20"/>
          <w:lang w:val="es-MX"/>
        </w:rPr>
        <w:t xml:space="preserve"> que</w:t>
      </w:r>
      <w:r w:rsidR="004A6C25" w:rsidRPr="00436119">
        <w:rPr>
          <w:rFonts w:ascii="Verdana" w:hAnsi="Verdana"/>
          <w:sz w:val="20"/>
          <w:lang w:val="es-CR"/>
        </w:rPr>
        <w:t xml:space="preserve"> el principal motivo para </w:t>
      </w:r>
      <w:r w:rsidR="006B6050">
        <w:rPr>
          <w:rFonts w:ascii="Verdana" w:hAnsi="Verdana"/>
          <w:sz w:val="20"/>
          <w:lang w:val="es-CR"/>
        </w:rPr>
        <w:t xml:space="preserve">que, una vez identificados los beneficiarios, se produjera un </w:t>
      </w:r>
      <w:r w:rsidR="004A6C25" w:rsidRPr="00436119">
        <w:rPr>
          <w:rFonts w:ascii="Verdana" w:hAnsi="Verdana"/>
          <w:sz w:val="20"/>
          <w:lang w:val="es-CR"/>
        </w:rPr>
        <w:t xml:space="preserve">retraso </w:t>
      </w:r>
      <w:r>
        <w:rPr>
          <w:rFonts w:ascii="Verdana" w:hAnsi="Verdana"/>
          <w:sz w:val="20"/>
          <w:lang w:val="es-CR"/>
        </w:rPr>
        <w:t>en el cumplimiento de las medidas</w:t>
      </w:r>
      <w:r w:rsidR="002012EF">
        <w:rPr>
          <w:rFonts w:ascii="Verdana" w:hAnsi="Verdana"/>
          <w:sz w:val="20"/>
          <w:lang w:val="es-CR"/>
        </w:rPr>
        <w:t>,</w:t>
      </w:r>
      <w:r>
        <w:rPr>
          <w:rFonts w:ascii="Verdana" w:hAnsi="Verdana"/>
          <w:sz w:val="20"/>
          <w:lang w:val="es-CR"/>
        </w:rPr>
        <w:t xml:space="preserve"> </w:t>
      </w:r>
      <w:r w:rsidR="004A6C25" w:rsidRPr="00436119">
        <w:rPr>
          <w:rFonts w:ascii="Verdana" w:hAnsi="Verdana"/>
          <w:sz w:val="20"/>
          <w:lang w:val="es-CR"/>
        </w:rPr>
        <w:t>fue</w:t>
      </w:r>
      <w:r w:rsidR="004A6C25">
        <w:rPr>
          <w:rFonts w:ascii="Verdana" w:hAnsi="Verdana"/>
          <w:sz w:val="20"/>
          <w:lang w:val="es-CR"/>
        </w:rPr>
        <w:t xml:space="preserve"> la </w:t>
      </w:r>
      <w:r w:rsidR="00FB5134">
        <w:rPr>
          <w:rFonts w:ascii="Verdana" w:hAnsi="Verdana"/>
          <w:sz w:val="20"/>
          <w:lang w:val="es-CR"/>
        </w:rPr>
        <w:t>reticencia</w:t>
      </w:r>
      <w:r w:rsidR="004A6C25">
        <w:rPr>
          <w:rFonts w:ascii="Verdana" w:hAnsi="Verdana"/>
          <w:sz w:val="20"/>
          <w:lang w:val="es-CR"/>
        </w:rPr>
        <w:t xml:space="preserve"> del Estado </w:t>
      </w:r>
      <w:r w:rsidR="00CA49D1">
        <w:rPr>
          <w:rFonts w:ascii="Verdana" w:hAnsi="Verdana"/>
          <w:sz w:val="20"/>
          <w:lang w:val="es-CR"/>
        </w:rPr>
        <w:t>en cubrir los costos de la constitución y administración</w:t>
      </w:r>
      <w:r w:rsidR="00A16936">
        <w:rPr>
          <w:rStyle w:val="Refdenotaalpie"/>
          <w:rFonts w:ascii="Verdana" w:hAnsi="Verdana"/>
          <w:sz w:val="20"/>
          <w:lang w:val="es-CR"/>
        </w:rPr>
        <w:footnoteReference w:id="16"/>
      </w:r>
      <w:r w:rsidR="00CA49D1">
        <w:rPr>
          <w:rFonts w:ascii="Verdana" w:hAnsi="Verdana"/>
          <w:sz w:val="20"/>
          <w:lang w:val="es-CR"/>
        </w:rPr>
        <w:t xml:space="preserve"> d</w:t>
      </w:r>
      <w:r w:rsidR="004A6C25" w:rsidRPr="00436119">
        <w:rPr>
          <w:rFonts w:ascii="Verdana" w:hAnsi="Verdana"/>
          <w:sz w:val="20"/>
          <w:lang w:val="es-CR"/>
        </w:rPr>
        <w:t xml:space="preserve">el </w:t>
      </w:r>
      <w:r w:rsidR="004A6C25" w:rsidRPr="00436119">
        <w:rPr>
          <w:rFonts w:ascii="Verdana" w:hAnsi="Verdana"/>
          <w:sz w:val="20"/>
          <w:lang w:val="es-CR"/>
        </w:rPr>
        <w:lastRenderedPageBreak/>
        <w:t>referido fideicomiso</w:t>
      </w:r>
      <w:r w:rsidR="00A16936">
        <w:rPr>
          <w:rFonts w:ascii="Verdana" w:hAnsi="Verdana"/>
          <w:sz w:val="20"/>
          <w:lang w:val="es-CR"/>
        </w:rPr>
        <w:t xml:space="preserve">, ya que esto </w:t>
      </w:r>
      <w:r w:rsidR="000B227B">
        <w:rPr>
          <w:rFonts w:ascii="Verdana" w:hAnsi="Verdana"/>
          <w:sz w:val="20"/>
          <w:lang w:val="es-CR"/>
        </w:rPr>
        <w:t xml:space="preserve">le </w:t>
      </w:r>
      <w:r w:rsidR="00A16936">
        <w:rPr>
          <w:rFonts w:ascii="Verdana" w:hAnsi="Verdana"/>
          <w:sz w:val="20"/>
          <w:lang w:val="es-CR"/>
        </w:rPr>
        <w:t xml:space="preserve">representaría </w:t>
      </w:r>
      <w:r w:rsidR="004A6C25">
        <w:rPr>
          <w:rFonts w:ascii="Verdana" w:hAnsi="Verdana"/>
          <w:sz w:val="20"/>
          <w:lang w:val="es-CR"/>
        </w:rPr>
        <w:t xml:space="preserve">un </w:t>
      </w:r>
      <w:r w:rsidR="004A6C25" w:rsidRPr="00436119">
        <w:rPr>
          <w:rFonts w:ascii="Verdana" w:hAnsi="Verdana"/>
          <w:sz w:val="20"/>
          <w:lang w:val="es-CR"/>
        </w:rPr>
        <w:t>gasto adicional al</w:t>
      </w:r>
      <w:r w:rsidR="004A6C25">
        <w:rPr>
          <w:rFonts w:ascii="Verdana" w:hAnsi="Verdana"/>
          <w:sz w:val="20"/>
          <w:lang w:val="es-CR"/>
        </w:rPr>
        <w:t xml:space="preserve"> monto global acordado entre las partes para</w:t>
      </w:r>
      <w:r w:rsidR="004A6C25" w:rsidRPr="00436119">
        <w:rPr>
          <w:rFonts w:ascii="Verdana" w:hAnsi="Verdana"/>
          <w:sz w:val="20"/>
          <w:lang w:val="es-CR"/>
        </w:rPr>
        <w:t xml:space="preserve"> </w:t>
      </w:r>
      <w:r w:rsidR="004A6C25">
        <w:rPr>
          <w:rFonts w:ascii="Verdana" w:hAnsi="Verdana"/>
          <w:sz w:val="20"/>
          <w:lang w:val="es-CR"/>
        </w:rPr>
        <w:t>pagar las indemnizaciones por daño</w:t>
      </w:r>
      <w:r w:rsidR="002012EF">
        <w:rPr>
          <w:rFonts w:ascii="Verdana" w:hAnsi="Verdana"/>
          <w:sz w:val="20"/>
          <w:lang w:val="es-CR"/>
        </w:rPr>
        <w:t>s</w:t>
      </w:r>
      <w:r w:rsidR="004A6C25">
        <w:rPr>
          <w:rFonts w:ascii="Verdana" w:hAnsi="Verdana"/>
          <w:sz w:val="20"/>
          <w:lang w:val="es-CR"/>
        </w:rPr>
        <w:t xml:space="preserve"> material</w:t>
      </w:r>
      <w:r w:rsidR="002012EF">
        <w:rPr>
          <w:rFonts w:ascii="Verdana" w:hAnsi="Verdana"/>
          <w:sz w:val="20"/>
          <w:lang w:val="es-CR"/>
        </w:rPr>
        <w:t>es</w:t>
      </w:r>
      <w:r w:rsidR="004A6C25">
        <w:rPr>
          <w:rFonts w:ascii="Verdana" w:hAnsi="Verdana"/>
          <w:sz w:val="20"/>
          <w:lang w:val="es-CR"/>
        </w:rPr>
        <w:t xml:space="preserve"> e inmaterial</w:t>
      </w:r>
      <w:r w:rsidR="002012EF">
        <w:rPr>
          <w:rFonts w:ascii="Verdana" w:hAnsi="Verdana"/>
          <w:sz w:val="20"/>
          <w:lang w:val="es-CR"/>
        </w:rPr>
        <w:t>es</w:t>
      </w:r>
      <w:r w:rsidR="004A6C25">
        <w:rPr>
          <w:rFonts w:ascii="Verdana" w:hAnsi="Verdana"/>
          <w:sz w:val="20"/>
          <w:lang w:val="es-CR"/>
        </w:rPr>
        <w:t xml:space="preserve"> y el reintegro de costos y gastos</w:t>
      </w:r>
      <w:r w:rsidR="004A6C25" w:rsidRPr="00436119">
        <w:rPr>
          <w:rFonts w:ascii="Verdana" w:hAnsi="Verdana"/>
          <w:sz w:val="20"/>
          <w:lang w:val="es-CR"/>
        </w:rPr>
        <w:t xml:space="preserve">. </w:t>
      </w:r>
      <w:r w:rsidR="004A6C25" w:rsidRPr="00436119">
        <w:rPr>
          <w:rFonts w:ascii="Verdana" w:hAnsi="Verdana"/>
          <w:sz w:val="20"/>
          <w:lang w:val="es-MX"/>
        </w:rPr>
        <w:t>Al respecto, la Corte considera que el costo de la administración del fideicomiso</w:t>
      </w:r>
      <w:r w:rsidR="00F773AA">
        <w:rPr>
          <w:rFonts w:ascii="Verdana" w:hAnsi="Verdana"/>
          <w:sz w:val="20"/>
          <w:lang w:val="es-MX"/>
        </w:rPr>
        <w:t xml:space="preserve"> no</w:t>
      </w:r>
      <w:r w:rsidR="004A6C25" w:rsidRPr="00436119">
        <w:rPr>
          <w:rFonts w:ascii="Verdana" w:hAnsi="Verdana"/>
          <w:sz w:val="20"/>
          <w:lang w:val="es-MX"/>
        </w:rPr>
        <w:t xml:space="preserve"> debió ser un obstáculo para la constitución del mismo </w:t>
      </w:r>
      <w:r w:rsidR="00F773AA">
        <w:rPr>
          <w:rFonts w:ascii="Verdana" w:hAnsi="Verdana"/>
          <w:sz w:val="20"/>
          <w:lang w:val="es-MX"/>
        </w:rPr>
        <w:t>y</w:t>
      </w:r>
      <w:r w:rsidR="00221F34">
        <w:rPr>
          <w:rFonts w:ascii="Verdana" w:hAnsi="Verdana"/>
          <w:sz w:val="20"/>
          <w:lang w:val="es-MX"/>
        </w:rPr>
        <w:t xml:space="preserve"> el consecuente retraso en</w:t>
      </w:r>
      <w:r w:rsidR="00F773AA">
        <w:rPr>
          <w:rFonts w:ascii="Verdana" w:hAnsi="Verdana"/>
          <w:sz w:val="20"/>
          <w:lang w:val="es-MX"/>
        </w:rPr>
        <w:t xml:space="preserve"> el</w:t>
      </w:r>
      <w:r w:rsidR="00EE5CD2">
        <w:rPr>
          <w:rFonts w:ascii="Verdana" w:hAnsi="Verdana"/>
          <w:sz w:val="20"/>
          <w:lang w:val="es-MX"/>
        </w:rPr>
        <w:t xml:space="preserve"> cumplimiento de</w:t>
      </w:r>
      <w:r w:rsidR="004A6C25" w:rsidRPr="00436119">
        <w:rPr>
          <w:rFonts w:ascii="Verdana" w:hAnsi="Verdana"/>
          <w:sz w:val="20"/>
          <w:lang w:val="es-MX"/>
        </w:rPr>
        <w:t xml:space="preserve"> las medidas </w:t>
      </w:r>
      <w:r w:rsidR="00984BB7">
        <w:rPr>
          <w:rFonts w:ascii="Verdana" w:hAnsi="Verdana"/>
          <w:sz w:val="20"/>
          <w:lang w:val="es-MX"/>
        </w:rPr>
        <w:t xml:space="preserve">que fueron </w:t>
      </w:r>
      <w:r w:rsidR="004A6C25" w:rsidRPr="00436119">
        <w:rPr>
          <w:rFonts w:ascii="Verdana" w:hAnsi="Verdana"/>
          <w:sz w:val="20"/>
          <w:lang w:val="es-MX"/>
        </w:rPr>
        <w:t xml:space="preserve">acordadas por el </w:t>
      </w:r>
      <w:r w:rsidR="002012EF">
        <w:rPr>
          <w:rFonts w:ascii="Verdana" w:hAnsi="Verdana"/>
          <w:sz w:val="20"/>
          <w:lang w:val="es-MX"/>
        </w:rPr>
        <w:t xml:space="preserve">propio </w:t>
      </w:r>
      <w:r w:rsidR="00F773AA">
        <w:rPr>
          <w:rFonts w:ascii="Verdana" w:hAnsi="Verdana"/>
          <w:sz w:val="20"/>
          <w:lang w:val="es-MX"/>
        </w:rPr>
        <w:t>Estado con las víctimas</w:t>
      </w:r>
      <w:r w:rsidR="004A6C25" w:rsidRPr="00436119">
        <w:rPr>
          <w:rFonts w:ascii="Verdana" w:hAnsi="Verdana"/>
          <w:sz w:val="20"/>
          <w:lang w:val="es-MX"/>
        </w:rPr>
        <w:t>.</w:t>
      </w:r>
      <w:r w:rsidR="00386061">
        <w:rPr>
          <w:rFonts w:ascii="Verdana" w:hAnsi="Verdana"/>
          <w:sz w:val="20"/>
          <w:lang w:val="es-MX"/>
        </w:rPr>
        <w:t xml:space="preserve"> Adicionalmente, era claro </w:t>
      </w:r>
      <w:r w:rsidR="00221F34">
        <w:rPr>
          <w:rFonts w:ascii="Verdana" w:hAnsi="Verdana"/>
          <w:sz w:val="20"/>
          <w:lang w:val="es-MX"/>
        </w:rPr>
        <w:t xml:space="preserve">tanto </w:t>
      </w:r>
      <w:r w:rsidR="00386061">
        <w:rPr>
          <w:rFonts w:ascii="Verdana" w:hAnsi="Verdana"/>
          <w:sz w:val="20"/>
          <w:lang w:val="es-MX"/>
        </w:rPr>
        <w:t xml:space="preserve">de la forma en cómo fue acordada la medida </w:t>
      </w:r>
      <w:r w:rsidR="00221F34">
        <w:rPr>
          <w:rFonts w:ascii="Verdana" w:hAnsi="Verdana"/>
          <w:sz w:val="20"/>
          <w:lang w:val="es-MX"/>
        </w:rPr>
        <w:t>como de la obligación estatal de reparar por</w:t>
      </w:r>
      <w:r w:rsidR="00386061">
        <w:rPr>
          <w:rFonts w:ascii="Verdana" w:hAnsi="Verdana"/>
          <w:sz w:val="20"/>
          <w:lang w:val="es-MX"/>
        </w:rPr>
        <w:t xml:space="preserve"> ser responsable de las violaciones declaradas en la Sentencia, que </w:t>
      </w:r>
      <w:r w:rsidR="00221F34">
        <w:rPr>
          <w:rFonts w:ascii="Verdana" w:hAnsi="Verdana"/>
          <w:sz w:val="20"/>
          <w:lang w:val="es-MX"/>
        </w:rPr>
        <w:t xml:space="preserve">el Estado </w:t>
      </w:r>
      <w:r w:rsidR="00386061">
        <w:rPr>
          <w:rFonts w:ascii="Verdana" w:hAnsi="Verdana"/>
          <w:sz w:val="20"/>
          <w:lang w:val="es-MX"/>
        </w:rPr>
        <w:t>tendría que correr con los costos de la constitución y administración del fideicomiso</w:t>
      </w:r>
      <w:r w:rsidR="00386061">
        <w:rPr>
          <w:rStyle w:val="Refdenotaalpie"/>
          <w:rFonts w:ascii="Verdana" w:hAnsi="Verdana"/>
          <w:sz w:val="20"/>
          <w:lang w:val="es-MX"/>
        </w:rPr>
        <w:footnoteReference w:id="17"/>
      </w:r>
      <w:r w:rsidR="00386061">
        <w:rPr>
          <w:rFonts w:ascii="Verdana" w:hAnsi="Verdana"/>
          <w:sz w:val="20"/>
          <w:lang w:val="es-MX"/>
        </w:rPr>
        <w:t>.</w:t>
      </w:r>
      <w:r w:rsidR="004A6C25">
        <w:rPr>
          <w:rFonts w:ascii="Verdana" w:hAnsi="Verdana"/>
          <w:sz w:val="20"/>
          <w:szCs w:val="20"/>
          <w:lang w:val="es-CR"/>
        </w:rPr>
        <w:t xml:space="preserve"> </w:t>
      </w:r>
    </w:p>
    <w:p w:rsidR="009D197D" w:rsidRPr="004C6334" w:rsidRDefault="000B34F3" w:rsidP="00046155">
      <w:pPr>
        <w:pStyle w:val="Prrafodelista"/>
        <w:numPr>
          <w:ilvl w:val="0"/>
          <w:numId w:val="11"/>
        </w:numPr>
        <w:spacing w:before="120" w:after="120" w:line="240" w:lineRule="auto"/>
        <w:ind w:left="0" w:firstLine="0"/>
        <w:contextualSpacing w:val="0"/>
        <w:jc w:val="both"/>
        <w:rPr>
          <w:rFonts w:ascii="Verdana" w:hAnsi="Verdana"/>
          <w:sz w:val="20"/>
          <w:lang w:val="es-MX"/>
        </w:rPr>
      </w:pPr>
      <w:r>
        <w:rPr>
          <w:rFonts w:ascii="Verdana" w:hAnsi="Verdana"/>
          <w:sz w:val="20"/>
          <w:lang w:val="es-MX"/>
        </w:rPr>
        <w:t xml:space="preserve">No obstante </w:t>
      </w:r>
      <w:r w:rsidR="00EF3306">
        <w:rPr>
          <w:rFonts w:ascii="Verdana" w:hAnsi="Verdana"/>
          <w:sz w:val="20"/>
          <w:lang w:val="es-MX"/>
        </w:rPr>
        <w:t>lo anterior</w:t>
      </w:r>
      <w:r w:rsidR="009222CF">
        <w:rPr>
          <w:rFonts w:ascii="Verdana" w:hAnsi="Verdana"/>
          <w:sz w:val="20"/>
          <w:lang w:val="es-MX"/>
        </w:rPr>
        <w:t xml:space="preserve">, la Corte valora positivamente que </w:t>
      </w:r>
      <w:r w:rsidR="00837B15">
        <w:rPr>
          <w:rFonts w:ascii="Verdana" w:hAnsi="Verdana"/>
          <w:sz w:val="20"/>
          <w:lang w:val="es-MX"/>
        </w:rPr>
        <w:t xml:space="preserve">el </w:t>
      </w:r>
      <w:r w:rsidR="0093159D">
        <w:rPr>
          <w:rFonts w:ascii="Verdana" w:hAnsi="Verdana"/>
          <w:sz w:val="20"/>
          <w:lang w:val="es-MX"/>
        </w:rPr>
        <w:t>Estado</w:t>
      </w:r>
      <w:r w:rsidR="00EF3306">
        <w:rPr>
          <w:rFonts w:ascii="Verdana" w:hAnsi="Verdana"/>
          <w:sz w:val="20"/>
          <w:lang w:val="es-MX"/>
        </w:rPr>
        <w:t xml:space="preserve"> y los representantes </w:t>
      </w:r>
      <w:r w:rsidR="007334DC">
        <w:rPr>
          <w:rFonts w:ascii="Verdana" w:hAnsi="Verdana"/>
          <w:sz w:val="20"/>
          <w:lang w:val="es-MX"/>
        </w:rPr>
        <w:t xml:space="preserve">de las víctimas </w:t>
      </w:r>
      <w:r w:rsidR="00EF3306">
        <w:rPr>
          <w:rFonts w:ascii="Verdana" w:hAnsi="Verdana"/>
          <w:sz w:val="20"/>
          <w:lang w:val="es-MX"/>
        </w:rPr>
        <w:t xml:space="preserve">hayan mantenido un diálogo que les permitiera suscribir el 31 de marzo de 2017 un nuevo </w:t>
      </w:r>
      <w:r w:rsidR="0093159D">
        <w:rPr>
          <w:rFonts w:ascii="Verdana" w:hAnsi="Verdana"/>
          <w:sz w:val="20"/>
          <w:lang w:val="es-MX"/>
        </w:rPr>
        <w:t>“Acuerdo conjunto de pago indemnizatorio”</w:t>
      </w:r>
      <w:r w:rsidR="00F26159">
        <w:rPr>
          <w:rFonts w:ascii="Verdana" w:hAnsi="Verdana"/>
          <w:sz w:val="20"/>
          <w:lang w:val="es-MX"/>
        </w:rPr>
        <w:t>, el cual solicitan sea “homologado” por este Tribunal (</w:t>
      </w:r>
      <w:r w:rsidR="00F26159">
        <w:rPr>
          <w:rFonts w:ascii="Verdana" w:hAnsi="Verdana"/>
          <w:i/>
          <w:sz w:val="20"/>
          <w:lang w:val="es-MX"/>
        </w:rPr>
        <w:t>supra</w:t>
      </w:r>
      <w:r w:rsidR="006D4BA6">
        <w:rPr>
          <w:rFonts w:ascii="Verdana" w:hAnsi="Verdana"/>
          <w:i/>
          <w:sz w:val="20"/>
          <w:lang w:val="es-MX"/>
        </w:rPr>
        <w:t xml:space="preserve"> </w:t>
      </w:r>
      <w:r w:rsidR="006D4BA6" w:rsidRPr="006D4BA6">
        <w:rPr>
          <w:rFonts w:ascii="Verdana" w:hAnsi="Verdana"/>
          <w:sz w:val="20"/>
          <w:lang w:val="es-MX"/>
        </w:rPr>
        <w:t xml:space="preserve">Vistos </w:t>
      </w:r>
      <w:r w:rsidR="00CF3B8E">
        <w:rPr>
          <w:rFonts w:ascii="Verdana" w:hAnsi="Verdana"/>
          <w:sz w:val="20"/>
          <w:lang w:val="es-MX"/>
        </w:rPr>
        <w:t>3 y 4</w:t>
      </w:r>
      <w:r w:rsidR="00F26159">
        <w:rPr>
          <w:rFonts w:ascii="Verdana" w:hAnsi="Verdana"/>
          <w:sz w:val="20"/>
          <w:lang w:val="es-MX"/>
        </w:rPr>
        <w:t>)</w:t>
      </w:r>
      <w:r w:rsidR="00530BFC">
        <w:rPr>
          <w:rStyle w:val="Refdenotaalpie"/>
          <w:rFonts w:ascii="Verdana" w:hAnsi="Verdana"/>
          <w:sz w:val="20"/>
          <w:lang w:val="es-MX"/>
        </w:rPr>
        <w:footnoteReference w:id="18"/>
      </w:r>
      <w:r w:rsidR="00837B15">
        <w:rPr>
          <w:rFonts w:ascii="Verdana" w:hAnsi="Verdana"/>
          <w:sz w:val="20"/>
          <w:lang w:val="es-MX"/>
        </w:rPr>
        <w:t xml:space="preserve">. </w:t>
      </w:r>
      <w:r w:rsidR="00AA2C25">
        <w:rPr>
          <w:rFonts w:ascii="Verdana" w:hAnsi="Verdana"/>
          <w:sz w:val="20"/>
          <w:lang w:val="es-MX"/>
        </w:rPr>
        <w:t xml:space="preserve">Fue indicado por los representantes que ese diálogo fue retomado </w:t>
      </w:r>
      <w:r w:rsidR="00AA2C25" w:rsidRPr="00AA2C25">
        <w:rPr>
          <w:rFonts w:ascii="Verdana" w:hAnsi="Verdana"/>
          <w:sz w:val="20"/>
          <w:lang w:val="es-MX"/>
        </w:rPr>
        <w:t>después de la audiencia de supervisión celebrada en Honduras en el año 2015.</w:t>
      </w:r>
      <w:r w:rsidR="00AA2C25">
        <w:rPr>
          <w:rFonts w:ascii="Verdana" w:hAnsi="Verdana"/>
          <w:sz w:val="20"/>
          <w:lang w:val="es-MX"/>
        </w:rPr>
        <w:t xml:space="preserve"> </w:t>
      </w:r>
      <w:r w:rsidR="007647BF" w:rsidRPr="00BA702C">
        <w:rPr>
          <w:rFonts w:ascii="Verdana" w:hAnsi="Verdana"/>
          <w:sz w:val="20"/>
          <w:lang w:val="es-MX"/>
        </w:rPr>
        <w:t xml:space="preserve">En la cláusula primera del acuerdo se estipula que el mismo “[s]e suscribe […] en el marco del cumplimiento del punto resolutivo </w:t>
      </w:r>
      <w:r w:rsidR="00E42728" w:rsidRPr="00BA702C">
        <w:rPr>
          <w:rFonts w:ascii="Verdana" w:hAnsi="Verdana"/>
          <w:sz w:val="20"/>
          <w:lang w:val="es-MX"/>
        </w:rPr>
        <w:t>No. 11 […]</w:t>
      </w:r>
      <w:r w:rsidR="007647BF" w:rsidRPr="00BA702C">
        <w:rPr>
          <w:rFonts w:ascii="Verdana" w:hAnsi="Verdana"/>
          <w:sz w:val="20"/>
          <w:lang w:val="es-MX"/>
        </w:rPr>
        <w:t xml:space="preserve"> de la [S]entencia”.</w:t>
      </w:r>
      <w:r w:rsidR="007647BF">
        <w:rPr>
          <w:rFonts w:ascii="Verdana" w:hAnsi="Verdana"/>
          <w:sz w:val="20"/>
          <w:lang w:val="es-MX"/>
        </w:rPr>
        <w:t xml:space="preserve"> </w:t>
      </w:r>
      <w:r w:rsidR="007334DC" w:rsidRPr="007334DC">
        <w:rPr>
          <w:rFonts w:ascii="Verdana" w:hAnsi="Verdana"/>
          <w:sz w:val="20"/>
          <w:szCs w:val="20"/>
          <w:lang w:val="es-MX"/>
        </w:rPr>
        <w:t xml:space="preserve">El acuerdo tiene por objeto cambiar la modalidad por medio de la cual </w:t>
      </w:r>
      <w:r w:rsidR="007334DC">
        <w:rPr>
          <w:rFonts w:ascii="Verdana" w:hAnsi="Verdana"/>
          <w:sz w:val="20"/>
          <w:szCs w:val="20"/>
          <w:lang w:val="es-MX"/>
        </w:rPr>
        <w:t>el Estado</w:t>
      </w:r>
      <w:r w:rsidR="007334DC" w:rsidRPr="007334DC">
        <w:rPr>
          <w:rFonts w:ascii="Verdana" w:hAnsi="Verdana"/>
          <w:sz w:val="20"/>
          <w:szCs w:val="20"/>
          <w:lang w:val="es-MX"/>
        </w:rPr>
        <w:t xml:space="preserve"> efectuar</w:t>
      </w:r>
      <w:r w:rsidR="007334DC">
        <w:rPr>
          <w:rFonts w:ascii="Verdana" w:hAnsi="Verdana"/>
          <w:sz w:val="20"/>
          <w:szCs w:val="20"/>
          <w:lang w:val="es-MX"/>
        </w:rPr>
        <w:t>á</w:t>
      </w:r>
      <w:r w:rsidR="007334DC" w:rsidRPr="007334DC">
        <w:rPr>
          <w:rFonts w:ascii="Verdana" w:hAnsi="Verdana"/>
          <w:sz w:val="20"/>
          <w:szCs w:val="20"/>
          <w:lang w:val="es-MX"/>
        </w:rPr>
        <w:t xml:space="preserve"> los pagos</w:t>
      </w:r>
      <w:r w:rsidR="00530BFC">
        <w:rPr>
          <w:rFonts w:ascii="Verdana" w:hAnsi="Verdana"/>
          <w:sz w:val="20"/>
          <w:szCs w:val="20"/>
          <w:lang w:val="es-MX"/>
        </w:rPr>
        <w:t xml:space="preserve"> por concepto de indemnizaciones de daños materiales e inmateriales y reintegro de costas y gastos</w:t>
      </w:r>
      <w:r w:rsidR="007334DC" w:rsidRPr="007334DC">
        <w:rPr>
          <w:rFonts w:ascii="Verdana" w:hAnsi="Verdana"/>
          <w:sz w:val="20"/>
          <w:szCs w:val="20"/>
          <w:lang w:val="es-MX"/>
        </w:rPr>
        <w:t>, de manera que no sea a través de un fideicomiso (como había sido fijado en la Sentencia), sino, en su lugar, realizando pagos directos a cada beneficiario mediante cheque.</w:t>
      </w:r>
      <w:r w:rsidR="007334DC">
        <w:rPr>
          <w:rFonts w:ascii="Verdana" w:hAnsi="Verdana"/>
          <w:sz w:val="18"/>
          <w:szCs w:val="18"/>
          <w:lang w:val="es-MX"/>
        </w:rPr>
        <w:t xml:space="preserve"> </w:t>
      </w:r>
      <w:r w:rsidR="009D197D" w:rsidRPr="004C6334">
        <w:rPr>
          <w:rFonts w:ascii="Verdana" w:hAnsi="Verdana"/>
          <w:sz w:val="20"/>
          <w:szCs w:val="20"/>
          <w:lang w:val="es-MX"/>
        </w:rPr>
        <w:t>Tanto el Estado como los representantes de las víctimas han solicitado a este Tribunal la homologación del mismo, en los términos acordados.</w:t>
      </w:r>
    </w:p>
    <w:p w:rsidR="00A803B5" w:rsidRDefault="00837B15" w:rsidP="00046155">
      <w:pPr>
        <w:pStyle w:val="Prrafodelista"/>
        <w:numPr>
          <w:ilvl w:val="0"/>
          <w:numId w:val="11"/>
        </w:numPr>
        <w:spacing w:after="0" w:line="240" w:lineRule="auto"/>
        <w:ind w:left="0" w:firstLine="0"/>
        <w:contextualSpacing w:val="0"/>
        <w:jc w:val="both"/>
        <w:rPr>
          <w:rFonts w:ascii="Verdana" w:hAnsi="Verdana"/>
          <w:sz w:val="20"/>
          <w:lang w:val="es-MX"/>
        </w:rPr>
      </w:pPr>
      <w:r w:rsidRPr="00837B15">
        <w:rPr>
          <w:rFonts w:ascii="Verdana" w:hAnsi="Verdana"/>
          <w:sz w:val="20"/>
          <w:lang w:val="es-MX"/>
        </w:rPr>
        <w:t xml:space="preserve">A continuación, </w:t>
      </w:r>
      <w:r w:rsidR="00AA2C25">
        <w:rPr>
          <w:rFonts w:ascii="Verdana" w:hAnsi="Verdana"/>
          <w:sz w:val="20"/>
          <w:lang w:val="es-MX"/>
        </w:rPr>
        <w:t>se</w:t>
      </w:r>
      <w:r w:rsidRPr="00837B15">
        <w:rPr>
          <w:rFonts w:ascii="Verdana" w:hAnsi="Verdana"/>
          <w:sz w:val="20"/>
          <w:lang w:val="es-MX"/>
        </w:rPr>
        <w:t xml:space="preserve"> </w:t>
      </w:r>
      <w:r w:rsidR="00AA6749">
        <w:rPr>
          <w:rFonts w:ascii="Verdana" w:hAnsi="Verdana"/>
          <w:sz w:val="20"/>
          <w:lang w:val="es-MX"/>
        </w:rPr>
        <w:t>transcribe los</w:t>
      </w:r>
      <w:r>
        <w:rPr>
          <w:rFonts w:ascii="Verdana" w:hAnsi="Verdana"/>
          <w:sz w:val="20"/>
          <w:lang w:val="es-MX"/>
        </w:rPr>
        <w:t xml:space="preserve"> principales puntos convenidos</w:t>
      </w:r>
      <w:r w:rsidR="00AA6749">
        <w:rPr>
          <w:rFonts w:ascii="Verdana" w:hAnsi="Verdana"/>
          <w:sz w:val="20"/>
          <w:lang w:val="es-MX"/>
        </w:rPr>
        <w:t xml:space="preserve"> en el acuerdo, el cual </w:t>
      </w:r>
      <w:r w:rsidR="00E42728" w:rsidRPr="00BA702C">
        <w:rPr>
          <w:rFonts w:ascii="Verdana" w:hAnsi="Verdana"/>
          <w:sz w:val="20"/>
          <w:lang w:val="es-MX"/>
        </w:rPr>
        <w:t>contiene tres cláusulas: la primera se refiere al “contexto del acuerdo”, la segunda a su “justificación” y la tercera contempla tres “acuerdos” relativos al cambio de la modalidad de la forma de pago, la “fecha [de] realización [del] pago” y el “procedimiento para hacer efectivo el pago”</w:t>
      </w:r>
      <w:r w:rsidR="001A0003" w:rsidRPr="00530BFC">
        <w:rPr>
          <w:rFonts w:ascii="Verdana" w:hAnsi="Verdana"/>
          <w:sz w:val="20"/>
          <w:lang w:val="es-MX"/>
        </w:rPr>
        <w:t>.</w:t>
      </w:r>
      <w:r w:rsidR="00A66876">
        <w:rPr>
          <w:rFonts w:ascii="Verdana" w:hAnsi="Verdana"/>
          <w:sz w:val="20"/>
          <w:lang w:val="es-MX"/>
        </w:rPr>
        <w:t xml:space="preserve"> Asimismo, el acuerdo contiene un listado anexo</w:t>
      </w:r>
      <w:r w:rsidR="00AA6749">
        <w:rPr>
          <w:rFonts w:ascii="Verdana" w:hAnsi="Verdana"/>
          <w:sz w:val="20"/>
          <w:lang w:val="es-MX"/>
        </w:rPr>
        <w:t xml:space="preserve"> </w:t>
      </w:r>
      <w:r w:rsidR="00AA2C25">
        <w:rPr>
          <w:rFonts w:ascii="Verdana" w:hAnsi="Verdana"/>
          <w:sz w:val="20"/>
          <w:lang w:val="es-MX"/>
        </w:rPr>
        <w:t>de</w:t>
      </w:r>
      <w:r w:rsidR="00AA6749">
        <w:rPr>
          <w:rFonts w:ascii="Verdana" w:hAnsi="Verdana"/>
          <w:sz w:val="20"/>
          <w:lang w:val="es-MX"/>
        </w:rPr>
        <w:t xml:space="preserve"> los familiares de las 107 víctimas fallecidas que recibirán el pago</w:t>
      </w:r>
      <w:r w:rsidR="00A66876">
        <w:rPr>
          <w:rFonts w:ascii="Verdana" w:hAnsi="Verdana"/>
          <w:sz w:val="20"/>
          <w:lang w:val="es-MX"/>
        </w:rPr>
        <w:t>.</w:t>
      </w:r>
    </w:p>
    <w:p w:rsidR="00882E89" w:rsidRPr="007123C0" w:rsidRDefault="00882E89" w:rsidP="00A66876">
      <w:pPr>
        <w:pStyle w:val="Prrafodelista"/>
        <w:spacing w:after="0" w:line="240" w:lineRule="auto"/>
        <w:contextualSpacing w:val="0"/>
        <w:jc w:val="both"/>
        <w:rPr>
          <w:rFonts w:ascii="Verdana" w:hAnsi="Verdana"/>
          <w:sz w:val="17"/>
          <w:szCs w:val="17"/>
          <w:lang w:val="es-CR"/>
        </w:rPr>
      </w:pPr>
    </w:p>
    <w:p w:rsidR="00882E89" w:rsidRPr="007123C0" w:rsidRDefault="00882E89" w:rsidP="00A66876">
      <w:pPr>
        <w:pStyle w:val="Prrafodelista"/>
        <w:spacing w:after="0" w:line="240" w:lineRule="auto"/>
        <w:contextualSpacing w:val="0"/>
        <w:jc w:val="both"/>
        <w:rPr>
          <w:rFonts w:ascii="Verdana" w:hAnsi="Verdana"/>
          <w:sz w:val="17"/>
          <w:szCs w:val="17"/>
          <w:lang w:val="es-MX"/>
        </w:rPr>
      </w:pPr>
      <w:r w:rsidRPr="007123C0">
        <w:rPr>
          <w:rFonts w:ascii="Verdana" w:hAnsi="Verdana"/>
          <w:sz w:val="17"/>
          <w:szCs w:val="17"/>
          <w:lang w:val="es-MX"/>
        </w:rPr>
        <w:t>PRIMERA. DEL CONTEXTO DEL ACUERDO: Se suscribe el presente Acuerdo en el marco del cumplimiento del punto resolutivo No. 11 […] de la [S]entencia de fecha 27 de abril de 2012 recaída en el caso […] Pacheco Teruel y [o]tros contra el Estado de Honduras, dictada por la Corte Interamericana de Derechos Humanos</w:t>
      </w:r>
      <w:r w:rsidR="000A1A67">
        <w:rPr>
          <w:rFonts w:ascii="Verdana" w:hAnsi="Verdana"/>
          <w:sz w:val="17"/>
          <w:szCs w:val="17"/>
          <w:lang w:val="es-MX"/>
        </w:rPr>
        <w:t xml:space="preserve"> […]</w:t>
      </w:r>
      <w:r w:rsidRPr="007123C0">
        <w:rPr>
          <w:rFonts w:ascii="Verdana" w:hAnsi="Verdana"/>
          <w:sz w:val="17"/>
          <w:szCs w:val="17"/>
          <w:lang w:val="es-MX"/>
        </w:rPr>
        <w:t>.</w:t>
      </w:r>
    </w:p>
    <w:p w:rsidR="00A66876" w:rsidRPr="007123C0" w:rsidRDefault="00A66876" w:rsidP="00A66876">
      <w:pPr>
        <w:pStyle w:val="Prrafodelista"/>
        <w:spacing w:after="0" w:line="240" w:lineRule="auto"/>
        <w:contextualSpacing w:val="0"/>
        <w:jc w:val="both"/>
        <w:rPr>
          <w:rFonts w:ascii="Verdana" w:hAnsi="Verdana"/>
          <w:sz w:val="17"/>
          <w:szCs w:val="17"/>
          <w:lang w:val="es-MX"/>
        </w:rPr>
      </w:pPr>
    </w:p>
    <w:p w:rsidR="0093159D" w:rsidRPr="007123C0" w:rsidRDefault="00882E89" w:rsidP="00A66876">
      <w:pPr>
        <w:pStyle w:val="Prrafodelista"/>
        <w:spacing w:after="0" w:line="240" w:lineRule="auto"/>
        <w:contextualSpacing w:val="0"/>
        <w:jc w:val="both"/>
        <w:rPr>
          <w:rFonts w:ascii="Verdana" w:hAnsi="Verdana"/>
          <w:sz w:val="17"/>
          <w:szCs w:val="17"/>
          <w:lang w:val="es-MX"/>
        </w:rPr>
      </w:pPr>
      <w:r w:rsidRPr="007123C0">
        <w:rPr>
          <w:rFonts w:ascii="Verdana" w:hAnsi="Verdana"/>
          <w:sz w:val="17"/>
          <w:szCs w:val="17"/>
          <w:lang w:val="es-MX"/>
        </w:rPr>
        <w:t>SEGUNDA. JUSTIFICACIÓN</w:t>
      </w:r>
      <w:r w:rsidR="00CF3B8E">
        <w:rPr>
          <w:rFonts w:ascii="Verdana" w:hAnsi="Verdana"/>
          <w:sz w:val="17"/>
          <w:szCs w:val="17"/>
          <w:lang w:val="es-MX"/>
        </w:rPr>
        <w:t>:</w:t>
      </w:r>
      <w:r w:rsidR="00FC44C2">
        <w:rPr>
          <w:rFonts w:ascii="Verdana" w:hAnsi="Verdana"/>
          <w:sz w:val="17"/>
          <w:szCs w:val="17"/>
          <w:lang w:val="es-MX"/>
        </w:rPr>
        <w:t xml:space="preserve"> El párrafo 132 de la s</w:t>
      </w:r>
      <w:r w:rsidRPr="007123C0">
        <w:rPr>
          <w:rFonts w:ascii="Verdana" w:hAnsi="Verdana"/>
          <w:sz w:val="17"/>
          <w:szCs w:val="17"/>
          <w:lang w:val="es-MX"/>
        </w:rPr>
        <w:t>entencia […] recoge [… e</w:t>
      </w:r>
      <w:proofErr w:type="gramStart"/>
      <w:r w:rsidRPr="007123C0">
        <w:rPr>
          <w:rFonts w:ascii="Verdana" w:hAnsi="Verdana"/>
          <w:sz w:val="17"/>
          <w:szCs w:val="17"/>
          <w:lang w:val="es-MX"/>
        </w:rPr>
        <w:t>]l</w:t>
      </w:r>
      <w:proofErr w:type="gramEnd"/>
      <w:r w:rsidRPr="007123C0">
        <w:rPr>
          <w:rFonts w:ascii="Verdana" w:hAnsi="Verdana"/>
          <w:sz w:val="17"/>
          <w:szCs w:val="17"/>
          <w:lang w:val="es-MX"/>
        </w:rPr>
        <w:t xml:space="preserve"> mecanismo para el pago indemnizatorio a los familiares de las víctimas, el que se haría por medio de la constitución de un Fideicomiso cuyo reglamento fue responsabilidad de las instituciones de la Iglesia Católica que </w:t>
      </w:r>
      <w:r w:rsidRPr="007123C0">
        <w:rPr>
          <w:rFonts w:ascii="Verdana" w:hAnsi="Verdana"/>
          <w:sz w:val="17"/>
          <w:szCs w:val="17"/>
          <w:lang w:val="es-MX"/>
        </w:rPr>
        <w:lastRenderedPageBreak/>
        <w:t xml:space="preserve">representan a los familiares de las víctimas. [… </w:t>
      </w:r>
      <w:proofErr w:type="gramStart"/>
      <w:r w:rsidRPr="007123C0">
        <w:rPr>
          <w:rFonts w:ascii="Verdana" w:hAnsi="Verdana"/>
          <w:sz w:val="17"/>
          <w:szCs w:val="17"/>
          <w:lang w:val="es-MX"/>
        </w:rPr>
        <w:t>L]as</w:t>
      </w:r>
      <w:proofErr w:type="gramEnd"/>
      <w:r w:rsidRPr="007123C0">
        <w:rPr>
          <w:rFonts w:ascii="Verdana" w:hAnsi="Verdana"/>
          <w:sz w:val="17"/>
          <w:szCs w:val="17"/>
          <w:lang w:val="es-MX"/>
        </w:rPr>
        <w:t xml:space="preserve"> circunstancias que dieron lugar al uso del mecanismo del Fideicomiso han cambiado sustancialmente porque:</w:t>
      </w:r>
    </w:p>
    <w:p w:rsidR="00686685" w:rsidRPr="007123C0" w:rsidRDefault="00882E89" w:rsidP="00A66876">
      <w:pPr>
        <w:pStyle w:val="Prrafodelista"/>
        <w:numPr>
          <w:ilvl w:val="1"/>
          <w:numId w:val="7"/>
        </w:numPr>
        <w:spacing w:after="0" w:line="240" w:lineRule="auto"/>
        <w:contextualSpacing w:val="0"/>
        <w:jc w:val="both"/>
        <w:rPr>
          <w:rFonts w:ascii="Verdana" w:hAnsi="Verdana"/>
          <w:sz w:val="17"/>
          <w:szCs w:val="17"/>
          <w:lang w:val="es-MX"/>
        </w:rPr>
      </w:pPr>
      <w:r w:rsidRPr="007123C0">
        <w:rPr>
          <w:rFonts w:ascii="Verdana" w:hAnsi="Verdana"/>
          <w:sz w:val="17"/>
          <w:szCs w:val="17"/>
          <w:lang w:val="es-MX"/>
        </w:rPr>
        <w:t xml:space="preserve">Este mecanismo se pactó con familiares de </w:t>
      </w:r>
      <w:r w:rsidR="0021602B" w:rsidRPr="007123C0">
        <w:rPr>
          <w:rFonts w:ascii="Verdana" w:hAnsi="Verdana"/>
          <w:sz w:val="17"/>
          <w:szCs w:val="17"/>
          <w:lang w:val="es-MX"/>
        </w:rPr>
        <w:t xml:space="preserve">18 víctimas identificados </w:t>
      </w:r>
      <w:r w:rsidRPr="007123C0">
        <w:rPr>
          <w:rFonts w:ascii="Verdana" w:hAnsi="Verdana"/>
          <w:sz w:val="17"/>
          <w:szCs w:val="17"/>
          <w:lang w:val="es-MX"/>
        </w:rPr>
        <w:t xml:space="preserve">en el anexo C de la </w:t>
      </w:r>
      <w:r w:rsidR="00FC44C2">
        <w:rPr>
          <w:rFonts w:ascii="Verdana" w:hAnsi="Verdana"/>
          <w:sz w:val="17"/>
          <w:szCs w:val="17"/>
          <w:lang w:val="es-MX"/>
        </w:rPr>
        <w:t>s</w:t>
      </w:r>
      <w:r w:rsidRPr="007123C0">
        <w:rPr>
          <w:rFonts w:ascii="Verdana" w:hAnsi="Verdana"/>
          <w:sz w:val="17"/>
          <w:szCs w:val="17"/>
          <w:lang w:val="es-MX"/>
        </w:rPr>
        <w:t xml:space="preserve">entencia, </w:t>
      </w:r>
      <w:r w:rsidR="0021602B" w:rsidRPr="007123C0">
        <w:rPr>
          <w:rFonts w:ascii="Verdana" w:hAnsi="Verdana"/>
          <w:sz w:val="17"/>
          <w:szCs w:val="17"/>
          <w:lang w:val="es-MX"/>
        </w:rPr>
        <w:t>con el fin de garantizar la educación de las hijas e hijos de las víctimas, así como la salud y gastos</w:t>
      </w:r>
      <w:r w:rsidRPr="007123C0">
        <w:rPr>
          <w:rFonts w:ascii="Verdana" w:hAnsi="Verdana"/>
          <w:sz w:val="17"/>
          <w:szCs w:val="17"/>
          <w:lang w:val="es-MX"/>
        </w:rPr>
        <w:t xml:space="preserve"> fúnebres de </w:t>
      </w:r>
      <w:r w:rsidR="00FC44C2">
        <w:rPr>
          <w:rFonts w:ascii="Verdana" w:hAnsi="Verdana"/>
          <w:sz w:val="17"/>
          <w:szCs w:val="17"/>
          <w:lang w:val="es-MX"/>
        </w:rPr>
        <w:t>las y</w:t>
      </w:r>
      <w:r w:rsidRPr="007123C0">
        <w:rPr>
          <w:rFonts w:ascii="Verdana" w:hAnsi="Verdana"/>
          <w:sz w:val="17"/>
          <w:szCs w:val="17"/>
          <w:lang w:val="es-MX"/>
        </w:rPr>
        <w:t xml:space="preserve"> los familiares</w:t>
      </w:r>
      <w:r w:rsidR="009B505B" w:rsidRPr="007123C0">
        <w:rPr>
          <w:rFonts w:ascii="Verdana" w:hAnsi="Verdana"/>
          <w:sz w:val="17"/>
          <w:szCs w:val="17"/>
          <w:lang w:val="es-MX"/>
        </w:rPr>
        <w:t xml:space="preserve">. </w:t>
      </w:r>
      <w:r w:rsidRPr="007123C0">
        <w:rPr>
          <w:rFonts w:ascii="Verdana" w:hAnsi="Verdana"/>
          <w:sz w:val="17"/>
          <w:szCs w:val="17"/>
          <w:lang w:val="es-MX"/>
        </w:rPr>
        <w:t>Desde la fecha que se tomó e</w:t>
      </w:r>
      <w:r w:rsidR="000A1A67">
        <w:rPr>
          <w:rFonts w:ascii="Verdana" w:hAnsi="Verdana"/>
          <w:sz w:val="17"/>
          <w:szCs w:val="17"/>
          <w:lang w:val="es-MX"/>
        </w:rPr>
        <w:t>ste</w:t>
      </w:r>
      <w:r w:rsidRPr="007123C0">
        <w:rPr>
          <w:rFonts w:ascii="Verdana" w:hAnsi="Verdana"/>
          <w:sz w:val="17"/>
          <w:szCs w:val="17"/>
          <w:lang w:val="es-MX"/>
        </w:rPr>
        <w:t xml:space="preserve"> acuerdo hasta el actual </w:t>
      </w:r>
      <w:proofErr w:type="gramStart"/>
      <w:r w:rsidRPr="007123C0">
        <w:rPr>
          <w:rFonts w:ascii="Verdana" w:hAnsi="Verdana"/>
          <w:sz w:val="17"/>
          <w:szCs w:val="17"/>
          <w:lang w:val="es-MX"/>
        </w:rPr>
        <w:t>contexto[</w:t>
      </w:r>
      <w:proofErr w:type="gramEnd"/>
      <w:r w:rsidRPr="007123C0">
        <w:rPr>
          <w:rFonts w:ascii="Verdana" w:hAnsi="Verdana"/>
          <w:sz w:val="17"/>
          <w:szCs w:val="17"/>
          <w:lang w:val="es-MX"/>
        </w:rPr>
        <w:t xml:space="preserve">,] los hijos e hijas han crecido y </w:t>
      </w:r>
      <w:r w:rsidR="009A117D" w:rsidRPr="007123C0">
        <w:rPr>
          <w:rFonts w:ascii="Verdana" w:hAnsi="Verdana"/>
          <w:sz w:val="17"/>
          <w:szCs w:val="17"/>
          <w:lang w:val="es-MX"/>
        </w:rPr>
        <w:t>han superado el sistema educativo o simplemente lo aban</w:t>
      </w:r>
      <w:r w:rsidRPr="007123C0">
        <w:rPr>
          <w:rFonts w:ascii="Verdana" w:hAnsi="Verdana"/>
          <w:sz w:val="17"/>
          <w:szCs w:val="17"/>
          <w:lang w:val="es-MX"/>
        </w:rPr>
        <w:t>donaron [por] falta de recursos</w:t>
      </w:r>
      <w:r w:rsidR="009A117D" w:rsidRPr="007123C0">
        <w:rPr>
          <w:rFonts w:ascii="Verdana" w:hAnsi="Verdana"/>
          <w:sz w:val="17"/>
          <w:szCs w:val="17"/>
          <w:lang w:val="es-MX"/>
        </w:rPr>
        <w:t>.</w:t>
      </w:r>
      <w:r w:rsidRPr="007123C0">
        <w:rPr>
          <w:rFonts w:ascii="Verdana" w:hAnsi="Verdana"/>
          <w:sz w:val="17"/>
          <w:szCs w:val="17"/>
          <w:lang w:val="es-MX"/>
        </w:rPr>
        <w:t xml:space="preserve"> Por otra parte, </w:t>
      </w:r>
      <w:r w:rsidR="009A117D" w:rsidRPr="007123C0">
        <w:rPr>
          <w:rFonts w:ascii="Verdana" w:hAnsi="Verdana"/>
          <w:sz w:val="17"/>
          <w:szCs w:val="17"/>
          <w:lang w:val="es-MX"/>
        </w:rPr>
        <w:t xml:space="preserve">la salud física de muchos familiares está tan deteriorada que la aplicación </w:t>
      </w:r>
      <w:r w:rsidR="00686685" w:rsidRPr="007123C0">
        <w:rPr>
          <w:rFonts w:ascii="Verdana" w:hAnsi="Verdana"/>
          <w:sz w:val="17"/>
          <w:szCs w:val="17"/>
          <w:lang w:val="es-MX"/>
        </w:rPr>
        <w:t>de</w:t>
      </w:r>
      <w:r w:rsidRPr="007123C0">
        <w:rPr>
          <w:rFonts w:ascii="Verdana" w:hAnsi="Verdana"/>
          <w:sz w:val="17"/>
          <w:szCs w:val="17"/>
          <w:lang w:val="es-MX"/>
        </w:rPr>
        <w:t xml:space="preserve"> este mecanismo </w:t>
      </w:r>
      <w:r w:rsidR="00686685" w:rsidRPr="007123C0">
        <w:rPr>
          <w:rFonts w:ascii="Verdana" w:hAnsi="Verdana"/>
          <w:sz w:val="17"/>
          <w:szCs w:val="17"/>
          <w:lang w:val="es-MX"/>
        </w:rPr>
        <w:t>impediría la celeridad en la at</w:t>
      </w:r>
      <w:r w:rsidRPr="007123C0">
        <w:rPr>
          <w:rFonts w:ascii="Verdana" w:hAnsi="Verdana"/>
          <w:sz w:val="17"/>
          <w:szCs w:val="17"/>
          <w:lang w:val="es-MX"/>
        </w:rPr>
        <w:t>ención sanitaria de los mismos.</w:t>
      </w:r>
    </w:p>
    <w:p w:rsidR="001342B8" w:rsidRPr="007123C0" w:rsidRDefault="00882E89" w:rsidP="00A66876">
      <w:pPr>
        <w:pStyle w:val="Prrafodelista"/>
        <w:numPr>
          <w:ilvl w:val="1"/>
          <w:numId w:val="7"/>
        </w:numPr>
        <w:spacing w:after="0" w:line="240" w:lineRule="auto"/>
        <w:contextualSpacing w:val="0"/>
        <w:jc w:val="both"/>
        <w:rPr>
          <w:rFonts w:ascii="Verdana" w:hAnsi="Verdana"/>
          <w:sz w:val="17"/>
          <w:szCs w:val="17"/>
          <w:lang w:val="es-MX"/>
        </w:rPr>
      </w:pPr>
      <w:r w:rsidRPr="007123C0">
        <w:rPr>
          <w:rFonts w:ascii="Verdana" w:hAnsi="Verdana"/>
          <w:sz w:val="17"/>
          <w:szCs w:val="17"/>
          <w:lang w:val="es-MX"/>
        </w:rPr>
        <w:t xml:space="preserve">[… </w:t>
      </w:r>
      <w:proofErr w:type="gramStart"/>
      <w:r w:rsidRPr="007123C0">
        <w:rPr>
          <w:rFonts w:ascii="Verdana" w:hAnsi="Verdana"/>
          <w:sz w:val="17"/>
          <w:szCs w:val="17"/>
          <w:lang w:val="es-MX"/>
        </w:rPr>
        <w:t>E]ste</w:t>
      </w:r>
      <w:proofErr w:type="gramEnd"/>
      <w:r w:rsidRPr="007123C0">
        <w:rPr>
          <w:rFonts w:ascii="Verdana" w:hAnsi="Verdana"/>
          <w:sz w:val="17"/>
          <w:szCs w:val="17"/>
          <w:lang w:val="es-MX"/>
        </w:rPr>
        <w:t xml:space="preserve"> mecanismo […] se pactó con los familiares de 18 víctimas y los familiares posteriormente identificados por el Comisionado Nacional de Derechos Humanos […] al tenor del </w:t>
      </w:r>
      <w:r w:rsidR="00CF3B8E">
        <w:rPr>
          <w:rFonts w:ascii="Verdana" w:hAnsi="Verdana"/>
          <w:sz w:val="17"/>
          <w:szCs w:val="17"/>
          <w:lang w:val="es-MX"/>
        </w:rPr>
        <w:t xml:space="preserve">[párrafo] </w:t>
      </w:r>
      <w:r w:rsidRPr="007123C0">
        <w:rPr>
          <w:rFonts w:ascii="Verdana" w:hAnsi="Verdana"/>
          <w:sz w:val="17"/>
          <w:szCs w:val="17"/>
          <w:lang w:val="es-MX"/>
        </w:rPr>
        <w:t xml:space="preserve">número 87 de la </w:t>
      </w:r>
      <w:r w:rsidR="00FC44C2">
        <w:rPr>
          <w:rFonts w:ascii="Verdana" w:hAnsi="Verdana"/>
          <w:sz w:val="17"/>
          <w:szCs w:val="17"/>
          <w:lang w:val="es-MX"/>
        </w:rPr>
        <w:t>s</w:t>
      </w:r>
      <w:r w:rsidRPr="007123C0">
        <w:rPr>
          <w:rFonts w:ascii="Verdana" w:hAnsi="Verdana"/>
          <w:sz w:val="17"/>
          <w:szCs w:val="17"/>
          <w:lang w:val="es-MX"/>
        </w:rPr>
        <w:t>entencia y que obran en el anexo D de la misma, no participaron en la adopción de este mecanismo.</w:t>
      </w:r>
    </w:p>
    <w:p w:rsidR="00686685" w:rsidRPr="007123C0" w:rsidRDefault="00882E89" w:rsidP="00A66876">
      <w:pPr>
        <w:pStyle w:val="Prrafodelista"/>
        <w:numPr>
          <w:ilvl w:val="1"/>
          <w:numId w:val="7"/>
        </w:numPr>
        <w:spacing w:after="0" w:line="240" w:lineRule="auto"/>
        <w:contextualSpacing w:val="0"/>
        <w:jc w:val="both"/>
        <w:rPr>
          <w:rFonts w:ascii="Verdana" w:hAnsi="Verdana"/>
          <w:sz w:val="17"/>
          <w:szCs w:val="17"/>
          <w:lang w:val="es-MX"/>
        </w:rPr>
      </w:pPr>
      <w:r w:rsidRPr="007123C0">
        <w:rPr>
          <w:rFonts w:ascii="Verdana" w:hAnsi="Verdana"/>
          <w:sz w:val="17"/>
          <w:szCs w:val="17"/>
          <w:lang w:val="es-MX"/>
        </w:rPr>
        <w:t>A</w:t>
      </w:r>
      <w:r w:rsidR="00686685" w:rsidRPr="007123C0">
        <w:rPr>
          <w:rFonts w:ascii="Verdana" w:hAnsi="Verdana"/>
          <w:sz w:val="17"/>
          <w:szCs w:val="17"/>
          <w:lang w:val="es-MX"/>
        </w:rPr>
        <w:t xml:space="preserve">l </w:t>
      </w:r>
      <w:r w:rsidRPr="007123C0">
        <w:rPr>
          <w:rFonts w:ascii="Verdana" w:hAnsi="Verdana"/>
          <w:sz w:val="17"/>
          <w:szCs w:val="17"/>
          <w:lang w:val="es-MX"/>
        </w:rPr>
        <w:t xml:space="preserve">ser pactado entre las partes suscriptoras del acuerdo de solución amistosa que los pagos indemnizatorios se realicen sin “reducción de eventuales cargas fiscales” según se expresa en el </w:t>
      </w:r>
      <w:r w:rsidR="00CF3B8E">
        <w:rPr>
          <w:rFonts w:ascii="Verdana" w:hAnsi="Verdana"/>
          <w:sz w:val="17"/>
          <w:szCs w:val="17"/>
          <w:lang w:val="es-MX"/>
        </w:rPr>
        <w:t xml:space="preserve">[párrafo] </w:t>
      </w:r>
      <w:r w:rsidRPr="007123C0">
        <w:rPr>
          <w:rFonts w:ascii="Verdana" w:hAnsi="Verdana"/>
          <w:sz w:val="17"/>
          <w:szCs w:val="17"/>
          <w:lang w:val="es-MX"/>
        </w:rPr>
        <w:t xml:space="preserve">número 138 de la </w:t>
      </w:r>
      <w:r w:rsidR="00FC44C2">
        <w:rPr>
          <w:rFonts w:ascii="Verdana" w:hAnsi="Verdana"/>
          <w:sz w:val="17"/>
          <w:szCs w:val="17"/>
          <w:lang w:val="es-MX"/>
        </w:rPr>
        <w:t>s</w:t>
      </w:r>
      <w:r w:rsidRPr="007123C0">
        <w:rPr>
          <w:rFonts w:ascii="Verdana" w:hAnsi="Verdana"/>
          <w:sz w:val="17"/>
          <w:szCs w:val="17"/>
          <w:lang w:val="es-MX"/>
        </w:rPr>
        <w:t>entencia, los costos de constitución del Fideicomiso se trasladan al Estado […], incrementándose así el monto global acordado.</w:t>
      </w:r>
      <w:r w:rsidR="001029EF" w:rsidRPr="007123C0">
        <w:rPr>
          <w:rFonts w:ascii="Verdana" w:hAnsi="Verdana"/>
          <w:sz w:val="17"/>
          <w:szCs w:val="17"/>
          <w:lang w:val="es-MX"/>
        </w:rPr>
        <w:t xml:space="preserve"> </w:t>
      </w:r>
    </w:p>
    <w:p w:rsidR="00A66876" w:rsidRPr="007123C0" w:rsidRDefault="00A66876" w:rsidP="00A66876">
      <w:pPr>
        <w:pStyle w:val="Prrafodelista"/>
        <w:spacing w:after="0" w:line="240" w:lineRule="auto"/>
        <w:contextualSpacing w:val="0"/>
        <w:jc w:val="both"/>
        <w:rPr>
          <w:rFonts w:ascii="Verdana" w:hAnsi="Verdana"/>
          <w:sz w:val="17"/>
          <w:szCs w:val="17"/>
          <w:lang w:val="es-MX"/>
        </w:rPr>
      </w:pPr>
    </w:p>
    <w:p w:rsidR="00A66876" w:rsidRPr="007123C0" w:rsidRDefault="00882E89" w:rsidP="00A66876">
      <w:pPr>
        <w:pStyle w:val="Prrafodelista"/>
        <w:spacing w:after="0" w:line="240" w:lineRule="auto"/>
        <w:contextualSpacing w:val="0"/>
        <w:jc w:val="both"/>
        <w:rPr>
          <w:rFonts w:ascii="Verdana" w:hAnsi="Verdana"/>
          <w:sz w:val="17"/>
          <w:szCs w:val="17"/>
          <w:lang w:val="es-MX"/>
        </w:rPr>
      </w:pPr>
      <w:r w:rsidRPr="007123C0">
        <w:rPr>
          <w:rFonts w:ascii="Verdana" w:hAnsi="Verdana"/>
          <w:sz w:val="17"/>
          <w:szCs w:val="17"/>
          <w:lang w:val="es-MX"/>
        </w:rPr>
        <w:t xml:space="preserve">TERCERA. ACUERDOS: </w:t>
      </w:r>
      <w:proofErr w:type="gramStart"/>
      <w:r w:rsidRPr="007123C0">
        <w:rPr>
          <w:rFonts w:ascii="Verdana" w:hAnsi="Verdana"/>
          <w:sz w:val="17"/>
          <w:szCs w:val="17"/>
          <w:lang w:val="es-MX"/>
        </w:rPr>
        <w:t>I</w:t>
      </w:r>
      <w:r w:rsidR="00CF3B8E">
        <w:rPr>
          <w:rFonts w:ascii="Verdana" w:hAnsi="Verdana"/>
          <w:sz w:val="17"/>
          <w:szCs w:val="17"/>
          <w:lang w:val="es-MX"/>
        </w:rPr>
        <w:t>[</w:t>
      </w:r>
      <w:proofErr w:type="gramEnd"/>
      <w:r w:rsidRPr="007123C0">
        <w:rPr>
          <w:rFonts w:ascii="Verdana" w:hAnsi="Verdana"/>
          <w:sz w:val="17"/>
          <w:szCs w:val="17"/>
          <w:lang w:val="es-MX"/>
        </w:rPr>
        <w:t>.</w:t>
      </w:r>
      <w:r w:rsidR="00CF3B8E">
        <w:rPr>
          <w:rFonts w:ascii="Verdana" w:hAnsi="Verdana"/>
          <w:sz w:val="17"/>
          <w:szCs w:val="17"/>
          <w:lang w:val="es-MX"/>
        </w:rPr>
        <w:t>]</w:t>
      </w:r>
      <w:r w:rsidRPr="007123C0">
        <w:rPr>
          <w:rFonts w:ascii="Verdana" w:hAnsi="Verdana"/>
          <w:sz w:val="17"/>
          <w:szCs w:val="17"/>
          <w:lang w:val="es-MX"/>
        </w:rPr>
        <w:t xml:space="preserve"> Por las razones antes anunciadas acordamos SUPRIMIR EL MEC</w:t>
      </w:r>
      <w:r w:rsidR="00852BBA">
        <w:rPr>
          <w:rFonts w:ascii="Verdana" w:hAnsi="Verdana"/>
          <w:sz w:val="17"/>
          <w:szCs w:val="17"/>
          <w:lang w:val="es-MX"/>
        </w:rPr>
        <w:t>A</w:t>
      </w:r>
      <w:r w:rsidRPr="007123C0">
        <w:rPr>
          <w:rFonts w:ascii="Verdana" w:hAnsi="Verdana"/>
          <w:sz w:val="17"/>
          <w:szCs w:val="17"/>
          <w:lang w:val="es-MX"/>
        </w:rPr>
        <w:t xml:space="preserve">NISMO DE CONSTITUCIÓN DEL FIDEICOMISO para hacer efectivo el pago ordenado en el párrafo número 138 de la [S]entencia y en su lugar efectuar pagos directos por emisión de cheques nominales. La emisión y el cargo de dichos montos serán por cuenta del Instituto Nacional Penitenciario (INP) cuyo presupuesto en lo relativo al caso Pacheco Teruel y [o]tros […] se encuentra en el Banco Central de Honduras […]. </w:t>
      </w:r>
    </w:p>
    <w:p w:rsidR="00A66876" w:rsidRPr="007123C0" w:rsidRDefault="00A66876" w:rsidP="00A66876">
      <w:pPr>
        <w:pStyle w:val="Prrafodelista"/>
        <w:spacing w:after="0" w:line="240" w:lineRule="auto"/>
        <w:contextualSpacing w:val="0"/>
        <w:jc w:val="both"/>
        <w:rPr>
          <w:rFonts w:ascii="Verdana" w:hAnsi="Verdana"/>
          <w:sz w:val="17"/>
          <w:szCs w:val="17"/>
          <w:lang w:val="es-MX"/>
        </w:rPr>
      </w:pPr>
    </w:p>
    <w:p w:rsidR="00AA6B16" w:rsidRPr="007123C0" w:rsidRDefault="00A66876" w:rsidP="00A66876">
      <w:pPr>
        <w:pStyle w:val="Prrafodelista"/>
        <w:spacing w:after="0" w:line="240" w:lineRule="auto"/>
        <w:contextualSpacing w:val="0"/>
        <w:jc w:val="both"/>
        <w:rPr>
          <w:rFonts w:ascii="Verdana" w:hAnsi="Verdana"/>
          <w:color w:val="00B050"/>
          <w:sz w:val="17"/>
          <w:szCs w:val="17"/>
          <w:lang w:val="es-MX"/>
        </w:rPr>
      </w:pPr>
      <w:r w:rsidRPr="007123C0">
        <w:rPr>
          <w:rFonts w:ascii="Verdana" w:hAnsi="Verdana"/>
          <w:sz w:val="17"/>
          <w:szCs w:val="17"/>
          <w:lang w:val="es-MX"/>
        </w:rPr>
        <w:t xml:space="preserve">II. </w:t>
      </w:r>
      <w:r w:rsidR="00AA6B16" w:rsidRPr="007123C0">
        <w:rPr>
          <w:rFonts w:ascii="Verdana" w:hAnsi="Verdana"/>
          <w:sz w:val="17"/>
          <w:szCs w:val="17"/>
          <w:lang w:val="es-MX"/>
        </w:rPr>
        <w:t xml:space="preserve">La </w:t>
      </w:r>
      <w:r w:rsidRPr="007123C0">
        <w:rPr>
          <w:rFonts w:ascii="Verdana" w:hAnsi="Verdana"/>
          <w:sz w:val="17"/>
          <w:szCs w:val="17"/>
          <w:lang w:val="es-MX"/>
        </w:rPr>
        <w:t>fecha para la realización de dicho pago</w:t>
      </w:r>
      <w:r w:rsidR="00852BBA">
        <w:rPr>
          <w:rFonts w:ascii="Verdana" w:hAnsi="Verdana"/>
          <w:sz w:val="17"/>
          <w:szCs w:val="17"/>
          <w:lang w:val="es-MX"/>
        </w:rPr>
        <w:t xml:space="preserve"> [es]</w:t>
      </w:r>
      <w:r w:rsidRPr="007123C0">
        <w:rPr>
          <w:rFonts w:ascii="Verdana" w:hAnsi="Verdana"/>
          <w:sz w:val="17"/>
          <w:szCs w:val="17"/>
          <w:lang w:val="es-MX"/>
        </w:rPr>
        <w:t>: [u]n único pago […] el cual</w:t>
      </w:r>
      <w:r w:rsidR="00AA6B16" w:rsidRPr="007123C0">
        <w:rPr>
          <w:rFonts w:ascii="Verdana" w:hAnsi="Verdana"/>
          <w:sz w:val="17"/>
          <w:szCs w:val="17"/>
          <w:lang w:val="es-MX"/>
        </w:rPr>
        <w:t xml:space="preserve"> será efectivo treinta (30) días después de ser homologado </w:t>
      </w:r>
      <w:r w:rsidR="005771EA" w:rsidRPr="007123C0">
        <w:rPr>
          <w:rFonts w:ascii="Verdana" w:hAnsi="Verdana"/>
          <w:sz w:val="17"/>
          <w:szCs w:val="17"/>
          <w:lang w:val="es-MX"/>
        </w:rPr>
        <w:t>el</w:t>
      </w:r>
      <w:r w:rsidRPr="007123C0">
        <w:rPr>
          <w:rFonts w:ascii="Verdana" w:hAnsi="Verdana"/>
          <w:sz w:val="17"/>
          <w:szCs w:val="17"/>
          <w:lang w:val="es-MX"/>
        </w:rPr>
        <w:t xml:space="preserve"> presente </w:t>
      </w:r>
      <w:r w:rsidR="005771EA" w:rsidRPr="007123C0">
        <w:rPr>
          <w:rFonts w:ascii="Verdana" w:hAnsi="Verdana"/>
          <w:sz w:val="17"/>
          <w:szCs w:val="17"/>
          <w:lang w:val="es-MX"/>
        </w:rPr>
        <w:t>acuerdo ante la Corte</w:t>
      </w:r>
      <w:r w:rsidRPr="007123C0">
        <w:rPr>
          <w:rFonts w:ascii="Verdana" w:hAnsi="Verdana"/>
          <w:sz w:val="17"/>
          <w:szCs w:val="17"/>
          <w:lang w:val="es-MX"/>
        </w:rPr>
        <w:t xml:space="preserve"> Interamericana de Derechos Humanos, en una distribución de 50, 71 y 75 familiares respectivamente</w:t>
      </w:r>
      <w:r w:rsidR="005771EA" w:rsidRPr="007123C0">
        <w:rPr>
          <w:rFonts w:ascii="Verdana" w:hAnsi="Verdana"/>
          <w:sz w:val="17"/>
          <w:szCs w:val="17"/>
          <w:lang w:val="es-MX"/>
        </w:rPr>
        <w:t>”.</w:t>
      </w:r>
      <w:r w:rsidR="003B6213" w:rsidRPr="007123C0">
        <w:rPr>
          <w:rFonts w:ascii="Verdana" w:hAnsi="Verdana"/>
          <w:sz w:val="17"/>
          <w:szCs w:val="17"/>
          <w:lang w:val="es-MX"/>
        </w:rPr>
        <w:t xml:space="preserve"> </w:t>
      </w:r>
    </w:p>
    <w:p w:rsidR="00A66876" w:rsidRPr="007123C0" w:rsidRDefault="00A66876" w:rsidP="00A66876">
      <w:pPr>
        <w:pStyle w:val="Prrafodelista"/>
        <w:spacing w:after="0" w:line="240" w:lineRule="auto"/>
        <w:contextualSpacing w:val="0"/>
        <w:jc w:val="both"/>
        <w:rPr>
          <w:rFonts w:ascii="Verdana" w:hAnsi="Verdana"/>
          <w:sz w:val="17"/>
          <w:szCs w:val="17"/>
          <w:lang w:val="es-MX"/>
        </w:rPr>
      </w:pPr>
    </w:p>
    <w:p w:rsidR="00A66876" w:rsidRPr="007123C0" w:rsidRDefault="00A66876" w:rsidP="00A66876">
      <w:pPr>
        <w:pStyle w:val="Prrafodelista"/>
        <w:spacing w:after="0" w:line="240" w:lineRule="auto"/>
        <w:contextualSpacing w:val="0"/>
        <w:jc w:val="both"/>
        <w:rPr>
          <w:rFonts w:ascii="Verdana" w:hAnsi="Verdana"/>
          <w:sz w:val="17"/>
          <w:szCs w:val="17"/>
          <w:lang w:val="es-MX"/>
        </w:rPr>
      </w:pPr>
      <w:proofErr w:type="gramStart"/>
      <w:r w:rsidRPr="007123C0">
        <w:rPr>
          <w:rFonts w:ascii="Verdana" w:hAnsi="Verdana"/>
          <w:sz w:val="17"/>
          <w:szCs w:val="17"/>
          <w:lang w:val="es-MX"/>
        </w:rPr>
        <w:t>III</w:t>
      </w:r>
      <w:r w:rsidR="00CF3B8E">
        <w:rPr>
          <w:rFonts w:ascii="Verdana" w:hAnsi="Verdana"/>
          <w:sz w:val="17"/>
          <w:szCs w:val="17"/>
          <w:lang w:val="es-MX"/>
        </w:rPr>
        <w:t>[</w:t>
      </w:r>
      <w:proofErr w:type="gramEnd"/>
      <w:r w:rsidRPr="007123C0">
        <w:rPr>
          <w:rFonts w:ascii="Verdana" w:hAnsi="Verdana"/>
          <w:sz w:val="17"/>
          <w:szCs w:val="17"/>
          <w:lang w:val="es-MX"/>
        </w:rPr>
        <w:t>.</w:t>
      </w:r>
      <w:r w:rsidR="00CF3B8E">
        <w:rPr>
          <w:rFonts w:ascii="Verdana" w:hAnsi="Verdana"/>
          <w:sz w:val="17"/>
          <w:szCs w:val="17"/>
          <w:lang w:val="es-MX"/>
        </w:rPr>
        <w:t>]</w:t>
      </w:r>
      <w:r w:rsidRPr="007123C0">
        <w:rPr>
          <w:rFonts w:ascii="Verdana" w:hAnsi="Verdana"/>
          <w:sz w:val="17"/>
          <w:szCs w:val="17"/>
          <w:lang w:val="es-MX"/>
        </w:rPr>
        <w:t xml:space="preserve"> El procedimiento para hacer efectivo el pago será el siguiente:</w:t>
      </w:r>
    </w:p>
    <w:p w:rsidR="000A588D" w:rsidRPr="007123C0" w:rsidRDefault="00A66876" w:rsidP="00A66876">
      <w:pPr>
        <w:pStyle w:val="Prrafodelista"/>
        <w:numPr>
          <w:ilvl w:val="0"/>
          <w:numId w:val="10"/>
        </w:numPr>
        <w:spacing w:after="0" w:line="240" w:lineRule="auto"/>
        <w:contextualSpacing w:val="0"/>
        <w:jc w:val="both"/>
        <w:rPr>
          <w:rFonts w:ascii="Verdana" w:hAnsi="Verdana"/>
          <w:sz w:val="17"/>
          <w:szCs w:val="17"/>
          <w:lang w:val="es-MX"/>
        </w:rPr>
      </w:pPr>
      <w:r w:rsidRPr="007123C0">
        <w:rPr>
          <w:rFonts w:ascii="Verdana" w:hAnsi="Verdana"/>
          <w:sz w:val="17"/>
          <w:szCs w:val="17"/>
          <w:lang w:val="es-MX"/>
        </w:rPr>
        <w:t xml:space="preserve">Serán emitidos cheques nominales según el listado y monto oficial reconocido y remitido por la Procuraduría General de la República al Instituto Nacional </w:t>
      </w:r>
      <w:proofErr w:type="gramStart"/>
      <w:r w:rsidRPr="007123C0">
        <w:rPr>
          <w:rFonts w:ascii="Verdana" w:hAnsi="Verdana"/>
          <w:sz w:val="17"/>
          <w:szCs w:val="17"/>
          <w:lang w:val="es-MX"/>
        </w:rPr>
        <w:t>Penitenciario</w:t>
      </w:r>
      <w:r w:rsidR="00CF3B8E">
        <w:rPr>
          <w:rFonts w:ascii="Verdana" w:hAnsi="Verdana"/>
          <w:sz w:val="17"/>
          <w:szCs w:val="17"/>
          <w:lang w:val="es-MX"/>
        </w:rPr>
        <w:t>[</w:t>
      </w:r>
      <w:proofErr w:type="gramEnd"/>
      <w:r w:rsidRPr="007123C0">
        <w:rPr>
          <w:rFonts w:ascii="Verdana" w:hAnsi="Verdana"/>
          <w:sz w:val="17"/>
          <w:szCs w:val="17"/>
          <w:lang w:val="es-MX"/>
        </w:rPr>
        <w:t>,</w:t>
      </w:r>
      <w:r w:rsidR="00CF3B8E">
        <w:rPr>
          <w:rFonts w:ascii="Verdana" w:hAnsi="Verdana"/>
          <w:sz w:val="17"/>
          <w:szCs w:val="17"/>
          <w:lang w:val="es-MX"/>
        </w:rPr>
        <w:t>]</w:t>
      </w:r>
      <w:r w:rsidRPr="007123C0">
        <w:rPr>
          <w:rFonts w:ascii="Verdana" w:hAnsi="Verdana"/>
          <w:sz w:val="17"/>
          <w:szCs w:val="17"/>
          <w:lang w:val="es-MX"/>
        </w:rPr>
        <w:t xml:space="preserve"> según figura en anexo de este Acuerdo. En él se comprenden 83 familiares (de 18 fallecidos) [</w:t>
      </w:r>
      <w:r w:rsidR="007A053E">
        <w:rPr>
          <w:rFonts w:ascii="Verdana" w:hAnsi="Verdana"/>
          <w:sz w:val="17"/>
          <w:szCs w:val="17"/>
          <w:lang w:val="es-MX"/>
        </w:rPr>
        <w:t>…] identificados en el anexo “C”</w:t>
      </w:r>
      <w:r w:rsidRPr="007123C0">
        <w:rPr>
          <w:rFonts w:ascii="Verdana" w:hAnsi="Verdana"/>
          <w:sz w:val="17"/>
          <w:szCs w:val="17"/>
          <w:lang w:val="es-MX"/>
        </w:rPr>
        <w:t xml:space="preserve">, párrafo 84 de la </w:t>
      </w:r>
      <w:r w:rsidR="007A053E">
        <w:rPr>
          <w:rFonts w:ascii="Verdana" w:hAnsi="Verdana"/>
          <w:sz w:val="17"/>
          <w:szCs w:val="17"/>
          <w:lang w:val="es-MX"/>
        </w:rPr>
        <w:t>s</w:t>
      </w:r>
      <w:r w:rsidRPr="007123C0">
        <w:rPr>
          <w:rFonts w:ascii="Verdana" w:hAnsi="Verdana"/>
          <w:sz w:val="17"/>
          <w:szCs w:val="17"/>
          <w:lang w:val="es-MX"/>
        </w:rPr>
        <w:t xml:space="preserve">entencia y </w:t>
      </w:r>
      <w:r w:rsidR="007A053E">
        <w:rPr>
          <w:rFonts w:ascii="Verdana" w:hAnsi="Verdana"/>
          <w:sz w:val="17"/>
          <w:szCs w:val="17"/>
          <w:lang w:val="es-MX"/>
        </w:rPr>
        <w:t>[…]</w:t>
      </w:r>
      <w:r w:rsidRPr="007123C0">
        <w:rPr>
          <w:rFonts w:ascii="Verdana" w:hAnsi="Verdana"/>
          <w:sz w:val="17"/>
          <w:szCs w:val="17"/>
          <w:lang w:val="es-MX"/>
        </w:rPr>
        <w:t xml:space="preserve"> los familiares directos de 89 víctimas fallecidas descritas en el anexo </w:t>
      </w:r>
      <w:r w:rsidR="007A053E">
        <w:rPr>
          <w:rFonts w:ascii="Verdana" w:hAnsi="Verdana"/>
          <w:sz w:val="17"/>
          <w:szCs w:val="17"/>
          <w:lang w:val="es-MX"/>
        </w:rPr>
        <w:t>“</w:t>
      </w:r>
      <w:r w:rsidRPr="007123C0">
        <w:rPr>
          <w:rFonts w:ascii="Verdana" w:hAnsi="Verdana"/>
          <w:sz w:val="17"/>
          <w:szCs w:val="17"/>
          <w:lang w:val="es-MX"/>
        </w:rPr>
        <w:t>D</w:t>
      </w:r>
      <w:r w:rsidR="007A053E">
        <w:rPr>
          <w:rFonts w:ascii="Verdana" w:hAnsi="Verdana"/>
          <w:sz w:val="17"/>
          <w:szCs w:val="17"/>
          <w:lang w:val="es-MX"/>
        </w:rPr>
        <w:t>”</w:t>
      </w:r>
      <w:r w:rsidRPr="007123C0">
        <w:rPr>
          <w:rFonts w:ascii="Verdana" w:hAnsi="Verdana"/>
          <w:sz w:val="17"/>
          <w:szCs w:val="17"/>
          <w:lang w:val="es-MX"/>
        </w:rPr>
        <w:t xml:space="preserve"> de la </w:t>
      </w:r>
      <w:r w:rsidR="007A053E">
        <w:rPr>
          <w:rFonts w:ascii="Verdana" w:hAnsi="Verdana"/>
          <w:sz w:val="17"/>
          <w:szCs w:val="17"/>
          <w:lang w:val="es-MX"/>
        </w:rPr>
        <w:t>s</w:t>
      </w:r>
      <w:r w:rsidRPr="007123C0">
        <w:rPr>
          <w:rFonts w:ascii="Verdana" w:hAnsi="Verdana"/>
          <w:sz w:val="17"/>
          <w:szCs w:val="17"/>
          <w:lang w:val="es-MX"/>
        </w:rPr>
        <w:t>entencia y que fueron identificados e individualizados po</w:t>
      </w:r>
      <w:r w:rsidR="00BC4F9A" w:rsidRPr="007123C0">
        <w:rPr>
          <w:rFonts w:ascii="Verdana" w:hAnsi="Verdana"/>
          <w:sz w:val="17"/>
          <w:szCs w:val="17"/>
          <w:lang w:val="es-MX"/>
        </w:rPr>
        <w:t>r el Comisionado Nacional de</w:t>
      </w:r>
      <w:r w:rsidR="00BF5843" w:rsidRPr="007123C0">
        <w:rPr>
          <w:rFonts w:ascii="Verdana" w:hAnsi="Verdana"/>
          <w:sz w:val="17"/>
          <w:szCs w:val="17"/>
          <w:lang w:val="es-MX"/>
        </w:rPr>
        <w:t xml:space="preserve"> los Derechos Humanos</w:t>
      </w:r>
      <w:r w:rsidRPr="007123C0">
        <w:rPr>
          <w:rFonts w:ascii="Verdana" w:hAnsi="Verdana"/>
          <w:sz w:val="17"/>
          <w:szCs w:val="17"/>
          <w:lang w:val="es-MX"/>
        </w:rPr>
        <w:t xml:space="preserve"> […], según lo ordenado e</w:t>
      </w:r>
      <w:r w:rsidR="007A053E">
        <w:rPr>
          <w:rFonts w:ascii="Verdana" w:hAnsi="Verdana"/>
          <w:sz w:val="17"/>
          <w:szCs w:val="17"/>
          <w:lang w:val="es-MX"/>
        </w:rPr>
        <w:t>n los párrafos 87 y 88 de la s</w:t>
      </w:r>
      <w:r w:rsidRPr="007123C0">
        <w:rPr>
          <w:rFonts w:ascii="Verdana" w:hAnsi="Verdana"/>
          <w:sz w:val="17"/>
          <w:szCs w:val="17"/>
          <w:lang w:val="es-MX"/>
        </w:rPr>
        <w:t>entencia.</w:t>
      </w:r>
    </w:p>
    <w:p w:rsidR="00640C42" w:rsidRPr="007123C0" w:rsidRDefault="00640C42" w:rsidP="00640C42">
      <w:pPr>
        <w:pStyle w:val="Prrafodelista"/>
        <w:numPr>
          <w:ilvl w:val="0"/>
          <w:numId w:val="10"/>
        </w:numPr>
        <w:spacing w:after="0" w:line="240" w:lineRule="auto"/>
        <w:contextualSpacing w:val="0"/>
        <w:jc w:val="both"/>
        <w:rPr>
          <w:rFonts w:ascii="Verdana" w:hAnsi="Verdana"/>
          <w:sz w:val="17"/>
          <w:szCs w:val="17"/>
          <w:lang w:val="es-MX"/>
        </w:rPr>
      </w:pPr>
      <w:r w:rsidRPr="007123C0">
        <w:rPr>
          <w:rFonts w:ascii="Verdana" w:hAnsi="Verdana"/>
          <w:sz w:val="17"/>
          <w:szCs w:val="17"/>
          <w:lang w:val="es-MX"/>
        </w:rPr>
        <w:t>También comprende el presente Acuerdo los pagos indemnizatorios de los derechohabientes con “mejor derecho”,</w:t>
      </w:r>
      <w:r w:rsidR="000A1A67">
        <w:rPr>
          <w:rFonts w:ascii="Verdana" w:hAnsi="Verdana"/>
          <w:sz w:val="17"/>
          <w:szCs w:val="17"/>
          <w:lang w:val="es-MX"/>
        </w:rPr>
        <w:t xml:space="preserve"> [que son]</w:t>
      </w:r>
      <w:r w:rsidRPr="007123C0">
        <w:rPr>
          <w:rFonts w:ascii="Verdana" w:hAnsi="Verdana"/>
          <w:sz w:val="17"/>
          <w:szCs w:val="17"/>
          <w:lang w:val="es-MX"/>
        </w:rPr>
        <w:t xml:space="preserve"> personas naturales que, sin ser parte lesionada o beneficiarios del Acuerdo de solución amistosa, ostenten la condición de herederos de las víctimas fallecidas, según el orden de sucesión establecido en las leyes vigentes para la herencia ab-intestato. De igual manera comprende los apoderados debidamente acreditados de los familiares. </w:t>
      </w:r>
    </w:p>
    <w:p w:rsidR="00127B6C" w:rsidRPr="007123C0" w:rsidRDefault="00640C42" w:rsidP="00640C42">
      <w:pPr>
        <w:pStyle w:val="Prrafodelista"/>
        <w:numPr>
          <w:ilvl w:val="0"/>
          <w:numId w:val="10"/>
        </w:numPr>
        <w:spacing w:after="0" w:line="240" w:lineRule="auto"/>
        <w:contextualSpacing w:val="0"/>
        <w:jc w:val="both"/>
        <w:rPr>
          <w:rFonts w:ascii="Verdana" w:hAnsi="Verdana"/>
          <w:sz w:val="17"/>
          <w:szCs w:val="17"/>
          <w:lang w:val="es-MX"/>
        </w:rPr>
      </w:pPr>
      <w:r w:rsidRPr="007123C0">
        <w:rPr>
          <w:rFonts w:ascii="Verdana" w:hAnsi="Verdana"/>
          <w:sz w:val="17"/>
          <w:szCs w:val="17"/>
          <w:lang w:val="es-MX"/>
        </w:rPr>
        <w:t>Identificación. Para efectuar el pago […] se procederá primero con la identificación de la víctima y sus familiares según el listado anexo. L</w:t>
      </w:r>
      <w:r w:rsidR="000A1A67">
        <w:rPr>
          <w:rFonts w:ascii="Verdana" w:hAnsi="Verdana"/>
          <w:sz w:val="17"/>
          <w:szCs w:val="17"/>
          <w:lang w:val="es-MX"/>
        </w:rPr>
        <w:t>[</w:t>
      </w:r>
      <w:r w:rsidRPr="007123C0">
        <w:rPr>
          <w:rFonts w:ascii="Verdana" w:hAnsi="Verdana"/>
          <w:sz w:val="17"/>
          <w:szCs w:val="17"/>
          <w:lang w:val="es-MX"/>
        </w:rPr>
        <w:t>o</w:t>
      </w:r>
      <w:r w:rsidR="000A1A67">
        <w:rPr>
          <w:rFonts w:ascii="Verdana" w:hAnsi="Verdana"/>
          <w:sz w:val="17"/>
          <w:szCs w:val="17"/>
          <w:lang w:val="es-MX"/>
        </w:rPr>
        <w:t>]</w:t>
      </w:r>
      <w:r w:rsidRPr="007123C0">
        <w:rPr>
          <w:rFonts w:ascii="Verdana" w:hAnsi="Verdana"/>
          <w:sz w:val="17"/>
          <w:szCs w:val="17"/>
          <w:lang w:val="es-MX"/>
        </w:rPr>
        <w:t>s […] familiares presentarán</w:t>
      </w:r>
      <w:r w:rsidR="00127B6C" w:rsidRPr="007123C0">
        <w:rPr>
          <w:rFonts w:ascii="Verdana" w:hAnsi="Verdana"/>
          <w:sz w:val="17"/>
          <w:szCs w:val="17"/>
          <w:lang w:val="es-MX"/>
        </w:rPr>
        <w:t xml:space="preserve"> original y copia del documento de identidad nacional </w:t>
      </w:r>
      <w:r w:rsidRPr="007123C0">
        <w:rPr>
          <w:rFonts w:ascii="Verdana" w:hAnsi="Verdana"/>
          <w:sz w:val="17"/>
          <w:szCs w:val="17"/>
          <w:lang w:val="es-MX"/>
        </w:rPr>
        <w:t xml:space="preserve">[…] </w:t>
      </w:r>
      <w:r w:rsidR="00127B6C" w:rsidRPr="007123C0">
        <w:rPr>
          <w:rFonts w:ascii="Verdana" w:hAnsi="Verdana"/>
          <w:sz w:val="17"/>
          <w:szCs w:val="17"/>
          <w:lang w:val="es-MX"/>
        </w:rPr>
        <w:t>o la contraseña respectiva</w:t>
      </w:r>
      <w:r w:rsidRPr="007123C0">
        <w:rPr>
          <w:rFonts w:ascii="Verdana" w:hAnsi="Verdana"/>
          <w:sz w:val="17"/>
          <w:szCs w:val="17"/>
          <w:lang w:val="es-MX"/>
        </w:rPr>
        <w:t xml:space="preserve"> […]. E</w:t>
      </w:r>
      <w:r w:rsidR="00127B6C" w:rsidRPr="007123C0">
        <w:rPr>
          <w:rFonts w:ascii="Verdana" w:hAnsi="Verdana"/>
          <w:sz w:val="17"/>
          <w:szCs w:val="17"/>
          <w:lang w:val="es-MX"/>
        </w:rPr>
        <w:t xml:space="preserve">n </w:t>
      </w:r>
      <w:r w:rsidRPr="007123C0">
        <w:rPr>
          <w:rFonts w:ascii="Verdana" w:hAnsi="Verdana"/>
          <w:sz w:val="17"/>
          <w:szCs w:val="17"/>
          <w:lang w:val="es-MX"/>
        </w:rPr>
        <w:t xml:space="preserve">el </w:t>
      </w:r>
      <w:r w:rsidR="00127B6C" w:rsidRPr="007123C0">
        <w:rPr>
          <w:rFonts w:ascii="Verdana" w:hAnsi="Verdana"/>
          <w:sz w:val="17"/>
          <w:szCs w:val="17"/>
          <w:lang w:val="es-MX"/>
        </w:rPr>
        <w:t xml:space="preserve">caso de personas menores de edad, </w:t>
      </w:r>
      <w:r w:rsidRPr="007123C0">
        <w:rPr>
          <w:rFonts w:ascii="Verdana" w:hAnsi="Verdana"/>
          <w:sz w:val="17"/>
          <w:szCs w:val="17"/>
          <w:lang w:val="es-MX"/>
        </w:rPr>
        <w:t xml:space="preserve">actuarán por ellos, </w:t>
      </w:r>
      <w:r w:rsidR="00127B6C" w:rsidRPr="007123C0">
        <w:rPr>
          <w:rFonts w:ascii="Verdana" w:hAnsi="Verdana"/>
          <w:sz w:val="17"/>
          <w:szCs w:val="17"/>
          <w:lang w:val="es-MX"/>
        </w:rPr>
        <w:t xml:space="preserve">sus representantes legales, tutores o guardadores, debiendo acreditar dicha condición </w:t>
      </w:r>
      <w:proofErr w:type="gramStart"/>
      <w:r w:rsidR="00127B6C" w:rsidRPr="007123C0">
        <w:rPr>
          <w:rFonts w:ascii="Verdana" w:hAnsi="Verdana"/>
          <w:sz w:val="17"/>
          <w:szCs w:val="17"/>
          <w:lang w:val="es-MX"/>
        </w:rPr>
        <w:t>con[</w:t>
      </w:r>
      <w:proofErr w:type="gramEnd"/>
      <w:r w:rsidR="000A1A67">
        <w:rPr>
          <w:rFonts w:ascii="Verdana" w:hAnsi="Verdana"/>
          <w:sz w:val="17"/>
          <w:szCs w:val="17"/>
          <w:lang w:val="es-MX"/>
        </w:rPr>
        <w:t xml:space="preserve"> </w:t>
      </w:r>
      <w:r w:rsidR="00127B6C" w:rsidRPr="007123C0">
        <w:rPr>
          <w:rFonts w:ascii="Verdana" w:hAnsi="Verdana"/>
          <w:sz w:val="17"/>
          <w:szCs w:val="17"/>
          <w:lang w:val="es-MX"/>
        </w:rPr>
        <w:t>la] certificación de nacimiento del o</w:t>
      </w:r>
      <w:r w:rsidR="00CF3B8E">
        <w:rPr>
          <w:rFonts w:ascii="Verdana" w:hAnsi="Verdana"/>
          <w:sz w:val="17"/>
          <w:szCs w:val="17"/>
          <w:lang w:val="es-MX"/>
        </w:rPr>
        <w:t xml:space="preserve"> de</w:t>
      </w:r>
      <w:r w:rsidR="00127B6C" w:rsidRPr="007123C0">
        <w:rPr>
          <w:rFonts w:ascii="Verdana" w:hAnsi="Verdana"/>
          <w:sz w:val="17"/>
          <w:szCs w:val="17"/>
          <w:lang w:val="es-MX"/>
        </w:rPr>
        <w:t xml:space="preserve"> la menor [a quien]</w:t>
      </w:r>
      <w:r w:rsidRPr="007123C0">
        <w:rPr>
          <w:rFonts w:ascii="Verdana" w:hAnsi="Verdana"/>
          <w:sz w:val="17"/>
          <w:szCs w:val="17"/>
          <w:lang w:val="es-MX"/>
        </w:rPr>
        <w:t xml:space="preserve"> </w:t>
      </w:r>
      <w:r w:rsidR="00127B6C" w:rsidRPr="007123C0">
        <w:rPr>
          <w:rFonts w:ascii="Verdana" w:hAnsi="Verdana"/>
          <w:sz w:val="17"/>
          <w:szCs w:val="17"/>
          <w:lang w:val="es-MX"/>
        </w:rPr>
        <w:t xml:space="preserve">se pretende representar y el documento de identidad o contraseña del </w:t>
      </w:r>
      <w:r w:rsidRPr="007123C0">
        <w:rPr>
          <w:rFonts w:ascii="Verdana" w:hAnsi="Verdana"/>
          <w:sz w:val="17"/>
          <w:szCs w:val="17"/>
          <w:lang w:val="es-MX"/>
        </w:rPr>
        <w:t xml:space="preserve">[…] representante. [… Los </w:t>
      </w:r>
      <w:r w:rsidR="00127B6C" w:rsidRPr="007123C0">
        <w:rPr>
          <w:rFonts w:ascii="Verdana" w:hAnsi="Verdana"/>
          <w:sz w:val="17"/>
          <w:szCs w:val="17"/>
          <w:lang w:val="es-MX"/>
        </w:rPr>
        <w:t>derechohabientes o apoderados</w:t>
      </w:r>
      <w:r w:rsidRPr="007123C0">
        <w:rPr>
          <w:rFonts w:ascii="Verdana" w:hAnsi="Verdana"/>
          <w:sz w:val="17"/>
          <w:szCs w:val="17"/>
          <w:lang w:val="es-MX"/>
        </w:rPr>
        <w:t xml:space="preserve">] </w:t>
      </w:r>
      <w:r w:rsidR="00127B6C" w:rsidRPr="007123C0">
        <w:rPr>
          <w:rFonts w:ascii="Verdana" w:hAnsi="Verdana"/>
          <w:sz w:val="17"/>
          <w:szCs w:val="17"/>
          <w:lang w:val="es-MX"/>
        </w:rPr>
        <w:t xml:space="preserve">deberán presentar original y copia para su cotejo de la resolución judicial </w:t>
      </w:r>
      <w:r w:rsidR="00A671F3" w:rsidRPr="007123C0">
        <w:rPr>
          <w:rFonts w:ascii="Verdana" w:hAnsi="Verdana"/>
          <w:sz w:val="17"/>
          <w:szCs w:val="17"/>
          <w:lang w:val="es-MX"/>
        </w:rPr>
        <w:t>[…] que los acredite como tales</w:t>
      </w:r>
      <w:r w:rsidR="00127B6C" w:rsidRPr="007123C0">
        <w:rPr>
          <w:rFonts w:ascii="Verdana" w:hAnsi="Verdana"/>
          <w:sz w:val="17"/>
          <w:szCs w:val="17"/>
          <w:lang w:val="es-MX"/>
        </w:rPr>
        <w:t xml:space="preserve">. De igual manera </w:t>
      </w:r>
      <w:r w:rsidR="00A671F3" w:rsidRPr="007123C0">
        <w:rPr>
          <w:rFonts w:ascii="Verdana" w:hAnsi="Verdana"/>
          <w:sz w:val="17"/>
          <w:szCs w:val="17"/>
          <w:lang w:val="es-MX"/>
        </w:rPr>
        <w:t xml:space="preserve">[…] procederán los </w:t>
      </w:r>
      <w:proofErr w:type="gramStart"/>
      <w:r w:rsidR="00A671F3" w:rsidRPr="007123C0">
        <w:rPr>
          <w:rFonts w:ascii="Verdana" w:hAnsi="Verdana"/>
          <w:sz w:val="17"/>
          <w:szCs w:val="17"/>
          <w:lang w:val="es-MX"/>
        </w:rPr>
        <w:t>apoderados[</w:t>
      </w:r>
      <w:proofErr w:type="gramEnd"/>
      <w:r w:rsidR="00A671F3" w:rsidRPr="007123C0">
        <w:rPr>
          <w:rFonts w:ascii="Verdana" w:hAnsi="Verdana"/>
          <w:sz w:val="17"/>
          <w:szCs w:val="17"/>
          <w:lang w:val="es-MX"/>
        </w:rPr>
        <w:t xml:space="preserve">,] quienes deberán presentar </w:t>
      </w:r>
      <w:r w:rsidR="00127B6C" w:rsidRPr="007123C0">
        <w:rPr>
          <w:rFonts w:ascii="Verdana" w:hAnsi="Verdana"/>
          <w:sz w:val="17"/>
          <w:szCs w:val="17"/>
          <w:lang w:val="es-MX"/>
        </w:rPr>
        <w:t>original y co</w:t>
      </w:r>
      <w:r w:rsidR="00A671F3" w:rsidRPr="007123C0">
        <w:rPr>
          <w:rFonts w:ascii="Verdana" w:hAnsi="Verdana"/>
          <w:sz w:val="17"/>
          <w:szCs w:val="17"/>
          <w:lang w:val="es-MX"/>
        </w:rPr>
        <w:t>pia del poder de representación</w:t>
      </w:r>
      <w:r w:rsidR="00127B6C" w:rsidRPr="007123C0">
        <w:rPr>
          <w:rFonts w:ascii="Verdana" w:hAnsi="Verdana"/>
          <w:sz w:val="17"/>
          <w:szCs w:val="17"/>
          <w:lang w:val="es-MX"/>
        </w:rPr>
        <w:t xml:space="preserve">. </w:t>
      </w:r>
    </w:p>
    <w:p w:rsidR="00AA2B29" w:rsidRPr="007123C0" w:rsidRDefault="00A671F3" w:rsidP="00A671F3">
      <w:pPr>
        <w:pStyle w:val="Prrafodelista"/>
        <w:numPr>
          <w:ilvl w:val="0"/>
          <w:numId w:val="10"/>
        </w:numPr>
        <w:spacing w:after="0" w:line="240" w:lineRule="auto"/>
        <w:contextualSpacing w:val="0"/>
        <w:jc w:val="both"/>
        <w:rPr>
          <w:rFonts w:ascii="Verdana" w:hAnsi="Verdana"/>
          <w:sz w:val="17"/>
          <w:szCs w:val="17"/>
          <w:lang w:val="es-MX"/>
        </w:rPr>
      </w:pPr>
      <w:r w:rsidRPr="007123C0">
        <w:rPr>
          <w:rFonts w:ascii="Verdana" w:hAnsi="Verdana"/>
          <w:sz w:val="17"/>
          <w:szCs w:val="17"/>
          <w:lang w:val="es-MX"/>
        </w:rPr>
        <w:t xml:space="preserve">Los montos no reclamados en el tiempo establecido en este Acuerdo permanecerán </w:t>
      </w:r>
      <w:r w:rsidR="00E259DC" w:rsidRPr="007123C0">
        <w:rPr>
          <w:rFonts w:ascii="Verdana" w:hAnsi="Verdana"/>
          <w:sz w:val="17"/>
          <w:szCs w:val="17"/>
          <w:lang w:val="es-MX"/>
        </w:rPr>
        <w:t xml:space="preserve">a favor del caso Pacheco Teruel y </w:t>
      </w:r>
      <w:r w:rsidR="00BD318B">
        <w:rPr>
          <w:rFonts w:ascii="Verdana" w:hAnsi="Verdana"/>
          <w:sz w:val="17"/>
          <w:szCs w:val="17"/>
          <w:lang w:val="es-MX"/>
        </w:rPr>
        <w:t>O</w:t>
      </w:r>
      <w:r w:rsidR="00E259DC" w:rsidRPr="007123C0">
        <w:rPr>
          <w:rFonts w:ascii="Verdana" w:hAnsi="Verdana"/>
          <w:sz w:val="17"/>
          <w:szCs w:val="17"/>
          <w:lang w:val="es-MX"/>
        </w:rPr>
        <w:t>tros bajo los términos y condiciones señalados en</w:t>
      </w:r>
      <w:r w:rsidRPr="007123C0">
        <w:rPr>
          <w:rFonts w:ascii="Verdana" w:hAnsi="Verdana"/>
          <w:sz w:val="17"/>
          <w:szCs w:val="17"/>
          <w:lang w:val="es-MX"/>
        </w:rPr>
        <w:t xml:space="preserve"> el párrafo 141 de la Sentencia. Una vez transcurrido dicho plazo, </w:t>
      </w:r>
      <w:r w:rsidR="00AA2B29" w:rsidRPr="007123C0">
        <w:rPr>
          <w:rFonts w:ascii="Verdana" w:hAnsi="Verdana"/>
          <w:sz w:val="17"/>
          <w:szCs w:val="17"/>
          <w:lang w:val="es-MX"/>
        </w:rPr>
        <w:t>previo informe […] de la Secretar[í]a de Finanzas, ésta pondrá dichos fondos no reclamados, en una cuenta especial para su inversión en el Sistema Penitenciario Nacional, los que se destinarán exclusivamente para programas de reinserción social.</w:t>
      </w:r>
    </w:p>
    <w:p w:rsidR="006F0886" w:rsidRPr="007123C0" w:rsidRDefault="006F0886" w:rsidP="00AA2B29">
      <w:pPr>
        <w:pStyle w:val="Prrafodelista"/>
        <w:spacing w:after="0" w:line="240" w:lineRule="auto"/>
        <w:ind w:left="1080"/>
        <w:contextualSpacing w:val="0"/>
        <w:jc w:val="both"/>
        <w:rPr>
          <w:rFonts w:ascii="Verdana" w:hAnsi="Verdana"/>
          <w:sz w:val="17"/>
          <w:szCs w:val="17"/>
          <w:lang w:val="es-MX"/>
        </w:rPr>
      </w:pPr>
    </w:p>
    <w:p w:rsidR="00AA2B29" w:rsidRPr="007123C0" w:rsidRDefault="00AA2B29" w:rsidP="00AA2B29">
      <w:pPr>
        <w:pStyle w:val="Prrafodelista"/>
        <w:spacing w:after="0" w:line="240" w:lineRule="auto"/>
        <w:ind w:left="1080"/>
        <w:contextualSpacing w:val="0"/>
        <w:jc w:val="both"/>
        <w:rPr>
          <w:rFonts w:ascii="Verdana" w:hAnsi="Verdana"/>
          <w:sz w:val="17"/>
          <w:szCs w:val="17"/>
          <w:lang w:val="es-MX"/>
        </w:rPr>
      </w:pPr>
      <w:r w:rsidRPr="007123C0">
        <w:rPr>
          <w:rFonts w:ascii="Verdana" w:hAnsi="Verdana"/>
          <w:sz w:val="17"/>
          <w:szCs w:val="17"/>
          <w:lang w:val="es-MX"/>
        </w:rPr>
        <w:t xml:space="preserve">Es entendido por las partes firmantes que hasta </w:t>
      </w:r>
      <w:r w:rsidR="00C725E1">
        <w:rPr>
          <w:rFonts w:ascii="Verdana" w:hAnsi="Verdana"/>
          <w:sz w:val="17"/>
          <w:szCs w:val="17"/>
          <w:lang w:val="es-MX"/>
        </w:rPr>
        <w:t xml:space="preserve">que </w:t>
      </w:r>
      <w:r w:rsidRPr="007123C0">
        <w:rPr>
          <w:rFonts w:ascii="Verdana" w:hAnsi="Verdana"/>
          <w:sz w:val="17"/>
          <w:szCs w:val="17"/>
          <w:lang w:val="es-MX"/>
        </w:rPr>
        <w:t xml:space="preserve">no se efectúe en su totalidad el pago </w:t>
      </w:r>
      <w:proofErr w:type="gramStart"/>
      <w:r w:rsidRPr="007123C0">
        <w:rPr>
          <w:rFonts w:ascii="Verdana" w:hAnsi="Verdana"/>
          <w:sz w:val="17"/>
          <w:szCs w:val="17"/>
          <w:lang w:val="es-MX"/>
        </w:rPr>
        <w:t>indemnizatorio</w:t>
      </w:r>
      <w:r w:rsidR="00CF3B8E">
        <w:rPr>
          <w:rFonts w:ascii="Verdana" w:hAnsi="Verdana"/>
          <w:sz w:val="17"/>
          <w:szCs w:val="17"/>
          <w:lang w:val="es-MX"/>
        </w:rPr>
        <w:t>[</w:t>
      </w:r>
      <w:proofErr w:type="gramEnd"/>
      <w:r w:rsidRPr="007123C0">
        <w:rPr>
          <w:rFonts w:ascii="Verdana" w:hAnsi="Verdana"/>
          <w:sz w:val="17"/>
          <w:szCs w:val="17"/>
          <w:lang w:val="es-MX"/>
        </w:rPr>
        <w:t>,</w:t>
      </w:r>
      <w:r w:rsidR="00CF3B8E">
        <w:rPr>
          <w:rFonts w:ascii="Verdana" w:hAnsi="Verdana"/>
          <w:sz w:val="17"/>
          <w:szCs w:val="17"/>
          <w:lang w:val="es-MX"/>
        </w:rPr>
        <w:t>]</w:t>
      </w:r>
      <w:r w:rsidRPr="007123C0">
        <w:rPr>
          <w:rFonts w:ascii="Verdana" w:hAnsi="Verdana"/>
          <w:sz w:val="17"/>
          <w:szCs w:val="17"/>
          <w:lang w:val="es-MX"/>
        </w:rPr>
        <w:t xml:space="preserve"> no se tendrá por cumplido este punto resolutivo. Luego de la cancelación total </w:t>
      </w:r>
      <w:r w:rsidRPr="007123C0">
        <w:rPr>
          <w:rFonts w:ascii="Verdana" w:hAnsi="Verdana"/>
          <w:sz w:val="17"/>
          <w:szCs w:val="17"/>
          <w:lang w:val="es-MX"/>
        </w:rPr>
        <w:lastRenderedPageBreak/>
        <w:t xml:space="preserve">del pago efectuado se extender[á] el finiquito por los representantes de las víctimas en forma </w:t>
      </w:r>
      <w:proofErr w:type="gramStart"/>
      <w:r w:rsidRPr="007123C0">
        <w:rPr>
          <w:rFonts w:ascii="Verdana" w:hAnsi="Verdana"/>
          <w:sz w:val="17"/>
          <w:szCs w:val="17"/>
          <w:lang w:val="es-MX"/>
        </w:rPr>
        <w:t>individualizada[</w:t>
      </w:r>
      <w:proofErr w:type="gramEnd"/>
      <w:r w:rsidRPr="007123C0">
        <w:rPr>
          <w:rFonts w:ascii="Verdana" w:hAnsi="Verdana"/>
          <w:sz w:val="17"/>
          <w:szCs w:val="17"/>
          <w:lang w:val="es-MX"/>
        </w:rPr>
        <w:t>,] una vez que se apruebe el informe respectivo que elaborará el Instituto Nacional Penitenciario. Extinguiendo con ello toda responsabilidad del Estado de Honduras de cualquier resarcimiento. En consecuencia, queda liberado de cualquier reclamación extrajudicial o judicial tanto en el ámbito nacional o internacional.</w:t>
      </w:r>
    </w:p>
    <w:p w:rsidR="00446EC0" w:rsidRDefault="00511D62" w:rsidP="00046155">
      <w:pPr>
        <w:pStyle w:val="Prrafodelista"/>
        <w:numPr>
          <w:ilvl w:val="0"/>
          <w:numId w:val="11"/>
        </w:numPr>
        <w:spacing w:before="120" w:after="120" w:line="240" w:lineRule="auto"/>
        <w:ind w:left="0" w:firstLine="0"/>
        <w:contextualSpacing w:val="0"/>
        <w:jc w:val="both"/>
        <w:rPr>
          <w:rFonts w:ascii="Verdana" w:hAnsi="Verdana"/>
          <w:sz w:val="20"/>
          <w:lang w:val="es-MX"/>
        </w:rPr>
      </w:pPr>
      <w:r>
        <w:rPr>
          <w:rFonts w:ascii="Verdana" w:hAnsi="Verdana"/>
          <w:sz w:val="20"/>
          <w:lang w:val="es-MX"/>
        </w:rPr>
        <w:t>Ante una consulta formulada</w:t>
      </w:r>
      <w:r w:rsidR="00F14AE4">
        <w:rPr>
          <w:rFonts w:ascii="Verdana" w:hAnsi="Verdana"/>
          <w:sz w:val="20"/>
          <w:lang w:val="es-MX"/>
        </w:rPr>
        <w:t xml:space="preserve"> mediante nota de Secretaría del Tribunal, siguiendo instrucciones del Presidente de la Corte</w:t>
      </w:r>
      <w:r w:rsidR="00BD318B">
        <w:rPr>
          <w:rFonts w:ascii="Verdana" w:hAnsi="Verdana"/>
          <w:sz w:val="20"/>
          <w:lang w:val="es-MX"/>
        </w:rPr>
        <w:t xml:space="preserve"> (</w:t>
      </w:r>
      <w:r w:rsidR="00BD318B">
        <w:rPr>
          <w:rFonts w:ascii="Verdana" w:hAnsi="Verdana"/>
          <w:i/>
          <w:sz w:val="20"/>
          <w:lang w:val="es-MX"/>
        </w:rPr>
        <w:t xml:space="preserve">supra </w:t>
      </w:r>
      <w:r w:rsidR="00BD318B">
        <w:rPr>
          <w:rFonts w:ascii="Verdana" w:hAnsi="Verdana"/>
          <w:sz w:val="20"/>
          <w:lang w:val="es-MX"/>
        </w:rPr>
        <w:t>Visto 5)</w:t>
      </w:r>
      <w:r w:rsidR="00F14AE4">
        <w:rPr>
          <w:rFonts w:ascii="Verdana" w:hAnsi="Verdana"/>
          <w:sz w:val="20"/>
          <w:lang w:val="es-MX"/>
        </w:rPr>
        <w:t>,</w:t>
      </w:r>
      <w:r>
        <w:rPr>
          <w:rFonts w:ascii="Verdana" w:hAnsi="Verdana"/>
          <w:sz w:val="20"/>
          <w:lang w:val="es-MX"/>
        </w:rPr>
        <w:t xml:space="preserve"> </w:t>
      </w:r>
      <w:r w:rsidR="00C725E1">
        <w:rPr>
          <w:rFonts w:ascii="Verdana" w:hAnsi="Verdana"/>
          <w:sz w:val="20"/>
          <w:lang w:val="es-MX"/>
        </w:rPr>
        <w:t xml:space="preserve">en </w:t>
      </w:r>
      <w:r>
        <w:rPr>
          <w:rFonts w:ascii="Verdana" w:hAnsi="Verdana"/>
          <w:sz w:val="20"/>
          <w:lang w:val="es-MX"/>
        </w:rPr>
        <w:t>el</w:t>
      </w:r>
      <w:r w:rsidR="00C725E1">
        <w:rPr>
          <w:rFonts w:ascii="Verdana" w:hAnsi="Verdana"/>
          <w:sz w:val="20"/>
          <w:lang w:val="es-MX"/>
        </w:rPr>
        <w:t xml:space="preserve"> informe</w:t>
      </w:r>
      <w:r w:rsidR="004C6334">
        <w:rPr>
          <w:rFonts w:ascii="Verdana" w:hAnsi="Verdana"/>
          <w:sz w:val="20"/>
          <w:lang w:val="es-MX"/>
        </w:rPr>
        <w:t xml:space="preserve"> de mayo </w:t>
      </w:r>
      <w:r w:rsidR="00C725E1">
        <w:rPr>
          <w:rFonts w:ascii="Verdana" w:hAnsi="Verdana"/>
          <w:sz w:val="20"/>
          <w:lang w:val="es-MX"/>
        </w:rPr>
        <w:t xml:space="preserve">de 2017 </w:t>
      </w:r>
      <w:r w:rsidR="004C6334">
        <w:rPr>
          <w:rFonts w:ascii="Verdana" w:hAnsi="Verdana"/>
          <w:sz w:val="20"/>
          <w:lang w:val="es-MX"/>
        </w:rPr>
        <w:t xml:space="preserve">el </w:t>
      </w:r>
      <w:r>
        <w:rPr>
          <w:rFonts w:ascii="Verdana" w:hAnsi="Verdana"/>
          <w:sz w:val="20"/>
          <w:lang w:val="es-MX"/>
        </w:rPr>
        <w:t xml:space="preserve">Estado </w:t>
      </w:r>
      <w:r w:rsidR="00EE3B66">
        <w:rPr>
          <w:rFonts w:ascii="Verdana" w:hAnsi="Verdana"/>
          <w:sz w:val="20"/>
          <w:lang w:val="es-MX"/>
        </w:rPr>
        <w:t>aclaró</w:t>
      </w:r>
      <w:r w:rsidR="00F14AE4">
        <w:rPr>
          <w:rFonts w:ascii="Verdana" w:hAnsi="Verdana"/>
          <w:sz w:val="20"/>
          <w:lang w:val="es-MX"/>
        </w:rPr>
        <w:t xml:space="preserve"> que la distribución del </w:t>
      </w:r>
      <w:r w:rsidR="00A66910">
        <w:rPr>
          <w:rFonts w:ascii="Verdana" w:hAnsi="Verdana"/>
          <w:sz w:val="20"/>
          <w:lang w:val="es-MX"/>
        </w:rPr>
        <w:t>monto global indemnizatorio acordado</w:t>
      </w:r>
      <w:r w:rsidR="00F14AE4">
        <w:rPr>
          <w:rFonts w:ascii="Verdana" w:hAnsi="Verdana"/>
          <w:sz w:val="20"/>
          <w:lang w:val="es-MX"/>
        </w:rPr>
        <w:t xml:space="preserve"> se realizar</w:t>
      </w:r>
      <w:r w:rsidR="005D5330">
        <w:rPr>
          <w:rFonts w:ascii="Verdana" w:hAnsi="Verdana"/>
          <w:sz w:val="20"/>
          <w:lang w:val="es-MX"/>
        </w:rPr>
        <w:t>ía de la siguiente manera: i) un 3% del monto global acordado será reintegrado por concepto de costas y gastos</w:t>
      </w:r>
      <w:r w:rsidR="00446EC0">
        <w:rPr>
          <w:rFonts w:ascii="Verdana" w:hAnsi="Verdana"/>
          <w:sz w:val="20"/>
          <w:lang w:val="es-MX"/>
        </w:rPr>
        <w:t>;</w:t>
      </w:r>
      <w:r w:rsidR="001A3071">
        <w:rPr>
          <w:rFonts w:ascii="Verdana" w:hAnsi="Verdana"/>
          <w:sz w:val="20"/>
          <w:lang w:val="es-MX"/>
        </w:rPr>
        <w:t xml:space="preserve"> </w:t>
      </w:r>
      <w:r w:rsidR="005D5330">
        <w:rPr>
          <w:rFonts w:ascii="Verdana" w:hAnsi="Verdana"/>
          <w:sz w:val="20"/>
          <w:lang w:val="es-MX"/>
        </w:rPr>
        <w:t>ii) el monto rest</w:t>
      </w:r>
      <w:r w:rsidR="001A3071">
        <w:rPr>
          <w:rFonts w:ascii="Verdana" w:hAnsi="Verdana"/>
          <w:sz w:val="20"/>
          <w:lang w:val="es-MX"/>
        </w:rPr>
        <w:t xml:space="preserve">ante será dividido </w:t>
      </w:r>
      <w:r w:rsidR="00446EC0">
        <w:rPr>
          <w:rFonts w:ascii="Verdana" w:hAnsi="Verdana"/>
          <w:sz w:val="20"/>
          <w:lang w:val="es-MX"/>
        </w:rPr>
        <w:t xml:space="preserve">entre </w:t>
      </w:r>
      <w:r w:rsidR="00EF3306">
        <w:rPr>
          <w:rFonts w:ascii="Verdana" w:hAnsi="Verdana"/>
          <w:sz w:val="20"/>
          <w:lang w:val="es-MX"/>
        </w:rPr>
        <w:t>los</w:t>
      </w:r>
      <w:r w:rsidR="00446EC0">
        <w:rPr>
          <w:rFonts w:ascii="Verdana" w:hAnsi="Verdana"/>
          <w:sz w:val="20"/>
          <w:lang w:val="es-MX"/>
        </w:rPr>
        <w:t xml:space="preserve"> 107 </w:t>
      </w:r>
      <w:r w:rsidR="00EF3306">
        <w:rPr>
          <w:rFonts w:ascii="Verdana" w:hAnsi="Verdana"/>
          <w:sz w:val="20"/>
          <w:lang w:val="es-MX"/>
        </w:rPr>
        <w:t>internos fallecidos</w:t>
      </w:r>
      <w:r w:rsidR="00446EC0">
        <w:rPr>
          <w:rFonts w:ascii="Verdana" w:hAnsi="Verdana"/>
          <w:sz w:val="20"/>
          <w:lang w:val="es-MX"/>
        </w:rPr>
        <w:t xml:space="preserve">, y iii) </w:t>
      </w:r>
      <w:r w:rsidR="00EF3306">
        <w:rPr>
          <w:rFonts w:ascii="Verdana" w:hAnsi="Verdana"/>
          <w:sz w:val="20"/>
          <w:lang w:val="es-MX"/>
        </w:rPr>
        <w:t>el</w:t>
      </w:r>
      <w:r w:rsidR="00446EC0">
        <w:rPr>
          <w:rFonts w:ascii="Verdana" w:hAnsi="Verdana"/>
          <w:sz w:val="20"/>
          <w:lang w:val="es-MX"/>
        </w:rPr>
        <w:t xml:space="preserve"> monto resultante para cada una de las </w:t>
      </w:r>
      <w:r w:rsidR="00EF3306">
        <w:rPr>
          <w:rFonts w:ascii="Verdana" w:hAnsi="Verdana"/>
          <w:sz w:val="20"/>
          <w:lang w:val="es-MX"/>
        </w:rPr>
        <w:t xml:space="preserve">referidas 107 </w:t>
      </w:r>
      <w:r w:rsidR="00446EC0">
        <w:rPr>
          <w:rFonts w:ascii="Verdana" w:hAnsi="Verdana"/>
          <w:sz w:val="20"/>
          <w:lang w:val="es-MX"/>
        </w:rPr>
        <w:t>víctimas será “distribuid</w:t>
      </w:r>
      <w:r w:rsidR="00C725E1">
        <w:rPr>
          <w:rFonts w:ascii="Verdana" w:hAnsi="Verdana"/>
          <w:sz w:val="20"/>
          <w:lang w:val="es-MX"/>
        </w:rPr>
        <w:t>[</w:t>
      </w:r>
      <w:r w:rsidR="00446EC0">
        <w:rPr>
          <w:rFonts w:ascii="Verdana" w:hAnsi="Verdana"/>
          <w:sz w:val="20"/>
          <w:lang w:val="es-MX"/>
        </w:rPr>
        <w:t xml:space="preserve">o </w:t>
      </w:r>
      <w:r w:rsidR="00EF3306">
        <w:rPr>
          <w:rFonts w:ascii="Verdana" w:hAnsi="Verdana"/>
          <w:sz w:val="20"/>
          <w:lang w:val="es-MX"/>
        </w:rPr>
        <w:t>entre]</w:t>
      </w:r>
      <w:r w:rsidR="00446EC0">
        <w:rPr>
          <w:rFonts w:ascii="Verdana" w:hAnsi="Verdana"/>
          <w:sz w:val="20"/>
          <w:lang w:val="es-MX"/>
        </w:rPr>
        <w:t xml:space="preserve"> los familiares beneficiarios directos reconocidos de los fallecidos e igual cantidad se dará al resto de familiares no reconocid[o]s [a mayo de 2017], cuando se presentaren a solicitar dicha indemnización”.</w:t>
      </w:r>
      <w:r w:rsidR="00EF3306">
        <w:rPr>
          <w:rFonts w:ascii="Verdana" w:hAnsi="Verdana"/>
          <w:sz w:val="20"/>
          <w:lang w:val="es-MX"/>
        </w:rPr>
        <w:t xml:space="preserve"> </w:t>
      </w:r>
      <w:r w:rsidR="00C725E1">
        <w:rPr>
          <w:rFonts w:ascii="Verdana" w:hAnsi="Verdana"/>
          <w:sz w:val="20"/>
          <w:lang w:val="es-MX"/>
        </w:rPr>
        <w:t>En las observaciones que l</w:t>
      </w:r>
      <w:r w:rsidR="0093202A">
        <w:rPr>
          <w:rFonts w:ascii="Verdana" w:hAnsi="Verdana"/>
          <w:sz w:val="20"/>
          <w:lang w:val="es-MX"/>
        </w:rPr>
        <w:t xml:space="preserve">os representantes de las víctimas </w:t>
      </w:r>
      <w:r w:rsidR="00C725E1">
        <w:rPr>
          <w:rFonts w:ascii="Verdana" w:hAnsi="Verdana"/>
          <w:sz w:val="20"/>
          <w:lang w:val="es-MX"/>
        </w:rPr>
        <w:t xml:space="preserve">presentaron </w:t>
      </w:r>
      <w:r w:rsidR="00183153">
        <w:rPr>
          <w:rFonts w:ascii="Verdana" w:hAnsi="Verdana"/>
          <w:sz w:val="20"/>
          <w:lang w:val="es-MX"/>
        </w:rPr>
        <w:t xml:space="preserve">en mayo de 2017 </w:t>
      </w:r>
      <w:r w:rsidR="00C725E1">
        <w:rPr>
          <w:rFonts w:ascii="Verdana" w:hAnsi="Verdana"/>
          <w:sz w:val="20"/>
          <w:lang w:val="es-MX"/>
        </w:rPr>
        <w:t>al referido informe estatal</w:t>
      </w:r>
      <w:r w:rsidR="004F7591">
        <w:rPr>
          <w:rFonts w:ascii="Verdana" w:hAnsi="Verdana"/>
          <w:sz w:val="20"/>
          <w:lang w:val="es-MX"/>
        </w:rPr>
        <w:t xml:space="preserve"> (</w:t>
      </w:r>
      <w:r w:rsidR="004F7591">
        <w:rPr>
          <w:rFonts w:ascii="Verdana" w:hAnsi="Verdana"/>
          <w:i/>
          <w:sz w:val="20"/>
          <w:lang w:val="es-MX"/>
        </w:rPr>
        <w:t xml:space="preserve">supra </w:t>
      </w:r>
      <w:r w:rsidR="004F7591">
        <w:rPr>
          <w:rFonts w:ascii="Verdana" w:hAnsi="Verdana"/>
          <w:sz w:val="20"/>
          <w:lang w:val="es-MX"/>
        </w:rPr>
        <w:t>Visto 7)</w:t>
      </w:r>
      <w:r w:rsidR="00C725E1">
        <w:rPr>
          <w:rFonts w:ascii="Verdana" w:hAnsi="Verdana"/>
          <w:sz w:val="20"/>
          <w:lang w:val="es-MX"/>
        </w:rPr>
        <w:t>, indicaron que</w:t>
      </w:r>
      <w:r w:rsidR="00571CDF">
        <w:rPr>
          <w:rFonts w:ascii="Verdana" w:hAnsi="Verdana"/>
          <w:sz w:val="20"/>
          <w:lang w:val="es-MX"/>
        </w:rPr>
        <w:t xml:space="preserve"> “no </w:t>
      </w:r>
      <w:proofErr w:type="gramStart"/>
      <w:r w:rsidR="00571CDF">
        <w:rPr>
          <w:rFonts w:ascii="Verdana" w:hAnsi="Verdana"/>
          <w:sz w:val="20"/>
          <w:lang w:val="es-MX"/>
        </w:rPr>
        <w:t>objeta[</w:t>
      </w:r>
      <w:proofErr w:type="gramEnd"/>
      <w:r w:rsidR="00571CDF">
        <w:rPr>
          <w:rFonts w:ascii="Verdana" w:hAnsi="Verdana"/>
          <w:sz w:val="20"/>
          <w:lang w:val="es-MX"/>
        </w:rPr>
        <w:t xml:space="preserve">ban]” lo ahí indicado por el Estado. </w:t>
      </w:r>
    </w:p>
    <w:p w:rsidR="006F0AF8" w:rsidRDefault="00D536E4" w:rsidP="00046155">
      <w:pPr>
        <w:pStyle w:val="Prrafodelista"/>
        <w:numPr>
          <w:ilvl w:val="0"/>
          <w:numId w:val="11"/>
        </w:numPr>
        <w:spacing w:before="120" w:after="0" w:line="240" w:lineRule="auto"/>
        <w:ind w:left="0" w:firstLine="0"/>
        <w:contextualSpacing w:val="0"/>
        <w:jc w:val="both"/>
        <w:rPr>
          <w:rFonts w:ascii="Verdana" w:hAnsi="Verdana"/>
          <w:sz w:val="20"/>
          <w:lang w:val="es-MX"/>
        </w:rPr>
      </w:pPr>
      <w:r>
        <w:rPr>
          <w:rFonts w:ascii="Verdana" w:hAnsi="Verdana"/>
          <w:sz w:val="20"/>
          <w:lang w:val="es-MX"/>
        </w:rPr>
        <w:t>La Corte observa que el referido acuerdo</w:t>
      </w:r>
      <w:r w:rsidR="002B6C8E">
        <w:rPr>
          <w:rFonts w:ascii="Verdana" w:hAnsi="Verdana"/>
          <w:sz w:val="20"/>
          <w:lang w:val="es-MX"/>
        </w:rPr>
        <w:t>: i)</w:t>
      </w:r>
      <w:r>
        <w:rPr>
          <w:rFonts w:ascii="Verdana" w:hAnsi="Verdana"/>
          <w:sz w:val="20"/>
          <w:lang w:val="es-MX"/>
        </w:rPr>
        <w:t xml:space="preserve"> mantiene el </w:t>
      </w:r>
      <w:r w:rsidR="00A66910">
        <w:rPr>
          <w:rFonts w:ascii="Verdana" w:hAnsi="Verdana"/>
          <w:sz w:val="20"/>
          <w:lang w:val="es-MX"/>
        </w:rPr>
        <w:t xml:space="preserve">mismo </w:t>
      </w:r>
      <w:r>
        <w:rPr>
          <w:rFonts w:ascii="Verdana" w:hAnsi="Verdana"/>
          <w:sz w:val="20"/>
          <w:lang w:val="es-MX"/>
        </w:rPr>
        <w:t xml:space="preserve">monto global convenido como indemnización </w:t>
      </w:r>
      <w:r w:rsidRPr="00DF5800">
        <w:rPr>
          <w:rFonts w:ascii="Verdana" w:hAnsi="Verdana"/>
          <w:sz w:val="20"/>
          <w:lang w:val="es-MX"/>
        </w:rPr>
        <w:t>compensatoria</w:t>
      </w:r>
      <w:r w:rsidR="002B6C8E" w:rsidRPr="00DF5800">
        <w:rPr>
          <w:rFonts w:ascii="Verdana" w:hAnsi="Verdana"/>
          <w:sz w:val="20"/>
          <w:lang w:val="es-MX"/>
        </w:rPr>
        <w:t xml:space="preserve"> en</w:t>
      </w:r>
      <w:r w:rsidRPr="00DF5800">
        <w:rPr>
          <w:rFonts w:ascii="Verdana" w:hAnsi="Verdana"/>
          <w:sz w:val="20"/>
          <w:lang w:val="es-MX"/>
        </w:rPr>
        <w:t xml:space="preserve"> el acuerdo de solución amistosa</w:t>
      </w:r>
      <w:r w:rsidR="00A66910" w:rsidRPr="00DF5800">
        <w:rPr>
          <w:rFonts w:ascii="Verdana" w:hAnsi="Verdana"/>
          <w:sz w:val="20"/>
          <w:lang w:val="es-MX"/>
        </w:rPr>
        <w:t xml:space="preserve"> que fue</w:t>
      </w:r>
      <w:r w:rsidRPr="00DF5800">
        <w:rPr>
          <w:rFonts w:ascii="Verdana" w:hAnsi="Verdana"/>
          <w:sz w:val="20"/>
          <w:lang w:val="es-MX"/>
        </w:rPr>
        <w:t xml:space="preserve"> homologado en la Sentencia</w:t>
      </w:r>
      <w:r w:rsidR="00DF5800">
        <w:rPr>
          <w:rStyle w:val="Refdenotaalpie"/>
          <w:rFonts w:ascii="Verdana" w:hAnsi="Verdana"/>
          <w:sz w:val="20"/>
          <w:lang w:val="es-MX"/>
        </w:rPr>
        <w:footnoteReference w:id="19"/>
      </w:r>
      <w:r w:rsidR="002B6C8E" w:rsidRPr="00DF5800">
        <w:rPr>
          <w:rFonts w:ascii="Verdana" w:hAnsi="Verdana"/>
          <w:sz w:val="20"/>
          <w:lang w:val="es-MX"/>
        </w:rPr>
        <w:t xml:space="preserve">; ii) incluye a </w:t>
      </w:r>
      <w:r w:rsidR="00571CDF">
        <w:rPr>
          <w:rFonts w:ascii="Verdana" w:hAnsi="Verdana"/>
          <w:sz w:val="20"/>
          <w:lang w:val="es-MX"/>
        </w:rPr>
        <w:t>las personas beneficiarias</w:t>
      </w:r>
      <w:r w:rsidR="00A66910" w:rsidRPr="00DF5800">
        <w:rPr>
          <w:rFonts w:ascii="Verdana" w:hAnsi="Verdana"/>
          <w:sz w:val="20"/>
          <w:lang w:val="es-MX"/>
        </w:rPr>
        <w:t xml:space="preserve"> señalad</w:t>
      </w:r>
      <w:r w:rsidR="00571CDF">
        <w:rPr>
          <w:rFonts w:ascii="Verdana" w:hAnsi="Verdana"/>
          <w:sz w:val="20"/>
          <w:lang w:val="es-MX"/>
        </w:rPr>
        <w:t>a</w:t>
      </w:r>
      <w:r w:rsidR="002B6C8E" w:rsidRPr="00DF5800">
        <w:rPr>
          <w:rFonts w:ascii="Verdana" w:hAnsi="Verdana"/>
          <w:sz w:val="20"/>
          <w:lang w:val="es-MX"/>
        </w:rPr>
        <w:t>s en la Sentencia</w:t>
      </w:r>
      <w:r w:rsidR="00A66910" w:rsidRPr="00DF5800">
        <w:rPr>
          <w:rStyle w:val="Refdenotaalpie"/>
          <w:rFonts w:ascii="Verdana" w:hAnsi="Verdana"/>
          <w:sz w:val="20"/>
          <w:lang w:val="es-MX"/>
        </w:rPr>
        <w:footnoteReference w:id="20"/>
      </w:r>
      <w:r w:rsidR="002B6C8E" w:rsidRPr="00DF5800">
        <w:rPr>
          <w:rFonts w:ascii="Verdana" w:hAnsi="Verdana"/>
          <w:sz w:val="20"/>
          <w:lang w:val="es-MX"/>
        </w:rPr>
        <w:t>; iii) establece un mecanismo directo de pago que no representa</w:t>
      </w:r>
      <w:r w:rsidR="00A66910" w:rsidRPr="00DF5800">
        <w:rPr>
          <w:rFonts w:ascii="Verdana" w:hAnsi="Verdana"/>
          <w:sz w:val="20"/>
          <w:lang w:val="es-MX"/>
        </w:rPr>
        <w:t xml:space="preserve"> la realización de </w:t>
      </w:r>
      <w:r w:rsidR="002B6C8E" w:rsidRPr="00DF5800">
        <w:rPr>
          <w:rFonts w:ascii="Verdana" w:hAnsi="Verdana"/>
          <w:sz w:val="20"/>
          <w:lang w:val="es-MX"/>
        </w:rPr>
        <w:t xml:space="preserve">trámites </w:t>
      </w:r>
      <w:r w:rsidR="00DF5800">
        <w:rPr>
          <w:rFonts w:ascii="Verdana" w:hAnsi="Verdana"/>
          <w:sz w:val="20"/>
          <w:lang w:val="es-MX"/>
        </w:rPr>
        <w:t xml:space="preserve">adicionales o </w:t>
      </w:r>
      <w:r w:rsidR="00695DB4" w:rsidRPr="00DF5800">
        <w:rPr>
          <w:rFonts w:ascii="Verdana" w:hAnsi="Verdana"/>
          <w:sz w:val="20"/>
          <w:lang w:val="es-MX"/>
        </w:rPr>
        <w:t>engorrosos</w:t>
      </w:r>
      <w:r w:rsidR="002B6C8E" w:rsidRPr="00DF5800">
        <w:rPr>
          <w:rFonts w:ascii="Verdana" w:hAnsi="Verdana"/>
          <w:sz w:val="20"/>
          <w:lang w:val="es-MX"/>
        </w:rPr>
        <w:t xml:space="preserve"> a cargo</w:t>
      </w:r>
      <w:r w:rsidR="002B6C8E">
        <w:rPr>
          <w:rFonts w:ascii="Verdana" w:hAnsi="Verdana"/>
          <w:sz w:val="20"/>
          <w:lang w:val="es-MX"/>
        </w:rPr>
        <w:t xml:space="preserve"> de las personas beneficiarias; iv)</w:t>
      </w:r>
      <w:r w:rsidR="00695DB4">
        <w:rPr>
          <w:rFonts w:ascii="Verdana" w:hAnsi="Verdana"/>
          <w:sz w:val="20"/>
          <w:lang w:val="es-MX"/>
        </w:rPr>
        <w:t xml:space="preserve"> establece que las medidas no podrán ser declaradas como cumplidas </w:t>
      </w:r>
      <w:r w:rsidR="00695DB4" w:rsidRPr="00695DB4">
        <w:rPr>
          <w:rFonts w:ascii="Verdana" w:hAnsi="Verdana"/>
          <w:sz w:val="20"/>
          <w:lang w:val="es-MX"/>
        </w:rPr>
        <w:t>hasta que no se efectúe en su totalidad el pago indemnizatorio</w:t>
      </w:r>
      <w:r w:rsidR="00695DB4">
        <w:rPr>
          <w:rFonts w:ascii="Verdana" w:hAnsi="Verdana"/>
          <w:sz w:val="20"/>
          <w:lang w:val="es-MX"/>
        </w:rPr>
        <w:t xml:space="preserve"> acordado, y v) dispone que los montos que no </w:t>
      </w:r>
      <w:r w:rsidR="00A66910">
        <w:rPr>
          <w:rFonts w:ascii="Verdana" w:hAnsi="Verdana"/>
          <w:sz w:val="20"/>
          <w:lang w:val="es-MX"/>
        </w:rPr>
        <w:t>hayan</w:t>
      </w:r>
      <w:r w:rsidR="00695DB4">
        <w:rPr>
          <w:rFonts w:ascii="Verdana" w:hAnsi="Verdana"/>
          <w:sz w:val="20"/>
          <w:lang w:val="es-MX"/>
        </w:rPr>
        <w:t xml:space="preserve"> sido reclamados e</w:t>
      </w:r>
      <w:r w:rsidR="00695DB4" w:rsidRPr="00A66910">
        <w:rPr>
          <w:rFonts w:ascii="Verdana" w:hAnsi="Verdana"/>
          <w:sz w:val="20"/>
          <w:lang w:val="es-MX"/>
        </w:rPr>
        <w:t xml:space="preserve">n el tiempo establecido en el acuerdo, </w:t>
      </w:r>
      <w:r w:rsidR="00695DB4" w:rsidRPr="00D0109A">
        <w:rPr>
          <w:rFonts w:ascii="Verdana" w:hAnsi="Verdana"/>
          <w:sz w:val="20"/>
          <w:lang w:val="es-MX"/>
        </w:rPr>
        <w:t xml:space="preserve">serán consignados en una cuenta </w:t>
      </w:r>
      <w:r w:rsidR="00A66910" w:rsidRPr="00D0109A">
        <w:rPr>
          <w:rFonts w:ascii="Verdana" w:hAnsi="Verdana"/>
          <w:sz w:val="20"/>
          <w:lang w:val="es-MX"/>
        </w:rPr>
        <w:t xml:space="preserve">siguiendo el procedimiento </w:t>
      </w:r>
      <w:r w:rsidR="00C501D7">
        <w:rPr>
          <w:rFonts w:ascii="Verdana" w:hAnsi="Verdana"/>
          <w:sz w:val="20"/>
          <w:lang w:val="es-MX"/>
        </w:rPr>
        <w:t>indicado</w:t>
      </w:r>
      <w:r w:rsidR="00C501D7" w:rsidRPr="00D0109A">
        <w:rPr>
          <w:rFonts w:ascii="Verdana" w:hAnsi="Verdana"/>
          <w:sz w:val="20"/>
          <w:lang w:val="es-MX"/>
        </w:rPr>
        <w:t xml:space="preserve"> </w:t>
      </w:r>
      <w:r w:rsidR="00A66910" w:rsidRPr="00D0109A">
        <w:rPr>
          <w:rFonts w:ascii="Verdana" w:hAnsi="Verdana"/>
          <w:sz w:val="20"/>
          <w:lang w:val="es-MX"/>
        </w:rPr>
        <w:t>en la Sentencia</w:t>
      </w:r>
      <w:r w:rsidR="00DF5800" w:rsidRPr="00D0109A">
        <w:rPr>
          <w:rStyle w:val="Refdenotaalpie"/>
          <w:rFonts w:ascii="Verdana" w:hAnsi="Verdana"/>
          <w:sz w:val="20"/>
          <w:lang w:val="es-MX"/>
        </w:rPr>
        <w:footnoteReference w:id="21"/>
      </w:r>
      <w:r w:rsidR="00A66910" w:rsidRPr="00D0109A">
        <w:rPr>
          <w:rFonts w:ascii="Verdana" w:hAnsi="Verdana"/>
          <w:sz w:val="20"/>
          <w:lang w:val="es-MX"/>
        </w:rPr>
        <w:t xml:space="preserve"> y, si transcurridos diez años dichos montos no han sido reclamados, éstos serán</w:t>
      </w:r>
      <w:r w:rsidR="00695DB4" w:rsidRPr="00D0109A">
        <w:rPr>
          <w:rFonts w:ascii="Verdana" w:hAnsi="Verdana"/>
          <w:sz w:val="20"/>
          <w:lang w:val="es-MX"/>
        </w:rPr>
        <w:t xml:space="preserve"> invertidos</w:t>
      </w:r>
      <w:r w:rsidR="00695DB4">
        <w:rPr>
          <w:rFonts w:ascii="Verdana" w:hAnsi="Verdana"/>
          <w:sz w:val="20"/>
          <w:lang w:val="es-MX"/>
        </w:rPr>
        <w:t xml:space="preserve"> en </w:t>
      </w:r>
      <w:r w:rsidR="00A66910" w:rsidRPr="001D47C2">
        <w:rPr>
          <w:rFonts w:ascii="Verdana" w:hAnsi="Verdana"/>
          <w:sz w:val="20"/>
          <w:lang w:val="es-MX"/>
        </w:rPr>
        <w:t>programas de reinserción social del sistema penitenciario hondureño</w:t>
      </w:r>
      <w:r w:rsidR="00A66910">
        <w:rPr>
          <w:rFonts w:ascii="Verdana" w:hAnsi="Verdana"/>
          <w:sz w:val="20"/>
          <w:lang w:val="es-MX"/>
        </w:rPr>
        <w:t xml:space="preserve">. </w:t>
      </w:r>
      <w:r w:rsidR="002B6C8E">
        <w:rPr>
          <w:rFonts w:ascii="Verdana" w:hAnsi="Verdana"/>
          <w:sz w:val="20"/>
          <w:lang w:val="es-MX"/>
        </w:rPr>
        <w:t xml:space="preserve">Asimismo, </w:t>
      </w:r>
      <w:r w:rsidR="00856210" w:rsidRPr="00856210">
        <w:rPr>
          <w:rFonts w:ascii="Verdana" w:hAnsi="Verdana"/>
          <w:sz w:val="20"/>
          <w:lang w:val="es-MX"/>
        </w:rPr>
        <w:t xml:space="preserve">la Corte valora positivamente </w:t>
      </w:r>
      <w:r w:rsidR="001D47C2">
        <w:rPr>
          <w:rFonts w:ascii="Verdana" w:hAnsi="Verdana"/>
          <w:sz w:val="20"/>
          <w:lang w:val="es-MX"/>
        </w:rPr>
        <w:t xml:space="preserve">que </w:t>
      </w:r>
      <w:r w:rsidR="00856210">
        <w:rPr>
          <w:rFonts w:ascii="Verdana" w:hAnsi="Verdana"/>
          <w:sz w:val="20"/>
          <w:lang w:val="es-MX"/>
        </w:rPr>
        <w:t xml:space="preserve">el </w:t>
      </w:r>
      <w:r w:rsidR="00856210">
        <w:rPr>
          <w:rFonts w:ascii="Verdana" w:hAnsi="Verdana"/>
          <w:sz w:val="20"/>
          <w:lang w:val="es-MX"/>
        </w:rPr>
        <w:lastRenderedPageBreak/>
        <w:t>acuerdo alcanzado entre las partes</w:t>
      </w:r>
      <w:r w:rsidR="001D47C2">
        <w:rPr>
          <w:rFonts w:ascii="Verdana" w:hAnsi="Verdana"/>
          <w:sz w:val="20"/>
          <w:lang w:val="es-MX"/>
        </w:rPr>
        <w:t xml:space="preserve"> haya tomado</w:t>
      </w:r>
      <w:r w:rsidR="00856210">
        <w:rPr>
          <w:rFonts w:ascii="Verdana" w:hAnsi="Verdana"/>
          <w:sz w:val="20"/>
          <w:lang w:val="es-MX"/>
        </w:rPr>
        <w:t xml:space="preserve"> en consideración la voluntad de las personas beneficiarias de las indemnizaciones de obtener un mecanismo más expedito y directo de pago, especialmente considerando que </w:t>
      </w:r>
      <w:r w:rsidR="00A66910">
        <w:rPr>
          <w:rFonts w:ascii="Verdana" w:hAnsi="Verdana"/>
          <w:sz w:val="20"/>
          <w:lang w:val="es-MX"/>
        </w:rPr>
        <w:t>los referidos</w:t>
      </w:r>
      <w:r w:rsidR="00856210">
        <w:rPr>
          <w:rFonts w:ascii="Verdana" w:hAnsi="Verdana"/>
          <w:sz w:val="20"/>
          <w:lang w:val="es-MX"/>
        </w:rPr>
        <w:t xml:space="preserve"> pagos debieron haberse realizado hace más de dos años. </w:t>
      </w:r>
    </w:p>
    <w:p w:rsidR="006E060A" w:rsidRDefault="002F7D14" w:rsidP="00046155">
      <w:pPr>
        <w:pStyle w:val="Prrafodelista"/>
        <w:numPr>
          <w:ilvl w:val="0"/>
          <w:numId w:val="11"/>
        </w:numPr>
        <w:spacing w:before="120" w:after="0" w:line="240" w:lineRule="auto"/>
        <w:ind w:left="0" w:firstLine="0"/>
        <w:contextualSpacing w:val="0"/>
        <w:jc w:val="both"/>
        <w:rPr>
          <w:rFonts w:ascii="Verdana" w:hAnsi="Verdana"/>
          <w:sz w:val="20"/>
          <w:lang w:val="es-MX"/>
        </w:rPr>
      </w:pPr>
      <w:r>
        <w:rPr>
          <w:rFonts w:ascii="Verdana" w:hAnsi="Verdana"/>
          <w:sz w:val="20"/>
          <w:lang w:val="es-MX"/>
        </w:rPr>
        <w:t>En relación con</w:t>
      </w:r>
      <w:r w:rsidR="006E060A">
        <w:rPr>
          <w:rFonts w:ascii="Verdana" w:hAnsi="Verdana"/>
          <w:sz w:val="20"/>
          <w:lang w:val="es-MX"/>
        </w:rPr>
        <w:t xml:space="preserve"> </w:t>
      </w:r>
      <w:r w:rsidR="0025597F">
        <w:rPr>
          <w:rFonts w:ascii="Verdana" w:hAnsi="Verdana"/>
          <w:sz w:val="20"/>
          <w:lang w:val="es-MX"/>
        </w:rPr>
        <w:t xml:space="preserve">los beneficiarios que actualmente son </w:t>
      </w:r>
      <w:r w:rsidR="006E060A">
        <w:rPr>
          <w:rFonts w:ascii="Verdana" w:hAnsi="Verdana"/>
          <w:sz w:val="20"/>
          <w:lang w:val="es-MX"/>
        </w:rPr>
        <w:t xml:space="preserve">menores de edad, la Corte </w:t>
      </w:r>
      <w:r w:rsidR="0025597F">
        <w:rPr>
          <w:rFonts w:ascii="Verdana" w:hAnsi="Verdana"/>
          <w:sz w:val="20"/>
          <w:lang w:val="es-MX"/>
        </w:rPr>
        <w:t xml:space="preserve">nota que </w:t>
      </w:r>
      <w:r w:rsidR="006E060A">
        <w:rPr>
          <w:rFonts w:ascii="Verdana" w:hAnsi="Verdana"/>
          <w:sz w:val="20"/>
          <w:lang w:val="es-MX"/>
        </w:rPr>
        <w:t>el acuerdo incluy</w:t>
      </w:r>
      <w:r w:rsidR="0025597F">
        <w:rPr>
          <w:rFonts w:ascii="Verdana" w:hAnsi="Verdana"/>
          <w:sz w:val="20"/>
          <w:lang w:val="es-MX"/>
        </w:rPr>
        <w:t>e</w:t>
      </w:r>
      <w:r w:rsidR="006E060A">
        <w:rPr>
          <w:rFonts w:ascii="Verdana" w:hAnsi="Verdana"/>
          <w:sz w:val="20"/>
          <w:lang w:val="es-MX"/>
        </w:rPr>
        <w:t xml:space="preserve"> disposiciones relativas a realizar los pagos a sus “representantes legales, </w:t>
      </w:r>
      <w:r w:rsidR="006E060A" w:rsidRPr="006E060A">
        <w:rPr>
          <w:rFonts w:ascii="Verdana" w:hAnsi="Verdana"/>
          <w:sz w:val="20"/>
          <w:lang w:val="es-MX"/>
        </w:rPr>
        <w:t>tutores o guardadores”</w:t>
      </w:r>
      <w:r>
        <w:rPr>
          <w:rFonts w:ascii="Verdana" w:hAnsi="Verdana"/>
          <w:sz w:val="20"/>
          <w:lang w:val="es-MX"/>
        </w:rPr>
        <w:t xml:space="preserve"> </w:t>
      </w:r>
      <w:r w:rsidR="00517F20">
        <w:rPr>
          <w:rFonts w:ascii="Verdana" w:hAnsi="Verdana"/>
          <w:sz w:val="20"/>
          <w:lang w:val="es-MX"/>
        </w:rPr>
        <w:t>(</w:t>
      </w:r>
      <w:r w:rsidR="00517F20">
        <w:rPr>
          <w:rFonts w:ascii="Verdana" w:hAnsi="Verdana"/>
          <w:i/>
          <w:sz w:val="20"/>
          <w:lang w:val="es-MX"/>
        </w:rPr>
        <w:t xml:space="preserve">supra </w:t>
      </w:r>
      <w:r w:rsidR="00517F20">
        <w:rPr>
          <w:rFonts w:ascii="Verdana" w:hAnsi="Verdana"/>
          <w:sz w:val="20"/>
          <w:lang w:val="es-MX"/>
        </w:rPr>
        <w:t xml:space="preserve">Considerando </w:t>
      </w:r>
      <w:r w:rsidR="00C501D7">
        <w:rPr>
          <w:rFonts w:ascii="Verdana" w:hAnsi="Verdana"/>
          <w:sz w:val="20"/>
          <w:lang w:val="es-MX"/>
        </w:rPr>
        <w:t>9</w:t>
      </w:r>
      <w:r w:rsidR="00517F20">
        <w:rPr>
          <w:rFonts w:ascii="Verdana" w:hAnsi="Verdana"/>
          <w:sz w:val="20"/>
          <w:lang w:val="es-MX"/>
        </w:rPr>
        <w:t>)</w:t>
      </w:r>
      <w:r>
        <w:rPr>
          <w:rFonts w:ascii="Verdana" w:hAnsi="Verdana"/>
          <w:sz w:val="20"/>
          <w:lang w:val="es-MX"/>
        </w:rPr>
        <w:t>. Al respecto,</w:t>
      </w:r>
      <w:r w:rsidR="006E060A">
        <w:rPr>
          <w:rFonts w:ascii="Verdana" w:hAnsi="Verdana"/>
          <w:sz w:val="20"/>
          <w:lang w:val="es-MX"/>
        </w:rPr>
        <w:t xml:space="preserve"> </w:t>
      </w:r>
      <w:r w:rsidR="00C501D7">
        <w:rPr>
          <w:rFonts w:ascii="Verdana" w:hAnsi="Verdana"/>
          <w:sz w:val="20"/>
          <w:lang w:val="es-MX"/>
        </w:rPr>
        <w:t xml:space="preserve">el Tribunal </w:t>
      </w:r>
      <w:r w:rsidR="006E060A">
        <w:rPr>
          <w:rFonts w:ascii="Verdana" w:hAnsi="Verdana"/>
          <w:sz w:val="20"/>
          <w:lang w:val="es-MX"/>
        </w:rPr>
        <w:t>recuerda que</w:t>
      </w:r>
      <w:r w:rsidR="00517F20">
        <w:rPr>
          <w:rFonts w:ascii="Verdana" w:hAnsi="Verdana"/>
          <w:sz w:val="20"/>
          <w:lang w:val="es-MX"/>
        </w:rPr>
        <w:t>, de acuerdo a su jurisprudencia,</w:t>
      </w:r>
      <w:r w:rsidR="006E060A">
        <w:rPr>
          <w:rFonts w:ascii="Verdana" w:hAnsi="Verdana"/>
          <w:sz w:val="20"/>
          <w:lang w:val="es-MX"/>
        </w:rPr>
        <w:t xml:space="preserve"> </w:t>
      </w:r>
      <w:r w:rsidR="006E060A" w:rsidRPr="006E060A">
        <w:rPr>
          <w:rFonts w:ascii="Verdana" w:hAnsi="Verdana"/>
          <w:sz w:val="20"/>
          <w:lang w:val="es-MX"/>
        </w:rPr>
        <w:t>el propósito de</w:t>
      </w:r>
      <w:r w:rsidR="00477D4D">
        <w:rPr>
          <w:rFonts w:ascii="Verdana" w:hAnsi="Verdana"/>
          <w:sz w:val="20"/>
          <w:lang w:val="es-MX"/>
        </w:rPr>
        <w:t xml:space="preserve"> </w:t>
      </w:r>
      <w:r w:rsidR="006E060A" w:rsidRPr="006E060A">
        <w:rPr>
          <w:rFonts w:ascii="Verdana" w:hAnsi="Verdana"/>
          <w:sz w:val="20"/>
          <w:lang w:val="es-MX"/>
        </w:rPr>
        <w:t xml:space="preserve">la reparación es que </w:t>
      </w:r>
      <w:r w:rsidR="0025597F">
        <w:rPr>
          <w:rFonts w:ascii="Verdana" w:hAnsi="Verdana"/>
          <w:sz w:val="20"/>
          <w:lang w:val="es-MX"/>
        </w:rPr>
        <w:t xml:space="preserve">sean los propios beneficiarios de la indemnización </w:t>
      </w:r>
      <w:r w:rsidR="00517F20">
        <w:rPr>
          <w:rFonts w:ascii="Verdana" w:hAnsi="Verdana"/>
          <w:sz w:val="20"/>
          <w:lang w:val="es-MX"/>
        </w:rPr>
        <w:t>quienes</w:t>
      </w:r>
      <w:r w:rsidR="006E060A" w:rsidRPr="006E060A">
        <w:rPr>
          <w:rFonts w:ascii="Verdana" w:hAnsi="Verdana"/>
          <w:sz w:val="20"/>
          <w:lang w:val="es-MX"/>
        </w:rPr>
        <w:t xml:space="preserve"> disponga</w:t>
      </w:r>
      <w:r w:rsidR="00477D4D">
        <w:rPr>
          <w:rFonts w:ascii="Verdana" w:hAnsi="Verdana"/>
          <w:sz w:val="20"/>
          <w:lang w:val="es-MX"/>
        </w:rPr>
        <w:t>n</w:t>
      </w:r>
      <w:r w:rsidR="006E060A" w:rsidRPr="006E060A">
        <w:rPr>
          <w:rFonts w:ascii="Verdana" w:hAnsi="Verdana"/>
          <w:sz w:val="20"/>
          <w:lang w:val="es-MX"/>
        </w:rPr>
        <w:t xml:space="preserve"> del dinero cuando adquiera</w:t>
      </w:r>
      <w:r w:rsidR="00477D4D">
        <w:rPr>
          <w:rFonts w:ascii="Verdana" w:hAnsi="Verdana"/>
          <w:sz w:val="20"/>
          <w:lang w:val="es-MX"/>
        </w:rPr>
        <w:t>n</w:t>
      </w:r>
      <w:r w:rsidR="006E060A" w:rsidRPr="006E060A">
        <w:rPr>
          <w:rFonts w:ascii="Verdana" w:hAnsi="Verdana"/>
          <w:sz w:val="20"/>
          <w:lang w:val="es-MX"/>
        </w:rPr>
        <w:t xml:space="preserve"> la </w:t>
      </w:r>
      <w:r w:rsidR="00477D4D">
        <w:rPr>
          <w:rFonts w:ascii="Verdana" w:hAnsi="Verdana"/>
          <w:sz w:val="20"/>
          <w:lang w:val="es-MX"/>
        </w:rPr>
        <w:t>mayoría de edad, por lo cual sus representantes legales,</w:t>
      </w:r>
      <w:r w:rsidR="006E060A" w:rsidRPr="006E060A">
        <w:rPr>
          <w:rFonts w:ascii="Verdana" w:hAnsi="Verdana"/>
          <w:sz w:val="20"/>
          <w:lang w:val="es-MX"/>
        </w:rPr>
        <w:t xml:space="preserve"> en </w:t>
      </w:r>
      <w:r w:rsidR="00477D4D">
        <w:rPr>
          <w:rFonts w:ascii="Verdana" w:hAnsi="Verdana"/>
          <w:sz w:val="20"/>
          <w:lang w:val="es-MX"/>
        </w:rPr>
        <w:t>la medida de lo posible, deberán</w:t>
      </w:r>
      <w:r w:rsidR="006E060A" w:rsidRPr="006E060A">
        <w:rPr>
          <w:rFonts w:ascii="Verdana" w:hAnsi="Verdana"/>
          <w:sz w:val="20"/>
          <w:lang w:val="es-MX"/>
        </w:rPr>
        <w:t xml:space="preserve"> mantener </w:t>
      </w:r>
      <w:r w:rsidR="00477D4D">
        <w:rPr>
          <w:rFonts w:ascii="Verdana" w:hAnsi="Verdana"/>
          <w:sz w:val="20"/>
          <w:lang w:val="es-MX"/>
        </w:rPr>
        <w:t>los montos entregados</w:t>
      </w:r>
      <w:r w:rsidR="006E060A" w:rsidRPr="006E060A">
        <w:rPr>
          <w:rFonts w:ascii="Verdana" w:hAnsi="Verdana"/>
          <w:sz w:val="20"/>
          <w:lang w:val="es-MX"/>
        </w:rPr>
        <w:t xml:space="preserve"> en condiciones de seguridad óptimas y entregarl</w:t>
      </w:r>
      <w:r w:rsidR="0025597F">
        <w:rPr>
          <w:rFonts w:ascii="Verdana" w:hAnsi="Verdana"/>
          <w:sz w:val="20"/>
          <w:lang w:val="es-MX"/>
        </w:rPr>
        <w:t>o</w:t>
      </w:r>
      <w:r w:rsidR="00477D4D">
        <w:rPr>
          <w:rFonts w:ascii="Verdana" w:hAnsi="Verdana"/>
          <w:sz w:val="20"/>
          <w:lang w:val="es-MX"/>
        </w:rPr>
        <w:t>s</w:t>
      </w:r>
      <w:r w:rsidR="006E060A" w:rsidRPr="006E060A">
        <w:rPr>
          <w:rFonts w:ascii="Verdana" w:hAnsi="Verdana"/>
          <w:sz w:val="20"/>
          <w:lang w:val="es-MX"/>
        </w:rPr>
        <w:t xml:space="preserve"> a </w:t>
      </w:r>
      <w:r w:rsidR="00477D4D">
        <w:rPr>
          <w:rFonts w:ascii="Verdana" w:hAnsi="Verdana"/>
          <w:sz w:val="20"/>
          <w:lang w:val="es-MX"/>
        </w:rPr>
        <w:t xml:space="preserve">los referidos </w:t>
      </w:r>
      <w:r w:rsidR="0025597F">
        <w:rPr>
          <w:rFonts w:ascii="Verdana" w:hAnsi="Verdana"/>
          <w:sz w:val="20"/>
          <w:lang w:val="es-MX"/>
        </w:rPr>
        <w:t xml:space="preserve">beneficiarios </w:t>
      </w:r>
      <w:r w:rsidR="006E060A" w:rsidRPr="006E060A">
        <w:rPr>
          <w:rFonts w:ascii="Verdana" w:hAnsi="Verdana"/>
          <w:sz w:val="20"/>
          <w:lang w:val="es-MX"/>
        </w:rPr>
        <w:t xml:space="preserve">al alcanzar </w:t>
      </w:r>
      <w:r w:rsidR="00477D4D">
        <w:rPr>
          <w:rFonts w:ascii="Verdana" w:hAnsi="Verdana"/>
          <w:sz w:val="20"/>
          <w:lang w:val="es-MX"/>
        </w:rPr>
        <w:t xml:space="preserve">éstos </w:t>
      </w:r>
      <w:r w:rsidR="006E060A" w:rsidRPr="006E060A">
        <w:rPr>
          <w:rFonts w:ascii="Verdana" w:hAnsi="Verdana"/>
          <w:sz w:val="20"/>
          <w:lang w:val="es-MX"/>
        </w:rPr>
        <w:t>la mayoría de edad</w:t>
      </w:r>
      <w:r w:rsidR="00477D4D">
        <w:rPr>
          <w:rStyle w:val="Refdenotaalpie"/>
          <w:rFonts w:ascii="Verdana" w:hAnsi="Verdana"/>
          <w:sz w:val="20"/>
          <w:lang w:val="es-MX"/>
        </w:rPr>
        <w:footnoteReference w:id="22"/>
      </w:r>
      <w:r w:rsidR="00477D4D">
        <w:rPr>
          <w:rFonts w:ascii="Verdana" w:hAnsi="Verdana"/>
          <w:sz w:val="20"/>
          <w:lang w:val="es-MX"/>
        </w:rPr>
        <w:t>.</w:t>
      </w:r>
    </w:p>
    <w:p w:rsidR="00B462B3" w:rsidRPr="00386061" w:rsidRDefault="001D47C2" w:rsidP="00046155">
      <w:pPr>
        <w:pStyle w:val="Prrafodelista"/>
        <w:numPr>
          <w:ilvl w:val="0"/>
          <w:numId w:val="11"/>
        </w:numPr>
        <w:spacing w:before="120" w:after="0" w:line="240" w:lineRule="auto"/>
        <w:ind w:left="0" w:firstLine="0"/>
        <w:contextualSpacing w:val="0"/>
        <w:jc w:val="both"/>
        <w:rPr>
          <w:rFonts w:ascii="Verdana" w:hAnsi="Verdana"/>
          <w:sz w:val="10"/>
          <w:szCs w:val="10"/>
          <w:lang w:val="es-MX"/>
        </w:rPr>
      </w:pPr>
      <w:r w:rsidRPr="00361C43">
        <w:rPr>
          <w:rFonts w:ascii="Verdana" w:hAnsi="Verdana"/>
          <w:sz w:val="20"/>
          <w:lang w:val="es-MX"/>
        </w:rPr>
        <w:t>Tomando en c</w:t>
      </w:r>
      <w:r w:rsidR="008F3B3D" w:rsidRPr="00361C43">
        <w:rPr>
          <w:rFonts w:ascii="Verdana" w:hAnsi="Verdana"/>
          <w:sz w:val="20"/>
          <w:lang w:val="es-MX"/>
        </w:rPr>
        <w:t>uenta todo lo anterior, la Corte homologa el acuerdo de 31 de marzo de 2017 suscrito entre las partes, para dar cumplimiento a las medidas relativas al pago de la indemnización por daño</w:t>
      </w:r>
      <w:r w:rsidR="00C501D7">
        <w:rPr>
          <w:rFonts w:ascii="Verdana" w:hAnsi="Verdana"/>
          <w:sz w:val="20"/>
          <w:lang w:val="es-MX"/>
        </w:rPr>
        <w:t>s</w:t>
      </w:r>
      <w:r w:rsidR="008F3B3D" w:rsidRPr="00361C43">
        <w:rPr>
          <w:rFonts w:ascii="Verdana" w:hAnsi="Verdana"/>
          <w:sz w:val="20"/>
          <w:lang w:val="es-MX"/>
        </w:rPr>
        <w:t xml:space="preserve"> material</w:t>
      </w:r>
      <w:r w:rsidR="00C501D7">
        <w:rPr>
          <w:rFonts w:ascii="Verdana" w:hAnsi="Verdana"/>
          <w:sz w:val="20"/>
          <w:lang w:val="es-MX"/>
        </w:rPr>
        <w:t>es</w:t>
      </w:r>
      <w:r w:rsidR="008F3B3D" w:rsidRPr="00361C43">
        <w:rPr>
          <w:rFonts w:ascii="Verdana" w:hAnsi="Verdana"/>
          <w:sz w:val="20"/>
          <w:lang w:val="es-MX"/>
        </w:rPr>
        <w:t xml:space="preserve"> e inmaterial</w:t>
      </w:r>
      <w:r w:rsidR="00C501D7">
        <w:rPr>
          <w:rFonts w:ascii="Verdana" w:hAnsi="Verdana"/>
          <w:sz w:val="20"/>
          <w:lang w:val="es-MX"/>
        </w:rPr>
        <w:t>es</w:t>
      </w:r>
      <w:r w:rsidR="008F3B3D" w:rsidRPr="00361C43">
        <w:rPr>
          <w:rFonts w:ascii="Verdana" w:hAnsi="Verdana"/>
          <w:sz w:val="20"/>
          <w:lang w:val="es-MX"/>
        </w:rPr>
        <w:t xml:space="preserve"> y al reintegro de costas y gastos, a través de la entrega de pagos directos por emisión de cheques nominales a </w:t>
      </w:r>
      <w:r w:rsidR="0025597F">
        <w:rPr>
          <w:rFonts w:ascii="Verdana" w:hAnsi="Verdana"/>
          <w:sz w:val="20"/>
          <w:lang w:val="es-MX"/>
        </w:rPr>
        <w:t xml:space="preserve">favor de cada una de </w:t>
      </w:r>
      <w:r w:rsidR="008F3B3D" w:rsidRPr="00361C43">
        <w:rPr>
          <w:rFonts w:ascii="Verdana" w:hAnsi="Verdana"/>
          <w:sz w:val="20"/>
          <w:lang w:val="es-MX"/>
        </w:rPr>
        <w:t>las personas beneficiarias</w:t>
      </w:r>
      <w:r w:rsidR="008F3B3D" w:rsidRPr="000F46D2">
        <w:rPr>
          <w:rFonts w:ascii="Verdana" w:hAnsi="Verdana"/>
          <w:sz w:val="20"/>
          <w:lang w:val="es-MX"/>
        </w:rPr>
        <w:t>.</w:t>
      </w:r>
      <w:r w:rsidR="000F46D2" w:rsidRPr="000F46D2">
        <w:rPr>
          <w:rFonts w:ascii="Verdana" w:hAnsi="Verdana"/>
          <w:sz w:val="20"/>
          <w:szCs w:val="20"/>
          <w:lang w:val="es-CR"/>
        </w:rPr>
        <w:t xml:space="preserve"> </w:t>
      </w:r>
      <w:r w:rsidR="000F46D2">
        <w:rPr>
          <w:rFonts w:ascii="Verdana" w:hAnsi="Verdana"/>
          <w:sz w:val="20"/>
          <w:szCs w:val="20"/>
          <w:lang w:val="es-CR"/>
        </w:rPr>
        <w:t>Al respecto, c</w:t>
      </w:r>
      <w:r w:rsidR="000F46D2" w:rsidRPr="000F46D2">
        <w:rPr>
          <w:rFonts w:ascii="Verdana" w:hAnsi="Verdana"/>
          <w:sz w:val="20"/>
          <w:szCs w:val="20"/>
          <w:lang w:val="es-CR"/>
        </w:rPr>
        <w:t xml:space="preserve">ualquier controversia o diferencia que se suscite respecto al cumplimiento del acuerdo </w:t>
      </w:r>
      <w:r w:rsidR="000F46D2">
        <w:rPr>
          <w:rFonts w:ascii="Verdana" w:hAnsi="Verdana"/>
          <w:sz w:val="20"/>
          <w:szCs w:val="20"/>
          <w:lang w:val="es-CR"/>
        </w:rPr>
        <w:t xml:space="preserve">será </w:t>
      </w:r>
      <w:r w:rsidR="000F46D2" w:rsidRPr="000F46D2">
        <w:rPr>
          <w:rFonts w:ascii="Verdana" w:hAnsi="Verdana"/>
          <w:sz w:val="20"/>
          <w:szCs w:val="20"/>
          <w:lang w:val="es-CR"/>
        </w:rPr>
        <w:t>dilucidada por este Tribunal.</w:t>
      </w:r>
      <w:r w:rsidR="008F3B3D" w:rsidRPr="000F46D2">
        <w:rPr>
          <w:rFonts w:ascii="Verdana" w:hAnsi="Verdana"/>
          <w:sz w:val="20"/>
          <w:lang w:val="es-MX"/>
        </w:rPr>
        <w:t xml:space="preserve"> </w:t>
      </w:r>
      <w:r w:rsidR="000F46D2">
        <w:rPr>
          <w:rFonts w:ascii="Verdana" w:hAnsi="Verdana"/>
          <w:sz w:val="20"/>
          <w:lang w:val="es-MX"/>
        </w:rPr>
        <w:t>La Corte</w:t>
      </w:r>
      <w:r w:rsidR="00B462B3">
        <w:rPr>
          <w:rFonts w:ascii="Verdana" w:hAnsi="Verdana"/>
          <w:sz w:val="20"/>
          <w:lang w:val="es-MX"/>
        </w:rPr>
        <w:t xml:space="preserve"> destaca la importancia de que Honduras cumpla con realizar los pagos </w:t>
      </w:r>
      <w:r w:rsidR="004E1239" w:rsidRPr="00BA702C">
        <w:rPr>
          <w:rFonts w:ascii="Verdana" w:hAnsi="Verdana"/>
          <w:sz w:val="20"/>
          <w:lang w:val="es-MX"/>
        </w:rPr>
        <w:t>en la fecha establecida</w:t>
      </w:r>
      <w:r w:rsidR="00B462B3" w:rsidRPr="00BA702C">
        <w:rPr>
          <w:rFonts w:ascii="Verdana" w:hAnsi="Verdana"/>
          <w:sz w:val="20"/>
          <w:lang w:val="es-MX"/>
        </w:rPr>
        <w:t xml:space="preserve"> en el acuerdo, </w:t>
      </w:r>
      <w:r w:rsidR="004E1239" w:rsidRPr="00BA702C">
        <w:rPr>
          <w:rFonts w:ascii="Verdana" w:hAnsi="Verdana"/>
          <w:sz w:val="20"/>
          <w:lang w:val="es-MX"/>
        </w:rPr>
        <w:t>el cual indica que será efectivo</w:t>
      </w:r>
      <w:r w:rsidR="00B462B3" w:rsidRPr="00BA702C">
        <w:rPr>
          <w:rFonts w:ascii="Verdana" w:hAnsi="Verdana"/>
          <w:sz w:val="20"/>
          <w:lang w:val="es-MX"/>
        </w:rPr>
        <w:t xml:space="preserve"> </w:t>
      </w:r>
      <w:r w:rsidR="004E1239" w:rsidRPr="00BA702C">
        <w:rPr>
          <w:rFonts w:ascii="Verdana" w:hAnsi="Verdana"/>
          <w:sz w:val="20"/>
          <w:lang w:val="es-MX"/>
        </w:rPr>
        <w:t>“</w:t>
      </w:r>
      <w:r w:rsidR="00B462B3" w:rsidRPr="00BA702C">
        <w:rPr>
          <w:rFonts w:ascii="Verdana" w:hAnsi="Verdana"/>
          <w:sz w:val="20"/>
          <w:lang w:val="es-MX"/>
        </w:rPr>
        <w:t xml:space="preserve">treinta </w:t>
      </w:r>
      <w:r w:rsidR="004E1239" w:rsidRPr="00BA702C">
        <w:rPr>
          <w:rFonts w:ascii="Verdana" w:hAnsi="Verdana"/>
          <w:sz w:val="20"/>
          <w:lang w:val="es-MX"/>
        </w:rPr>
        <w:t>[…] días después de ser homologado el […] acuerdo ante la Corte Interamericana”</w:t>
      </w:r>
      <w:r w:rsidR="004E1239">
        <w:rPr>
          <w:rFonts w:ascii="Verdana" w:hAnsi="Verdana"/>
          <w:sz w:val="20"/>
          <w:lang w:val="es-MX"/>
        </w:rPr>
        <w:t>.</w:t>
      </w:r>
    </w:p>
    <w:p w:rsidR="00D94C03" w:rsidRDefault="00DF772A" w:rsidP="00046155">
      <w:pPr>
        <w:pStyle w:val="Prrafodelista"/>
        <w:numPr>
          <w:ilvl w:val="0"/>
          <w:numId w:val="11"/>
        </w:numPr>
        <w:spacing w:before="120" w:after="0" w:line="240" w:lineRule="auto"/>
        <w:ind w:left="0" w:firstLine="0"/>
        <w:contextualSpacing w:val="0"/>
        <w:jc w:val="both"/>
        <w:rPr>
          <w:rFonts w:ascii="Verdana" w:hAnsi="Verdana"/>
          <w:sz w:val="14"/>
          <w:szCs w:val="10"/>
          <w:lang w:val="es-MX"/>
        </w:rPr>
      </w:pPr>
      <w:r w:rsidRPr="00DF772A">
        <w:rPr>
          <w:rFonts w:ascii="Verdana" w:hAnsi="Verdana"/>
          <w:sz w:val="20"/>
          <w:szCs w:val="20"/>
          <w:lang w:val="es-CR"/>
        </w:rPr>
        <w:t>En consecuencia, la Corte requiere al Estado que, en el plazo indicado en el punto resolutivo 3 de la presente Resolución, proporcione los comprobantes de la totalidad de los pagos realizados y brinde una explicación que permita identificar con claridad</w:t>
      </w:r>
      <w:r w:rsidR="00904450">
        <w:rPr>
          <w:rFonts w:ascii="Verdana" w:hAnsi="Verdana"/>
          <w:sz w:val="20"/>
          <w:szCs w:val="20"/>
          <w:lang w:val="es-CR"/>
        </w:rPr>
        <w:t xml:space="preserve"> </w:t>
      </w:r>
      <w:r w:rsidR="00D94C03">
        <w:rPr>
          <w:rFonts w:ascii="Verdana" w:hAnsi="Verdana"/>
          <w:sz w:val="20"/>
          <w:szCs w:val="20"/>
          <w:lang w:val="es-CR"/>
        </w:rPr>
        <w:t xml:space="preserve">los familiares de los 107 </w:t>
      </w:r>
      <w:r w:rsidR="00D94C03" w:rsidRPr="00DF772A">
        <w:rPr>
          <w:rFonts w:ascii="Verdana" w:hAnsi="Verdana"/>
          <w:sz w:val="20"/>
          <w:szCs w:val="20"/>
          <w:lang w:val="es-CR"/>
        </w:rPr>
        <w:t>internos fallecidos</w:t>
      </w:r>
      <w:r w:rsidR="00D94C03">
        <w:rPr>
          <w:rFonts w:ascii="Verdana" w:hAnsi="Verdana"/>
          <w:sz w:val="20"/>
          <w:szCs w:val="20"/>
          <w:lang w:val="es-CR"/>
        </w:rPr>
        <w:t xml:space="preserve"> que recibieron un pago, así como </w:t>
      </w:r>
      <w:r w:rsidRPr="00D94C03">
        <w:rPr>
          <w:rFonts w:ascii="Verdana" w:hAnsi="Verdana"/>
          <w:sz w:val="20"/>
          <w:szCs w:val="20"/>
          <w:lang w:val="es-CR"/>
        </w:rPr>
        <w:t xml:space="preserve">los montos </w:t>
      </w:r>
      <w:r w:rsidR="00D94C03">
        <w:rPr>
          <w:rFonts w:ascii="Verdana" w:hAnsi="Verdana"/>
          <w:sz w:val="20"/>
          <w:szCs w:val="20"/>
          <w:lang w:val="es-CR"/>
        </w:rPr>
        <w:t>del mismo.</w:t>
      </w:r>
    </w:p>
    <w:p w:rsidR="00D94C03" w:rsidRDefault="00D94C03" w:rsidP="00D94C03">
      <w:pPr>
        <w:pStyle w:val="Prrafodelista"/>
        <w:spacing w:before="120" w:after="0" w:line="240" w:lineRule="auto"/>
        <w:ind w:left="0"/>
        <w:contextualSpacing w:val="0"/>
        <w:jc w:val="both"/>
        <w:rPr>
          <w:rFonts w:ascii="Verdana" w:hAnsi="Verdana"/>
          <w:sz w:val="14"/>
          <w:szCs w:val="10"/>
          <w:lang w:val="es-MX"/>
        </w:rPr>
      </w:pPr>
    </w:p>
    <w:p w:rsidR="00E4274F" w:rsidRDefault="00E4274F" w:rsidP="00D94C03">
      <w:pPr>
        <w:pStyle w:val="Prrafodelista"/>
        <w:spacing w:before="120" w:after="0" w:line="240" w:lineRule="auto"/>
        <w:ind w:left="0"/>
        <w:contextualSpacing w:val="0"/>
        <w:jc w:val="both"/>
        <w:rPr>
          <w:rFonts w:ascii="Verdana" w:hAnsi="Verdana"/>
          <w:sz w:val="14"/>
          <w:szCs w:val="10"/>
          <w:lang w:val="es-MX"/>
        </w:rPr>
      </w:pPr>
    </w:p>
    <w:p w:rsidR="009F78E3" w:rsidRPr="00D94C03" w:rsidRDefault="009F78E3" w:rsidP="00D94C03">
      <w:pPr>
        <w:pStyle w:val="Prrafodelista"/>
        <w:spacing w:before="120" w:after="0" w:line="240" w:lineRule="auto"/>
        <w:ind w:left="0"/>
        <w:contextualSpacing w:val="0"/>
        <w:jc w:val="both"/>
        <w:rPr>
          <w:rFonts w:ascii="Verdana" w:hAnsi="Verdana"/>
          <w:sz w:val="14"/>
          <w:szCs w:val="10"/>
          <w:lang w:val="es-MX"/>
        </w:rPr>
      </w:pPr>
      <w:r w:rsidRPr="00D94C03">
        <w:rPr>
          <w:rFonts w:ascii="Verdana" w:hAnsi="Verdana"/>
          <w:b/>
          <w:sz w:val="20"/>
          <w:szCs w:val="20"/>
          <w:lang w:val="es-MX"/>
        </w:rPr>
        <w:t>POR TANTO:</w:t>
      </w:r>
    </w:p>
    <w:p w:rsidR="009F78E3" w:rsidRPr="00C542DA" w:rsidRDefault="009F78E3" w:rsidP="009F78E3">
      <w:pPr>
        <w:pStyle w:val="Textoindependiente"/>
        <w:tabs>
          <w:tab w:val="left" w:pos="360"/>
          <w:tab w:val="left" w:pos="567"/>
        </w:tabs>
        <w:spacing w:before="60" w:after="60" w:line="240" w:lineRule="auto"/>
        <w:rPr>
          <w:rFonts w:ascii="Verdana" w:hAnsi="Verdana"/>
          <w:sz w:val="14"/>
          <w:szCs w:val="10"/>
          <w:lang w:val="es-CR"/>
        </w:rPr>
      </w:pPr>
    </w:p>
    <w:p w:rsidR="009F78E3" w:rsidRDefault="009F78E3" w:rsidP="009F78E3">
      <w:pPr>
        <w:pStyle w:val="Textoindependiente"/>
        <w:tabs>
          <w:tab w:val="left" w:pos="360"/>
          <w:tab w:val="left" w:pos="567"/>
        </w:tabs>
        <w:spacing w:before="60" w:after="60" w:line="240" w:lineRule="auto"/>
        <w:rPr>
          <w:rFonts w:ascii="Verdana" w:hAnsi="Verdana"/>
          <w:b/>
          <w:sz w:val="20"/>
          <w:lang w:val="es-CR"/>
        </w:rPr>
      </w:pPr>
      <w:r w:rsidRPr="00C16F1F">
        <w:rPr>
          <w:rFonts w:ascii="Verdana" w:hAnsi="Verdana"/>
          <w:b/>
          <w:sz w:val="20"/>
          <w:lang w:val="es-CR"/>
        </w:rPr>
        <w:t>LA CORTE INTERAMERICANA DE DERECHOS HUMANOS,</w:t>
      </w:r>
    </w:p>
    <w:p w:rsidR="009F78E3" w:rsidRPr="009F78E3" w:rsidRDefault="009F78E3" w:rsidP="009F78E3">
      <w:pPr>
        <w:tabs>
          <w:tab w:val="left" w:pos="567"/>
        </w:tabs>
        <w:spacing w:before="60" w:after="60" w:line="240" w:lineRule="auto"/>
        <w:jc w:val="both"/>
        <w:rPr>
          <w:rFonts w:ascii="Verdana" w:hAnsi="Verdana"/>
          <w:sz w:val="20"/>
          <w:lang w:val="es-CR"/>
        </w:rPr>
      </w:pPr>
      <w:proofErr w:type="gramStart"/>
      <w:r w:rsidRPr="009F78E3">
        <w:rPr>
          <w:rFonts w:ascii="Verdana" w:hAnsi="Verdana"/>
          <w:sz w:val="20"/>
          <w:lang w:val="es-CR"/>
        </w:rPr>
        <w:t>en</w:t>
      </w:r>
      <w:proofErr w:type="gramEnd"/>
      <w:r w:rsidRPr="009F78E3">
        <w:rPr>
          <w:rFonts w:ascii="Verdana" w:hAnsi="Verdana"/>
          <w:sz w:val="20"/>
          <w:lang w:val="es-CR"/>
        </w:rPr>
        <w:t xml:space="preserve"> el ejercicio de sus atribuciones de supervisión del cumplimiento de sus decisiones, de conformidad con los artículos 33, 62.1, 62.3, 65, 67 y 68.1 de la Convención Americana sobre Derechos Humanos, 24, 25 y 30 del Estatuto, y 31.2 y 69 de su Reglamento,</w:t>
      </w:r>
    </w:p>
    <w:p w:rsidR="00BF5F11" w:rsidRDefault="00BF5F11" w:rsidP="009F78E3">
      <w:pPr>
        <w:tabs>
          <w:tab w:val="left" w:pos="567"/>
        </w:tabs>
        <w:spacing w:before="60" w:after="60" w:line="240" w:lineRule="auto"/>
        <w:jc w:val="both"/>
        <w:rPr>
          <w:rFonts w:ascii="Verdana" w:hAnsi="Verdana"/>
          <w:sz w:val="14"/>
          <w:szCs w:val="20"/>
          <w:lang w:val="es-CR"/>
        </w:rPr>
      </w:pPr>
    </w:p>
    <w:p w:rsidR="006F0AF8" w:rsidRDefault="009F78E3" w:rsidP="009F78E3">
      <w:pPr>
        <w:tabs>
          <w:tab w:val="left" w:pos="567"/>
        </w:tabs>
        <w:spacing w:before="60" w:after="60" w:line="240" w:lineRule="auto"/>
        <w:ind w:right="22"/>
        <w:jc w:val="both"/>
        <w:rPr>
          <w:rFonts w:ascii="Verdana" w:hAnsi="Verdana"/>
          <w:b/>
          <w:sz w:val="20"/>
          <w:lang w:val="es-CR"/>
        </w:rPr>
      </w:pPr>
      <w:r w:rsidRPr="006F0AF8">
        <w:rPr>
          <w:rFonts w:ascii="Verdana" w:hAnsi="Verdana"/>
          <w:b/>
          <w:sz w:val="20"/>
          <w:lang w:val="es-CR"/>
        </w:rPr>
        <w:t>RESUELVE:</w:t>
      </w:r>
      <w:r w:rsidR="006F0AF8" w:rsidRPr="006F0AF8">
        <w:rPr>
          <w:rFonts w:ascii="Verdana" w:hAnsi="Verdana"/>
          <w:b/>
          <w:sz w:val="20"/>
          <w:lang w:val="es-CR"/>
        </w:rPr>
        <w:t xml:space="preserve"> </w:t>
      </w:r>
    </w:p>
    <w:p w:rsidR="00E4274F" w:rsidRDefault="00E4274F" w:rsidP="009F78E3">
      <w:pPr>
        <w:tabs>
          <w:tab w:val="left" w:pos="567"/>
        </w:tabs>
        <w:spacing w:before="60" w:after="60" w:line="240" w:lineRule="auto"/>
        <w:ind w:right="22"/>
        <w:jc w:val="both"/>
        <w:rPr>
          <w:rFonts w:ascii="Verdana" w:hAnsi="Verdana"/>
          <w:b/>
          <w:sz w:val="20"/>
          <w:lang w:val="es-CR"/>
        </w:rPr>
      </w:pPr>
    </w:p>
    <w:p w:rsidR="006F0AF8" w:rsidRDefault="006F0AF8" w:rsidP="001804DA">
      <w:pPr>
        <w:numPr>
          <w:ilvl w:val="0"/>
          <w:numId w:val="4"/>
        </w:numPr>
        <w:tabs>
          <w:tab w:val="left" w:pos="567"/>
        </w:tabs>
        <w:spacing w:before="120" w:after="120" w:line="240" w:lineRule="auto"/>
        <w:ind w:left="0" w:firstLine="0"/>
        <w:jc w:val="both"/>
        <w:rPr>
          <w:rFonts w:ascii="Verdana" w:hAnsi="Verdana"/>
          <w:sz w:val="20"/>
          <w:szCs w:val="20"/>
          <w:lang w:val="es-CR"/>
        </w:rPr>
      </w:pPr>
      <w:r>
        <w:rPr>
          <w:rFonts w:ascii="Verdana" w:hAnsi="Verdana"/>
          <w:sz w:val="20"/>
          <w:szCs w:val="20"/>
          <w:lang w:val="es-CR"/>
        </w:rPr>
        <w:t xml:space="preserve">Declarar, de conformidad con lo señalado en los Considerandos </w:t>
      </w:r>
      <w:r w:rsidR="00555201">
        <w:rPr>
          <w:rFonts w:ascii="Verdana" w:hAnsi="Verdana"/>
          <w:sz w:val="20"/>
          <w:szCs w:val="20"/>
          <w:lang w:val="es-CR"/>
        </w:rPr>
        <w:t>5</w:t>
      </w:r>
      <w:r w:rsidR="00361C43">
        <w:rPr>
          <w:rFonts w:ascii="Verdana" w:hAnsi="Verdana"/>
          <w:sz w:val="20"/>
          <w:szCs w:val="20"/>
          <w:lang w:val="es-CR"/>
        </w:rPr>
        <w:t xml:space="preserve"> a 1</w:t>
      </w:r>
      <w:r w:rsidR="00555201">
        <w:rPr>
          <w:rFonts w:ascii="Verdana" w:hAnsi="Verdana"/>
          <w:sz w:val="20"/>
          <w:szCs w:val="20"/>
          <w:lang w:val="es-CR"/>
        </w:rPr>
        <w:t>3</w:t>
      </w:r>
      <w:r w:rsidR="00361C43">
        <w:rPr>
          <w:rFonts w:ascii="Verdana" w:hAnsi="Verdana"/>
          <w:sz w:val="20"/>
          <w:szCs w:val="20"/>
          <w:lang w:val="es-CR"/>
        </w:rPr>
        <w:t xml:space="preserve"> </w:t>
      </w:r>
      <w:r>
        <w:rPr>
          <w:rFonts w:ascii="Verdana" w:hAnsi="Verdana"/>
          <w:sz w:val="20"/>
          <w:szCs w:val="20"/>
          <w:lang w:val="es-CR"/>
        </w:rPr>
        <w:t xml:space="preserve">de la presente Resolución, que </w:t>
      </w:r>
      <w:r w:rsidR="00361C43">
        <w:rPr>
          <w:rFonts w:ascii="Verdana" w:hAnsi="Verdana"/>
          <w:sz w:val="20"/>
          <w:szCs w:val="20"/>
          <w:lang w:val="es-CR"/>
        </w:rPr>
        <w:t xml:space="preserve">homologa el acuerdo de 31 de marzo de 2017 suscrito entre las partes, para dar cumplimiento a las medidas relativas al </w:t>
      </w:r>
      <w:r w:rsidR="00361C43" w:rsidRPr="00361C43">
        <w:rPr>
          <w:rFonts w:ascii="Verdana" w:hAnsi="Verdana"/>
          <w:sz w:val="20"/>
          <w:szCs w:val="20"/>
          <w:lang w:val="es-CR"/>
        </w:rPr>
        <w:t>pago de las cantidades establecidas en el acuerdo, por concepto de indemnización por daño</w:t>
      </w:r>
      <w:r w:rsidR="00C501D7">
        <w:rPr>
          <w:rFonts w:ascii="Verdana" w:hAnsi="Verdana"/>
          <w:sz w:val="20"/>
          <w:szCs w:val="20"/>
          <w:lang w:val="es-CR"/>
        </w:rPr>
        <w:t>s</w:t>
      </w:r>
      <w:r w:rsidR="00361C43" w:rsidRPr="00361C43">
        <w:rPr>
          <w:rFonts w:ascii="Verdana" w:hAnsi="Verdana"/>
          <w:sz w:val="20"/>
          <w:szCs w:val="20"/>
          <w:lang w:val="es-CR"/>
        </w:rPr>
        <w:t xml:space="preserve"> material</w:t>
      </w:r>
      <w:r w:rsidR="00C501D7">
        <w:rPr>
          <w:rFonts w:ascii="Verdana" w:hAnsi="Verdana"/>
          <w:sz w:val="20"/>
          <w:szCs w:val="20"/>
          <w:lang w:val="es-CR"/>
        </w:rPr>
        <w:t>es</w:t>
      </w:r>
      <w:r w:rsidR="00361C43" w:rsidRPr="00361C43">
        <w:rPr>
          <w:rFonts w:ascii="Verdana" w:hAnsi="Verdana"/>
          <w:sz w:val="20"/>
          <w:szCs w:val="20"/>
          <w:lang w:val="es-CR"/>
        </w:rPr>
        <w:t xml:space="preserve"> e inmaterial</w:t>
      </w:r>
      <w:r w:rsidR="00C501D7">
        <w:rPr>
          <w:rFonts w:ascii="Verdana" w:hAnsi="Verdana"/>
          <w:sz w:val="20"/>
          <w:szCs w:val="20"/>
          <w:lang w:val="es-CR"/>
        </w:rPr>
        <w:t>es</w:t>
      </w:r>
      <w:r w:rsidR="00361C43" w:rsidRPr="00361C43">
        <w:rPr>
          <w:rFonts w:ascii="Verdana" w:hAnsi="Verdana"/>
          <w:sz w:val="20"/>
          <w:szCs w:val="20"/>
          <w:lang w:val="es-CR"/>
        </w:rPr>
        <w:t xml:space="preserve"> y por el reintegro de costas y gastos, según fueron ordenadas en el </w:t>
      </w:r>
      <w:r w:rsidR="00361C43">
        <w:rPr>
          <w:rFonts w:ascii="Verdana" w:hAnsi="Verdana"/>
          <w:sz w:val="20"/>
          <w:szCs w:val="20"/>
          <w:lang w:val="es-CR"/>
        </w:rPr>
        <w:t>punto dispositivo décimo primero de la Sentencia.</w:t>
      </w:r>
    </w:p>
    <w:p w:rsidR="00E4274F" w:rsidRDefault="00E4274F" w:rsidP="00E4274F">
      <w:pPr>
        <w:tabs>
          <w:tab w:val="left" w:pos="567"/>
        </w:tabs>
        <w:spacing w:before="120" w:after="120" w:line="240" w:lineRule="auto"/>
        <w:jc w:val="both"/>
        <w:rPr>
          <w:rFonts w:ascii="Verdana" w:hAnsi="Verdana"/>
          <w:sz w:val="20"/>
          <w:szCs w:val="20"/>
          <w:lang w:val="es-CR"/>
        </w:rPr>
      </w:pPr>
    </w:p>
    <w:p w:rsidR="009929D5" w:rsidRDefault="009F78E3" w:rsidP="001804DA">
      <w:pPr>
        <w:numPr>
          <w:ilvl w:val="0"/>
          <w:numId w:val="4"/>
        </w:numPr>
        <w:tabs>
          <w:tab w:val="left" w:pos="567"/>
        </w:tabs>
        <w:spacing w:before="120" w:after="120" w:line="240" w:lineRule="auto"/>
        <w:ind w:left="0" w:firstLine="0"/>
        <w:jc w:val="both"/>
        <w:rPr>
          <w:rFonts w:ascii="Verdana" w:hAnsi="Verdana"/>
          <w:sz w:val="20"/>
          <w:szCs w:val="20"/>
          <w:lang w:val="es-CR"/>
        </w:rPr>
      </w:pPr>
      <w:r w:rsidRPr="009F78E3">
        <w:rPr>
          <w:rFonts w:ascii="Verdana" w:hAnsi="Verdana"/>
          <w:sz w:val="20"/>
          <w:szCs w:val="20"/>
          <w:lang w:val="es-CR"/>
        </w:rPr>
        <w:t xml:space="preserve">Mantener abierto el procedimiento de supervisión de cumplimiento respecto </w:t>
      </w:r>
      <w:r w:rsidR="00361C43">
        <w:rPr>
          <w:rFonts w:ascii="Verdana" w:hAnsi="Verdana"/>
          <w:sz w:val="20"/>
          <w:szCs w:val="20"/>
          <w:lang w:val="es-CR"/>
        </w:rPr>
        <w:t xml:space="preserve">de las medidas </w:t>
      </w:r>
      <w:r w:rsidR="000F46D2">
        <w:rPr>
          <w:rFonts w:ascii="Verdana" w:hAnsi="Verdana"/>
          <w:sz w:val="20"/>
          <w:szCs w:val="20"/>
          <w:lang w:val="es-CR"/>
        </w:rPr>
        <w:t>que</w:t>
      </w:r>
      <w:r w:rsidR="00361C43">
        <w:rPr>
          <w:rFonts w:ascii="Verdana" w:hAnsi="Verdana"/>
          <w:sz w:val="20"/>
          <w:szCs w:val="20"/>
          <w:lang w:val="es-CR"/>
        </w:rPr>
        <w:t xml:space="preserve"> se encue</w:t>
      </w:r>
      <w:r w:rsidR="000F46D2">
        <w:rPr>
          <w:rFonts w:ascii="Verdana" w:hAnsi="Verdana"/>
          <w:sz w:val="20"/>
          <w:szCs w:val="20"/>
          <w:lang w:val="es-CR"/>
        </w:rPr>
        <w:t>ntran pendientes de acatamiento:</w:t>
      </w:r>
    </w:p>
    <w:p w:rsidR="00E4274F" w:rsidRDefault="00E4274F" w:rsidP="00E4274F">
      <w:pPr>
        <w:tabs>
          <w:tab w:val="left" w:pos="567"/>
        </w:tabs>
        <w:spacing w:before="120" w:after="120" w:line="240" w:lineRule="auto"/>
        <w:jc w:val="both"/>
        <w:rPr>
          <w:rFonts w:ascii="Verdana" w:hAnsi="Verdana"/>
          <w:sz w:val="20"/>
          <w:szCs w:val="20"/>
          <w:lang w:val="es-CR"/>
        </w:rPr>
      </w:pPr>
    </w:p>
    <w:p w:rsidR="00333555" w:rsidRPr="00E4274F" w:rsidRDefault="00781EE7" w:rsidP="00E4274F">
      <w:pPr>
        <w:numPr>
          <w:ilvl w:val="0"/>
          <w:numId w:val="9"/>
        </w:numPr>
        <w:tabs>
          <w:tab w:val="left" w:pos="720"/>
        </w:tabs>
        <w:spacing w:before="60" w:after="60" w:line="240" w:lineRule="auto"/>
        <w:jc w:val="both"/>
        <w:rPr>
          <w:rFonts w:ascii="Verdana" w:hAnsi="Verdana"/>
          <w:sz w:val="20"/>
          <w:szCs w:val="20"/>
          <w:lang w:val="es-CR"/>
        </w:rPr>
      </w:pPr>
      <w:r w:rsidRPr="00E4274F">
        <w:rPr>
          <w:rFonts w:ascii="Verdana" w:hAnsi="Verdana"/>
          <w:sz w:val="20"/>
          <w:szCs w:val="20"/>
          <w:lang w:val="es-CR"/>
        </w:rPr>
        <w:t>r</w:t>
      </w:r>
      <w:r w:rsidR="000F46D2" w:rsidRPr="00E4274F">
        <w:rPr>
          <w:rFonts w:ascii="Verdana" w:hAnsi="Verdana"/>
          <w:sz w:val="20"/>
          <w:szCs w:val="20"/>
          <w:lang w:val="es-CR"/>
        </w:rPr>
        <w:t>ealizar las convocatorias descritas en la Sentencia, a fin de considerar los beneficiarios de las medidas de reparación dispuestas en el acuerdo de solución amistosa (</w:t>
      </w:r>
      <w:r w:rsidR="000F46D2" w:rsidRPr="00E4274F">
        <w:rPr>
          <w:rFonts w:ascii="Verdana" w:hAnsi="Verdana"/>
          <w:i/>
          <w:sz w:val="20"/>
          <w:szCs w:val="20"/>
          <w:lang w:val="es-CR"/>
        </w:rPr>
        <w:t>punto dispositivo segundo de la Sentencia</w:t>
      </w:r>
      <w:r w:rsidR="000F46D2" w:rsidRPr="00E4274F">
        <w:rPr>
          <w:rFonts w:ascii="Verdana" w:hAnsi="Verdana"/>
          <w:sz w:val="20"/>
          <w:szCs w:val="20"/>
          <w:lang w:val="es-CR"/>
        </w:rPr>
        <w:t>)</w:t>
      </w:r>
      <w:r w:rsidR="00333555" w:rsidRPr="00E4274F">
        <w:rPr>
          <w:rFonts w:ascii="Verdana" w:hAnsi="Verdana"/>
          <w:sz w:val="20"/>
          <w:szCs w:val="20"/>
          <w:lang w:val="es-CR"/>
        </w:rPr>
        <w:t>;</w:t>
      </w:r>
    </w:p>
    <w:p w:rsidR="00333555" w:rsidRPr="00E4274F" w:rsidRDefault="00781EE7" w:rsidP="00E4274F">
      <w:pPr>
        <w:numPr>
          <w:ilvl w:val="0"/>
          <w:numId w:val="9"/>
        </w:numPr>
        <w:tabs>
          <w:tab w:val="left" w:pos="720"/>
        </w:tabs>
        <w:spacing w:before="60" w:after="60" w:line="240" w:lineRule="auto"/>
        <w:jc w:val="both"/>
        <w:rPr>
          <w:rFonts w:ascii="Verdana" w:hAnsi="Verdana"/>
          <w:sz w:val="20"/>
          <w:szCs w:val="20"/>
          <w:lang w:val="es-CR"/>
        </w:rPr>
      </w:pPr>
      <w:r w:rsidRPr="00E4274F">
        <w:rPr>
          <w:rFonts w:ascii="Verdana" w:hAnsi="Verdana"/>
          <w:sz w:val="20"/>
          <w:szCs w:val="20"/>
          <w:lang w:val="es-CR"/>
        </w:rPr>
        <w:t>a</w:t>
      </w:r>
      <w:r w:rsidR="00333555" w:rsidRPr="00E4274F">
        <w:rPr>
          <w:rFonts w:ascii="Verdana" w:hAnsi="Verdana"/>
          <w:sz w:val="20"/>
          <w:szCs w:val="20"/>
          <w:lang w:val="es-CR"/>
        </w:rPr>
        <w:t xml:space="preserve">doptar </w:t>
      </w:r>
      <w:r w:rsidR="000F46D2" w:rsidRPr="00E4274F">
        <w:rPr>
          <w:rFonts w:ascii="Verdana" w:hAnsi="Verdana"/>
          <w:sz w:val="20"/>
          <w:szCs w:val="20"/>
          <w:lang w:val="es-CR"/>
        </w:rPr>
        <w:t>las medidas legislativas,</w:t>
      </w:r>
      <w:r w:rsidR="00333555" w:rsidRPr="00E4274F">
        <w:rPr>
          <w:rFonts w:ascii="Verdana" w:hAnsi="Verdana"/>
          <w:sz w:val="20"/>
          <w:szCs w:val="20"/>
          <w:lang w:val="es-CR"/>
        </w:rPr>
        <w:t xml:space="preserve"> </w:t>
      </w:r>
      <w:r w:rsidR="000F46D2" w:rsidRPr="00E4274F">
        <w:rPr>
          <w:rFonts w:ascii="Verdana" w:hAnsi="Verdana"/>
          <w:sz w:val="20"/>
          <w:szCs w:val="20"/>
          <w:lang w:val="es-CR"/>
        </w:rPr>
        <w:t>administrativas y de cualquier otra índole necesarias para mejorar sustancialmente las</w:t>
      </w:r>
      <w:r w:rsidR="00333555" w:rsidRPr="00E4274F">
        <w:rPr>
          <w:rFonts w:ascii="Verdana" w:hAnsi="Verdana"/>
          <w:sz w:val="20"/>
          <w:szCs w:val="20"/>
          <w:lang w:val="es-CR"/>
        </w:rPr>
        <w:t xml:space="preserve"> </w:t>
      </w:r>
      <w:r w:rsidR="000F46D2" w:rsidRPr="00E4274F">
        <w:rPr>
          <w:rFonts w:ascii="Verdana" w:hAnsi="Verdana"/>
          <w:sz w:val="20"/>
          <w:szCs w:val="20"/>
          <w:lang w:val="es-CR"/>
        </w:rPr>
        <w:t xml:space="preserve">condiciones de los centros penitenciarios señalados en </w:t>
      </w:r>
      <w:r w:rsidR="00333555" w:rsidRPr="00E4274F">
        <w:rPr>
          <w:rFonts w:ascii="Verdana" w:hAnsi="Verdana"/>
          <w:sz w:val="20"/>
          <w:szCs w:val="20"/>
          <w:lang w:val="es-CR"/>
        </w:rPr>
        <w:t xml:space="preserve">la Sentencia, </w:t>
      </w:r>
      <w:r w:rsidR="000F46D2" w:rsidRPr="00E4274F">
        <w:rPr>
          <w:rFonts w:ascii="Verdana" w:hAnsi="Verdana"/>
          <w:sz w:val="20"/>
          <w:szCs w:val="20"/>
          <w:lang w:val="es-CR"/>
        </w:rPr>
        <w:t>adecuándolas a los estándares internacionales, a fin de prevenir principalmente incendios y</w:t>
      </w:r>
      <w:r w:rsidR="00333555" w:rsidRPr="00E4274F">
        <w:rPr>
          <w:rFonts w:ascii="Verdana" w:hAnsi="Verdana"/>
          <w:sz w:val="20"/>
          <w:szCs w:val="20"/>
          <w:lang w:val="es-CR"/>
        </w:rPr>
        <w:t xml:space="preserve"> </w:t>
      </w:r>
      <w:r w:rsidR="000F46D2" w:rsidRPr="00E4274F">
        <w:rPr>
          <w:rFonts w:ascii="Verdana" w:hAnsi="Verdana"/>
          <w:sz w:val="20"/>
          <w:szCs w:val="20"/>
          <w:lang w:val="es-CR"/>
        </w:rPr>
        <w:t>otras situaciones críticas, así como evitar la sobrepoblación y el hacinamiento</w:t>
      </w:r>
      <w:r w:rsidR="0013651F" w:rsidRPr="00E4274F">
        <w:rPr>
          <w:rFonts w:ascii="Verdana" w:hAnsi="Verdana"/>
          <w:sz w:val="20"/>
          <w:szCs w:val="20"/>
          <w:lang w:val="es-CR"/>
        </w:rPr>
        <w:t xml:space="preserve"> (</w:t>
      </w:r>
      <w:r w:rsidR="0013651F" w:rsidRPr="00E4274F">
        <w:rPr>
          <w:rFonts w:ascii="Verdana" w:hAnsi="Verdana"/>
          <w:i/>
          <w:sz w:val="20"/>
          <w:szCs w:val="20"/>
          <w:lang w:val="es-CR"/>
        </w:rPr>
        <w:t>punto dispositivo tercero de la Sentencia</w:t>
      </w:r>
      <w:r w:rsidR="0013651F" w:rsidRPr="00E4274F">
        <w:rPr>
          <w:rFonts w:ascii="Verdana" w:hAnsi="Verdana"/>
          <w:sz w:val="20"/>
          <w:szCs w:val="20"/>
          <w:lang w:val="es-CR"/>
        </w:rPr>
        <w:t>)</w:t>
      </w:r>
      <w:r w:rsidR="00333555" w:rsidRPr="00E4274F">
        <w:rPr>
          <w:rFonts w:ascii="Verdana" w:hAnsi="Verdana"/>
          <w:sz w:val="20"/>
          <w:szCs w:val="20"/>
          <w:lang w:val="es-CR"/>
        </w:rPr>
        <w:t>;</w:t>
      </w:r>
    </w:p>
    <w:p w:rsidR="00333555" w:rsidRPr="00E4274F" w:rsidRDefault="00781EE7" w:rsidP="00E4274F">
      <w:pPr>
        <w:numPr>
          <w:ilvl w:val="0"/>
          <w:numId w:val="9"/>
        </w:numPr>
        <w:tabs>
          <w:tab w:val="left" w:pos="720"/>
        </w:tabs>
        <w:spacing w:before="60" w:after="60" w:line="240" w:lineRule="auto"/>
        <w:jc w:val="both"/>
        <w:rPr>
          <w:rFonts w:ascii="Verdana" w:hAnsi="Verdana"/>
          <w:sz w:val="20"/>
          <w:szCs w:val="20"/>
          <w:lang w:val="es-CR"/>
        </w:rPr>
      </w:pPr>
      <w:r w:rsidRPr="00E4274F">
        <w:rPr>
          <w:rFonts w:ascii="Verdana" w:hAnsi="Verdana"/>
          <w:sz w:val="20"/>
          <w:szCs w:val="20"/>
          <w:lang w:val="es-CR"/>
        </w:rPr>
        <w:t>i</w:t>
      </w:r>
      <w:r w:rsidR="000F46D2" w:rsidRPr="00E4274F">
        <w:rPr>
          <w:rFonts w:ascii="Verdana" w:hAnsi="Verdana"/>
          <w:sz w:val="20"/>
          <w:szCs w:val="20"/>
          <w:lang w:val="es-CR"/>
        </w:rPr>
        <w:t>mplementar medidas de carácter inmediato tendientes a garantizar</w:t>
      </w:r>
      <w:r w:rsidR="00333555" w:rsidRPr="00E4274F">
        <w:rPr>
          <w:rFonts w:ascii="Verdana" w:hAnsi="Verdana"/>
          <w:sz w:val="20"/>
          <w:szCs w:val="20"/>
          <w:lang w:val="es-CR"/>
        </w:rPr>
        <w:t xml:space="preserve"> </w:t>
      </w:r>
      <w:r w:rsidR="000F46D2" w:rsidRPr="00E4274F">
        <w:rPr>
          <w:rFonts w:ascii="Verdana" w:hAnsi="Verdana"/>
          <w:sz w:val="20"/>
          <w:szCs w:val="20"/>
          <w:lang w:val="es-CR"/>
        </w:rPr>
        <w:t>los derechos fundamentales de los reclusos, así como medidas de prevención de siniestros</w:t>
      </w:r>
      <w:r w:rsidR="00333555" w:rsidRPr="00E4274F">
        <w:rPr>
          <w:rFonts w:ascii="Verdana" w:hAnsi="Verdana"/>
          <w:sz w:val="20"/>
          <w:szCs w:val="20"/>
          <w:lang w:val="es-CR"/>
        </w:rPr>
        <w:t xml:space="preserve"> </w:t>
      </w:r>
      <w:r w:rsidR="000F46D2" w:rsidRPr="00E4274F">
        <w:rPr>
          <w:rFonts w:ascii="Verdana" w:hAnsi="Verdana"/>
          <w:sz w:val="20"/>
          <w:szCs w:val="20"/>
          <w:lang w:val="es-CR"/>
        </w:rPr>
        <w:t xml:space="preserve">en los diferentes </w:t>
      </w:r>
      <w:r w:rsidR="00333555" w:rsidRPr="00E4274F">
        <w:rPr>
          <w:rFonts w:ascii="Verdana" w:hAnsi="Verdana"/>
          <w:sz w:val="20"/>
          <w:szCs w:val="20"/>
          <w:lang w:val="es-CR"/>
        </w:rPr>
        <w:t xml:space="preserve">centros señalados en el acuerdo, </w:t>
      </w:r>
      <w:r w:rsidR="00C501D7" w:rsidRPr="00E4274F">
        <w:rPr>
          <w:rFonts w:ascii="Verdana" w:hAnsi="Verdana"/>
          <w:sz w:val="20"/>
          <w:szCs w:val="20"/>
          <w:lang w:val="es-CR"/>
        </w:rPr>
        <w:t>y</w:t>
      </w:r>
      <w:r w:rsidR="000F46D2" w:rsidRPr="00E4274F">
        <w:rPr>
          <w:rFonts w:ascii="Verdana" w:hAnsi="Verdana"/>
          <w:sz w:val="20"/>
          <w:szCs w:val="20"/>
          <w:lang w:val="es-CR"/>
        </w:rPr>
        <w:t xml:space="preserve"> remitir un informe sobre las</w:t>
      </w:r>
      <w:r w:rsidR="00333555" w:rsidRPr="00E4274F">
        <w:rPr>
          <w:rFonts w:ascii="Verdana" w:hAnsi="Verdana"/>
          <w:sz w:val="20"/>
          <w:szCs w:val="20"/>
          <w:lang w:val="es-CR"/>
        </w:rPr>
        <w:t xml:space="preserve"> </w:t>
      </w:r>
      <w:r w:rsidR="000F46D2" w:rsidRPr="00E4274F">
        <w:rPr>
          <w:rFonts w:ascii="Verdana" w:hAnsi="Verdana"/>
          <w:sz w:val="20"/>
          <w:szCs w:val="20"/>
          <w:lang w:val="es-CR"/>
        </w:rPr>
        <w:t>medidas urgentes adoptadas para garantizar los derechos fundamentales de los reclusos,</w:t>
      </w:r>
      <w:r w:rsidR="00333555" w:rsidRPr="00E4274F">
        <w:rPr>
          <w:rFonts w:ascii="Verdana" w:hAnsi="Verdana"/>
          <w:sz w:val="20"/>
          <w:szCs w:val="20"/>
          <w:lang w:val="es-CR"/>
        </w:rPr>
        <w:t xml:space="preserve"> </w:t>
      </w:r>
      <w:r w:rsidR="000F46D2" w:rsidRPr="00E4274F">
        <w:rPr>
          <w:rFonts w:ascii="Verdana" w:hAnsi="Verdana"/>
          <w:sz w:val="20"/>
          <w:szCs w:val="20"/>
          <w:lang w:val="es-CR"/>
        </w:rPr>
        <w:t>así como medidas de prevención de siniestros en los diferentes centros señalados en el</w:t>
      </w:r>
      <w:r w:rsidR="00333555" w:rsidRPr="00E4274F">
        <w:rPr>
          <w:rFonts w:ascii="Verdana" w:hAnsi="Verdana"/>
          <w:sz w:val="20"/>
          <w:szCs w:val="20"/>
          <w:lang w:val="es-CR"/>
        </w:rPr>
        <w:t xml:space="preserve"> </w:t>
      </w:r>
      <w:r w:rsidR="000F46D2" w:rsidRPr="00E4274F">
        <w:rPr>
          <w:rFonts w:ascii="Verdana" w:hAnsi="Verdana"/>
          <w:sz w:val="20"/>
          <w:szCs w:val="20"/>
          <w:lang w:val="es-CR"/>
        </w:rPr>
        <w:t>acuerdo de solución amistosa</w:t>
      </w:r>
      <w:r w:rsidR="0013651F" w:rsidRPr="00E4274F">
        <w:rPr>
          <w:rFonts w:ascii="Verdana" w:hAnsi="Verdana"/>
          <w:sz w:val="20"/>
          <w:szCs w:val="20"/>
          <w:lang w:val="es-CR"/>
        </w:rPr>
        <w:t xml:space="preserve"> (</w:t>
      </w:r>
      <w:r w:rsidR="0013651F" w:rsidRPr="00E4274F">
        <w:rPr>
          <w:rFonts w:ascii="Verdana" w:hAnsi="Verdana"/>
          <w:i/>
          <w:sz w:val="20"/>
          <w:szCs w:val="20"/>
          <w:lang w:val="es-CR"/>
        </w:rPr>
        <w:t>punto dispositivo cuarto de la Sentencia</w:t>
      </w:r>
      <w:r w:rsidR="0013651F" w:rsidRPr="00E4274F">
        <w:rPr>
          <w:rFonts w:ascii="Verdana" w:hAnsi="Verdana"/>
          <w:sz w:val="20"/>
          <w:szCs w:val="20"/>
          <w:lang w:val="es-CR"/>
        </w:rPr>
        <w:t>)</w:t>
      </w:r>
      <w:r w:rsidR="00333555" w:rsidRPr="00E4274F">
        <w:rPr>
          <w:rFonts w:ascii="Verdana" w:hAnsi="Verdana"/>
          <w:sz w:val="20"/>
          <w:szCs w:val="20"/>
          <w:lang w:val="es-CR"/>
        </w:rPr>
        <w:t>;</w:t>
      </w:r>
      <w:r w:rsidR="000F46D2" w:rsidRPr="00E4274F">
        <w:rPr>
          <w:rFonts w:ascii="Verdana" w:hAnsi="Verdana"/>
          <w:sz w:val="20"/>
          <w:szCs w:val="20"/>
          <w:lang w:val="es-CR"/>
        </w:rPr>
        <w:t xml:space="preserve"> </w:t>
      </w:r>
    </w:p>
    <w:p w:rsidR="00333555" w:rsidRPr="00E4274F" w:rsidRDefault="00781EE7" w:rsidP="00E4274F">
      <w:pPr>
        <w:numPr>
          <w:ilvl w:val="0"/>
          <w:numId w:val="9"/>
        </w:numPr>
        <w:tabs>
          <w:tab w:val="left" w:pos="720"/>
        </w:tabs>
        <w:spacing w:before="60" w:after="60" w:line="240" w:lineRule="auto"/>
        <w:jc w:val="both"/>
        <w:rPr>
          <w:rFonts w:ascii="Verdana" w:hAnsi="Verdana"/>
          <w:sz w:val="20"/>
          <w:szCs w:val="20"/>
          <w:lang w:val="es-CR"/>
        </w:rPr>
      </w:pPr>
      <w:r w:rsidRPr="00E4274F">
        <w:rPr>
          <w:rFonts w:ascii="Verdana" w:hAnsi="Verdana"/>
          <w:sz w:val="20"/>
          <w:szCs w:val="20"/>
          <w:lang w:val="es-CR"/>
        </w:rPr>
        <w:t>a</w:t>
      </w:r>
      <w:r w:rsidR="000F46D2" w:rsidRPr="00E4274F">
        <w:rPr>
          <w:rFonts w:ascii="Verdana" w:hAnsi="Verdana"/>
          <w:sz w:val="20"/>
          <w:szCs w:val="20"/>
          <w:lang w:val="es-CR"/>
        </w:rPr>
        <w:t>doptar las medidas legislativas dispuestas en el</w:t>
      </w:r>
      <w:r w:rsidR="00333555" w:rsidRPr="00E4274F">
        <w:rPr>
          <w:rFonts w:ascii="Verdana" w:hAnsi="Verdana"/>
          <w:sz w:val="20"/>
          <w:szCs w:val="20"/>
          <w:lang w:val="es-CR"/>
        </w:rPr>
        <w:t xml:space="preserve"> </w:t>
      </w:r>
      <w:r w:rsidR="000F46D2" w:rsidRPr="00E4274F">
        <w:rPr>
          <w:rFonts w:ascii="Verdana" w:hAnsi="Verdana"/>
          <w:sz w:val="20"/>
          <w:szCs w:val="20"/>
          <w:lang w:val="es-CR"/>
        </w:rPr>
        <w:t>acuerdo de solución amistosa, y homologadas por la Corte en la Sentencia</w:t>
      </w:r>
      <w:r w:rsidR="0013651F" w:rsidRPr="00E4274F">
        <w:rPr>
          <w:rFonts w:ascii="Verdana" w:hAnsi="Verdana"/>
          <w:sz w:val="20"/>
          <w:szCs w:val="20"/>
          <w:lang w:val="es-CR"/>
        </w:rPr>
        <w:t xml:space="preserve"> (</w:t>
      </w:r>
      <w:r w:rsidR="0013651F" w:rsidRPr="00E4274F">
        <w:rPr>
          <w:rFonts w:ascii="Verdana" w:hAnsi="Verdana"/>
          <w:i/>
          <w:sz w:val="20"/>
          <w:szCs w:val="20"/>
          <w:lang w:val="es-CR"/>
        </w:rPr>
        <w:t>punto dispositivo quinto de la Sentencia</w:t>
      </w:r>
      <w:r w:rsidR="0013651F" w:rsidRPr="00E4274F">
        <w:rPr>
          <w:rFonts w:ascii="Verdana" w:hAnsi="Verdana"/>
          <w:sz w:val="20"/>
          <w:szCs w:val="20"/>
          <w:lang w:val="es-CR"/>
        </w:rPr>
        <w:t>)</w:t>
      </w:r>
      <w:r w:rsidR="00333555" w:rsidRPr="00E4274F">
        <w:rPr>
          <w:rFonts w:ascii="Verdana" w:hAnsi="Verdana"/>
          <w:sz w:val="20"/>
          <w:szCs w:val="20"/>
          <w:lang w:val="es-CR"/>
        </w:rPr>
        <w:t>;</w:t>
      </w:r>
    </w:p>
    <w:p w:rsidR="00333555" w:rsidRPr="00E4274F" w:rsidRDefault="00781EE7" w:rsidP="00E4274F">
      <w:pPr>
        <w:numPr>
          <w:ilvl w:val="0"/>
          <w:numId w:val="9"/>
        </w:numPr>
        <w:tabs>
          <w:tab w:val="left" w:pos="720"/>
        </w:tabs>
        <w:spacing w:before="60" w:after="60" w:line="240" w:lineRule="auto"/>
        <w:jc w:val="both"/>
        <w:rPr>
          <w:rFonts w:ascii="Verdana" w:hAnsi="Verdana"/>
          <w:sz w:val="20"/>
          <w:szCs w:val="20"/>
          <w:lang w:val="es-CR"/>
        </w:rPr>
      </w:pPr>
      <w:r w:rsidRPr="00E4274F">
        <w:rPr>
          <w:rFonts w:ascii="Verdana" w:hAnsi="Verdana"/>
          <w:sz w:val="20"/>
          <w:szCs w:val="20"/>
          <w:lang w:val="es-CR"/>
        </w:rPr>
        <w:t>i</w:t>
      </w:r>
      <w:r w:rsidR="000F46D2" w:rsidRPr="00E4274F">
        <w:rPr>
          <w:rFonts w:ascii="Verdana" w:hAnsi="Verdana"/>
          <w:sz w:val="20"/>
          <w:szCs w:val="20"/>
          <w:lang w:val="es-CR"/>
        </w:rPr>
        <w:t>mplementar programas de capacitación al personal civil y policial de</w:t>
      </w:r>
      <w:r w:rsidR="00333555" w:rsidRPr="00E4274F">
        <w:rPr>
          <w:rFonts w:ascii="Verdana" w:hAnsi="Verdana"/>
          <w:sz w:val="20"/>
          <w:szCs w:val="20"/>
          <w:lang w:val="es-CR"/>
        </w:rPr>
        <w:t xml:space="preserve"> </w:t>
      </w:r>
      <w:r w:rsidR="000F46D2" w:rsidRPr="00E4274F">
        <w:rPr>
          <w:rFonts w:ascii="Verdana" w:hAnsi="Verdana"/>
          <w:sz w:val="20"/>
          <w:szCs w:val="20"/>
          <w:lang w:val="es-CR"/>
        </w:rPr>
        <w:t>los centros penales, y planes de emergencia y evacuación en caso de incendios u otras</w:t>
      </w:r>
      <w:r w:rsidR="00333555" w:rsidRPr="00E4274F">
        <w:rPr>
          <w:rFonts w:ascii="Verdana" w:hAnsi="Verdana"/>
          <w:sz w:val="20"/>
          <w:szCs w:val="20"/>
          <w:lang w:val="es-CR"/>
        </w:rPr>
        <w:t xml:space="preserve"> catástrofes</w:t>
      </w:r>
      <w:r w:rsidR="0013651F" w:rsidRPr="00E4274F">
        <w:rPr>
          <w:rFonts w:ascii="Verdana" w:hAnsi="Verdana"/>
          <w:sz w:val="20"/>
          <w:szCs w:val="20"/>
          <w:lang w:val="es-CR"/>
        </w:rPr>
        <w:t xml:space="preserve"> (</w:t>
      </w:r>
      <w:r w:rsidR="0013651F" w:rsidRPr="00E4274F">
        <w:rPr>
          <w:rFonts w:ascii="Verdana" w:hAnsi="Verdana"/>
          <w:i/>
          <w:sz w:val="20"/>
          <w:szCs w:val="20"/>
          <w:lang w:val="es-CR"/>
        </w:rPr>
        <w:t>punto dispositivo sexto de la Sentencia</w:t>
      </w:r>
      <w:r w:rsidR="0013651F" w:rsidRPr="00E4274F">
        <w:rPr>
          <w:rFonts w:ascii="Verdana" w:hAnsi="Verdana"/>
          <w:sz w:val="20"/>
          <w:szCs w:val="20"/>
          <w:lang w:val="es-CR"/>
        </w:rPr>
        <w:t>)</w:t>
      </w:r>
      <w:r w:rsidR="00333555" w:rsidRPr="00E4274F">
        <w:rPr>
          <w:rFonts w:ascii="Verdana" w:hAnsi="Verdana"/>
          <w:sz w:val="20"/>
          <w:szCs w:val="20"/>
          <w:lang w:val="es-CR"/>
        </w:rPr>
        <w:t>;</w:t>
      </w:r>
    </w:p>
    <w:p w:rsidR="00333555" w:rsidRPr="00E4274F" w:rsidRDefault="00781EE7" w:rsidP="00E4274F">
      <w:pPr>
        <w:numPr>
          <w:ilvl w:val="0"/>
          <w:numId w:val="9"/>
        </w:numPr>
        <w:tabs>
          <w:tab w:val="left" w:pos="720"/>
        </w:tabs>
        <w:spacing w:before="60" w:after="60" w:line="240" w:lineRule="auto"/>
        <w:jc w:val="both"/>
        <w:rPr>
          <w:rFonts w:ascii="Verdana" w:hAnsi="Verdana"/>
          <w:sz w:val="20"/>
          <w:szCs w:val="20"/>
          <w:lang w:val="es-CR"/>
        </w:rPr>
      </w:pPr>
      <w:r w:rsidRPr="00E4274F">
        <w:rPr>
          <w:rFonts w:ascii="Verdana" w:hAnsi="Verdana"/>
          <w:sz w:val="20"/>
          <w:szCs w:val="20"/>
          <w:lang w:val="es-CR"/>
        </w:rPr>
        <w:t>b</w:t>
      </w:r>
      <w:r w:rsidR="000F46D2" w:rsidRPr="00E4274F">
        <w:rPr>
          <w:rFonts w:ascii="Verdana" w:hAnsi="Verdana"/>
          <w:sz w:val="20"/>
          <w:szCs w:val="20"/>
          <w:lang w:val="es-CR"/>
        </w:rPr>
        <w:t>rindar atención médica y psicológica a los familiares de las víctimas</w:t>
      </w:r>
      <w:r w:rsidR="00333555" w:rsidRPr="00E4274F">
        <w:rPr>
          <w:rFonts w:ascii="Verdana" w:hAnsi="Verdana"/>
          <w:sz w:val="20"/>
          <w:szCs w:val="20"/>
          <w:lang w:val="es-CR"/>
        </w:rPr>
        <w:t xml:space="preserve"> que así lo soliciten</w:t>
      </w:r>
      <w:r w:rsidR="0013651F" w:rsidRPr="00E4274F">
        <w:rPr>
          <w:rFonts w:ascii="Verdana" w:hAnsi="Verdana"/>
          <w:sz w:val="20"/>
          <w:szCs w:val="20"/>
          <w:lang w:val="es-CR"/>
        </w:rPr>
        <w:t xml:space="preserve"> (</w:t>
      </w:r>
      <w:r w:rsidR="0013651F" w:rsidRPr="00E4274F">
        <w:rPr>
          <w:rFonts w:ascii="Verdana" w:hAnsi="Verdana"/>
          <w:i/>
          <w:sz w:val="20"/>
          <w:szCs w:val="20"/>
          <w:lang w:val="es-CR"/>
        </w:rPr>
        <w:t>punto dispositivo séptimo de la Sentencia</w:t>
      </w:r>
      <w:r w:rsidR="0013651F" w:rsidRPr="00E4274F">
        <w:rPr>
          <w:rFonts w:ascii="Verdana" w:hAnsi="Verdana"/>
          <w:sz w:val="20"/>
          <w:szCs w:val="20"/>
          <w:lang w:val="es-CR"/>
        </w:rPr>
        <w:t>)</w:t>
      </w:r>
      <w:r w:rsidR="00333555" w:rsidRPr="00E4274F">
        <w:rPr>
          <w:rFonts w:ascii="Verdana" w:hAnsi="Verdana"/>
          <w:sz w:val="20"/>
          <w:szCs w:val="20"/>
          <w:lang w:val="es-CR"/>
        </w:rPr>
        <w:t>;</w:t>
      </w:r>
    </w:p>
    <w:p w:rsidR="00333555" w:rsidRPr="00E4274F" w:rsidRDefault="00781EE7" w:rsidP="00E4274F">
      <w:pPr>
        <w:numPr>
          <w:ilvl w:val="0"/>
          <w:numId w:val="9"/>
        </w:numPr>
        <w:tabs>
          <w:tab w:val="left" w:pos="720"/>
        </w:tabs>
        <w:spacing w:before="60" w:after="60" w:line="240" w:lineRule="auto"/>
        <w:jc w:val="both"/>
        <w:rPr>
          <w:rFonts w:ascii="Verdana" w:hAnsi="Verdana"/>
          <w:sz w:val="20"/>
          <w:szCs w:val="20"/>
          <w:lang w:val="es-CR"/>
        </w:rPr>
      </w:pPr>
      <w:r w:rsidRPr="00E4274F">
        <w:rPr>
          <w:rFonts w:ascii="Verdana" w:hAnsi="Verdana"/>
          <w:sz w:val="20"/>
          <w:szCs w:val="20"/>
          <w:lang w:val="es-CR"/>
        </w:rPr>
        <w:t>r</w:t>
      </w:r>
      <w:r w:rsidR="000F46D2" w:rsidRPr="00E4274F">
        <w:rPr>
          <w:rFonts w:ascii="Verdana" w:hAnsi="Verdana"/>
          <w:sz w:val="20"/>
          <w:szCs w:val="20"/>
          <w:lang w:val="es-CR"/>
        </w:rPr>
        <w:t>ealizar las publicaciones</w:t>
      </w:r>
      <w:r w:rsidR="00C604DC" w:rsidRPr="00E4274F">
        <w:rPr>
          <w:rFonts w:ascii="Verdana" w:hAnsi="Verdana"/>
          <w:sz w:val="20"/>
          <w:szCs w:val="20"/>
          <w:lang w:val="es-CR"/>
        </w:rPr>
        <w:t xml:space="preserve"> de la Sentencia</w:t>
      </w:r>
      <w:r w:rsidR="000F46D2" w:rsidRPr="00E4274F">
        <w:rPr>
          <w:rFonts w:ascii="Verdana" w:hAnsi="Verdana"/>
          <w:sz w:val="20"/>
          <w:szCs w:val="20"/>
          <w:lang w:val="es-CR"/>
        </w:rPr>
        <w:t xml:space="preserve"> indicadas </w:t>
      </w:r>
      <w:r w:rsidR="00333555" w:rsidRPr="00E4274F">
        <w:rPr>
          <w:rFonts w:ascii="Verdana" w:hAnsi="Verdana"/>
          <w:sz w:val="20"/>
          <w:szCs w:val="20"/>
          <w:lang w:val="es-CR"/>
        </w:rPr>
        <w:t xml:space="preserve">en la </w:t>
      </w:r>
      <w:r w:rsidR="00C604DC" w:rsidRPr="00E4274F">
        <w:rPr>
          <w:rFonts w:ascii="Verdana" w:hAnsi="Verdana"/>
          <w:sz w:val="20"/>
          <w:szCs w:val="20"/>
          <w:lang w:val="es-CR"/>
        </w:rPr>
        <w:t>misma</w:t>
      </w:r>
      <w:r w:rsidR="0013651F" w:rsidRPr="00E4274F">
        <w:rPr>
          <w:rFonts w:ascii="Verdana" w:hAnsi="Verdana"/>
          <w:sz w:val="20"/>
          <w:szCs w:val="20"/>
          <w:lang w:val="es-CR"/>
        </w:rPr>
        <w:t xml:space="preserve"> (</w:t>
      </w:r>
      <w:r w:rsidR="0013651F" w:rsidRPr="00E4274F">
        <w:rPr>
          <w:rFonts w:ascii="Verdana" w:hAnsi="Verdana"/>
          <w:i/>
          <w:sz w:val="20"/>
          <w:szCs w:val="20"/>
          <w:lang w:val="es-CR"/>
        </w:rPr>
        <w:t>punto dispositivo octavo de la Sentencia</w:t>
      </w:r>
      <w:r w:rsidR="0013651F" w:rsidRPr="00E4274F">
        <w:rPr>
          <w:rFonts w:ascii="Verdana" w:hAnsi="Verdana"/>
          <w:sz w:val="20"/>
          <w:szCs w:val="20"/>
          <w:lang w:val="es-CR"/>
        </w:rPr>
        <w:t>)</w:t>
      </w:r>
      <w:r w:rsidR="00333555" w:rsidRPr="00E4274F">
        <w:rPr>
          <w:rFonts w:ascii="Verdana" w:hAnsi="Verdana"/>
          <w:sz w:val="20"/>
          <w:szCs w:val="20"/>
          <w:lang w:val="es-CR"/>
        </w:rPr>
        <w:t>;</w:t>
      </w:r>
    </w:p>
    <w:p w:rsidR="00333555" w:rsidRPr="00E4274F" w:rsidRDefault="00781EE7" w:rsidP="00E4274F">
      <w:pPr>
        <w:numPr>
          <w:ilvl w:val="0"/>
          <w:numId w:val="9"/>
        </w:numPr>
        <w:tabs>
          <w:tab w:val="left" w:pos="720"/>
        </w:tabs>
        <w:spacing w:before="60" w:after="60" w:line="240" w:lineRule="auto"/>
        <w:jc w:val="both"/>
        <w:rPr>
          <w:rFonts w:ascii="Verdana" w:hAnsi="Verdana"/>
          <w:sz w:val="20"/>
          <w:szCs w:val="20"/>
          <w:lang w:val="es-CR"/>
        </w:rPr>
      </w:pPr>
      <w:r w:rsidRPr="00E4274F">
        <w:rPr>
          <w:rFonts w:ascii="Verdana" w:hAnsi="Verdana"/>
          <w:sz w:val="20"/>
          <w:szCs w:val="20"/>
          <w:lang w:val="es-CR"/>
        </w:rPr>
        <w:t>r</w:t>
      </w:r>
      <w:r w:rsidR="000F46D2" w:rsidRPr="00E4274F">
        <w:rPr>
          <w:rFonts w:ascii="Verdana" w:hAnsi="Verdana"/>
          <w:sz w:val="20"/>
          <w:szCs w:val="20"/>
          <w:lang w:val="es-CR"/>
        </w:rPr>
        <w:t>ealizar un acto público de reconocimiento de responsabilidad</w:t>
      </w:r>
      <w:r w:rsidR="00333555" w:rsidRPr="00E4274F">
        <w:rPr>
          <w:rFonts w:ascii="Verdana" w:hAnsi="Verdana"/>
          <w:sz w:val="20"/>
          <w:szCs w:val="20"/>
          <w:lang w:val="es-CR"/>
        </w:rPr>
        <w:t xml:space="preserve"> internacional</w:t>
      </w:r>
      <w:r w:rsidR="0013651F" w:rsidRPr="00E4274F">
        <w:rPr>
          <w:rFonts w:ascii="Verdana" w:hAnsi="Verdana"/>
          <w:sz w:val="20"/>
          <w:szCs w:val="20"/>
          <w:lang w:val="es-CR"/>
        </w:rPr>
        <w:t xml:space="preserve"> (</w:t>
      </w:r>
      <w:r w:rsidR="0013651F" w:rsidRPr="00E4274F">
        <w:rPr>
          <w:rFonts w:ascii="Verdana" w:hAnsi="Verdana"/>
          <w:i/>
          <w:sz w:val="20"/>
          <w:szCs w:val="20"/>
          <w:lang w:val="es-CR"/>
        </w:rPr>
        <w:t>punto dispositivo noveno de la Sentencia</w:t>
      </w:r>
      <w:r w:rsidR="0013651F" w:rsidRPr="00E4274F">
        <w:rPr>
          <w:rFonts w:ascii="Verdana" w:hAnsi="Verdana"/>
          <w:sz w:val="20"/>
          <w:szCs w:val="20"/>
          <w:lang w:val="es-CR"/>
        </w:rPr>
        <w:t>)</w:t>
      </w:r>
      <w:r w:rsidR="00333555" w:rsidRPr="00E4274F">
        <w:rPr>
          <w:rFonts w:ascii="Verdana" w:hAnsi="Verdana"/>
          <w:sz w:val="20"/>
          <w:szCs w:val="20"/>
          <w:lang w:val="es-CR"/>
        </w:rPr>
        <w:t>;</w:t>
      </w:r>
    </w:p>
    <w:p w:rsidR="0013651F" w:rsidRPr="00E4274F" w:rsidRDefault="00781EE7" w:rsidP="00E4274F">
      <w:pPr>
        <w:numPr>
          <w:ilvl w:val="0"/>
          <w:numId w:val="9"/>
        </w:numPr>
        <w:tabs>
          <w:tab w:val="left" w:pos="720"/>
        </w:tabs>
        <w:spacing w:before="60" w:after="60" w:line="240" w:lineRule="auto"/>
        <w:jc w:val="both"/>
        <w:rPr>
          <w:rFonts w:ascii="Verdana" w:hAnsi="Verdana"/>
          <w:sz w:val="20"/>
          <w:szCs w:val="20"/>
          <w:lang w:val="es-CR"/>
        </w:rPr>
      </w:pPr>
      <w:r w:rsidRPr="00E4274F">
        <w:rPr>
          <w:rFonts w:ascii="Verdana" w:hAnsi="Verdana"/>
          <w:sz w:val="20"/>
          <w:szCs w:val="20"/>
          <w:lang w:val="es-CR"/>
        </w:rPr>
        <w:t>i</w:t>
      </w:r>
      <w:r w:rsidR="000F46D2" w:rsidRPr="00E4274F">
        <w:rPr>
          <w:rFonts w:ascii="Verdana" w:hAnsi="Verdana"/>
          <w:sz w:val="20"/>
          <w:szCs w:val="20"/>
          <w:lang w:val="es-CR"/>
        </w:rPr>
        <w:t>nvestigar los hechos del presente caso a fin de esclarecerlos,</w:t>
      </w:r>
      <w:r w:rsidR="00333555" w:rsidRPr="00E4274F">
        <w:rPr>
          <w:rFonts w:ascii="Verdana" w:hAnsi="Verdana"/>
          <w:sz w:val="20"/>
          <w:szCs w:val="20"/>
          <w:lang w:val="es-CR"/>
        </w:rPr>
        <w:t xml:space="preserve"> </w:t>
      </w:r>
      <w:r w:rsidR="000F46D2" w:rsidRPr="00E4274F">
        <w:rPr>
          <w:rFonts w:ascii="Verdana" w:hAnsi="Verdana"/>
          <w:sz w:val="20"/>
          <w:szCs w:val="20"/>
          <w:lang w:val="es-CR"/>
        </w:rPr>
        <w:t>determinar la verdad y las correspondientes responsabilidades penales, administrativas y/o</w:t>
      </w:r>
      <w:r w:rsidR="00333555" w:rsidRPr="00E4274F">
        <w:rPr>
          <w:rFonts w:ascii="Verdana" w:hAnsi="Verdana"/>
          <w:sz w:val="20"/>
          <w:szCs w:val="20"/>
          <w:lang w:val="es-CR"/>
        </w:rPr>
        <w:t xml:space="preserve"> </w:t>
      </w:r>
      <w:r w:rsidR="000F46D2" w:rsidRPr="00E4274F">
        <w:rPr>
          <w:rFonts w:ascii="Verdana" w:hAnsi="Verdana"/>
          <w:sz w:val="20"/>
          <w:szCs w:val="20"/>
          <w:lang w:val="es-CR"/>
        </w:rPr>
        <w:t>disciplinarias, y aplicar efectivamente las sanciones y consecuencias que la ley prevea</w:t>
      </w:r>
      <w:r w:rsidR="0013651F" w:rsidRPr="00E4274F">
        <w:rPr>
          <w:rFonts w:ascii="Verdana" w:hAnsi="Verdana"/>
          <w:sz w:val="20"/>
          <w:szCs w:val="20"/>
          <w:lang w:val="es-CR"/>
        </w:rPr>
        <w:t xml:space="preserve"> (</w:t>
      </w:r>
      <w:r w:rsidR="0013651F" w:rsidRPr="00E4274F">
        <w:rPr>
          <w:rFonts w:ascii="Verdana" w:hAnsi="Verdana"/>
          <w:i/>
          <w:sz w:val="20"/>
          <w:szCs w:val="20"/>
          <w:lang w:val="es-CR"/>
        </w:rPr>
        <w:t>punto dispositivo décimo de la Sentencia</w:t>
      </w:r>
      <w:r w:rsidR="0013651F" w:rsidRPr="00E4274F">
        <w:rPr>
          <w:rFonts w:ascii="Verdana" w:hAnsi="Verdana"/>
          <w:sz w:val="20"/>
          <w:szCs w:val="20"/>
          <w:lang w:val="es-CR"/>
        </w:rPr>
        <w:t>), y</w:t>
      </w:r>
    </w:p>
    <w:p w:rsidR="000F46D2" w:rsidRPr="00E4274F" w:rsidRDefault="00781EE7" w:rsidP="00E4274F">
      <w:pPr>
        <w:numPr>
          <w:ilvl w:val="0"/>
          <w:numId w:val="9"/>
        </w:numPr>
        <w:tabs>
          <w:tab w:val="left" w:pos="720"/>
        </w:tabs>
        <w:spacing w:before="60" w:after="60" w:line="240" w:lineRule="auto"/>
        <w:jc w:val="both"/>
        <w:rPr>
          <w:rFonts w:ascii="Verdana" w:hAnsi="Verdana"/>
          <w:sz w:val="20"/>
          <w:szCs w:val="20"/>
          <w:lang w:val="es-CR"/>
        </w:rPr>
      </w:pPr>
      <w:r w:rsidRPr="00E4274F">
        <w:rPr>
          <w:rFonts w:ascii="Verdana" w:hAnsi="Verdana"/>
          <w:sz w:val="20"/>
          <w:szCs w:val="20"/>
          <w:lang w:val="es-CR"/>
        </w:rPr>
        <w:t>p</w:t>
      </w:r>
      <w:r w:rsidR="000F46D2" w:rsidRPr="00E4274F">
        <w:rPr>
          <w:rFonts w:ascii="Verdana" w:hAnsi="Verdana"/>
          <w:sz w:val="20"/>
          <w:szCs w:val="20"/>
          <w:lang w:val="es-CR"/>
        </w:rPr>
        <w:t>agar las cantidades establecidas en el acuerdo, por concepto de</w:t>
      </w:r>
      <w:r w:rsidR="0013651F" w:rsidRPr="00E4274F">
        <w:rPr>
          <w:rFonts w:ascii="Verdana" w:hAnsi="Verdana"/>
          <w:sz w:val="20"/>
          <w:szCs w:val="20"/>
          <w:lang w:val="es-CR"/>
        </w:rPr>
        <w:t xml:space="preserve"> </w:t>
      </w:r>
      <w:r w:rsidR="000F46D2" w:rsidRPr="00E4274F">
        <w:rPr>
          <w:rFonts w:ascii="Verdana" w:hAnsi="Verdana"/>
          <w:sz w:val="20"/>
          <w:szCs w:val="20"/>
          <w:lang w:val="es-CR"/>
        </w:rPr>
        <w:t>indemnización por daño</w:t>
      </w:r>
      <w:r w:rsidR="00F42163" w:rsidRPr="00E4274F">
        <w:rPr>
          <w:rFonts w:ascii="Verdana" w:hAnsi="Verdana"/>
          <w:sz w:val="20"/>
          <w:szCs w:val="20"/>
          <w:lang w:val="es-CR"/>
        </w:rPr>
        <w:t>s</w:t>
      </w:r>
      <w:r w:rsidR="000F46D2" w:rsidRPr="00E4274F">
        <w:rPr>
          <w:rFonts w:ascii="Verdana" w:hAnsi="Verdana"/>
          <w:sz w:val="20"/>
          <w:szCs w:val="20"/>
          <w:lang w:val="es-CR"/>
        </w:rPr>
        <w:t xml:space="preserve"> material</w:t>
      </w:r>
      <w:r w:rsidR="00F42163" w:rsidRPr="00E4274F">
        <w:rPr>
          <w:rFonts w:ascii="Verdana" w:hAnsi="Verdana"/>
          <w:sz w:val="20"/>
          <w:szCs w:val="20"/>
          <w:lang w:val="es-CR"/>
        </w:rPr>
        <w:t>es</w:t>
      </w:r>
      <w:r w:rsidR="000F46D2" w:rsidRPr="00E4274F">
        <w:rPr>
          <w:rFonts w:ascii="Verdana" w:hAnsi="Verdana"/>
          <w:sz w:val="20"/>
          <w:szCs w:val="20"/>
          <w:lang w:val="es-CR"/>
        </w:rPr>
        <w:t xml:space="preserve"> e inmaterial</w:t>
      </w:r>
      <w:r w:rsidR="00F42163" w:rsidRPr="00E4274F">
        <w:rPr>
          <w:rFonts w:ascii="Verdana" w:hAnsi="Verdana"/>
          <w:sz w:val="20"/>
          <w:szCs w:val="20"/>
          <w:lang w:val="es-CR"/>
        </w:rPr>
        <w:t>es</w:t>
      </w:r>
      <w:r w:rsidR="000F46D2" w:rsidRPr="00E4274F">
        <w:rPr>
          <w:rFonts w:ascii="Verdana" w:hAnsi="Verdana"/>
          <w:sz w:val="20"/>
          <w:szCs w:val="20"/>
          <w:lang w:val="es-CR"/>
        </w:rPr>
        <w:t xml:space="preserve"> y por el reintegro de costas y gastos</w:t>
      </w:r>
      <w:r w:rsidR="0013651F" w:rsidRPr="00E4274F">
        <w:rPr>
          <w:rFonts w:ascii="Verdana" w:hAnsi="Verdana"/>
          <w:sz w:val="20"/>
          <w:szCs w:val="20"/>
          <w:lang w:val="es-CR"/>
        </w:rPr>
        <w:t xml:space="preserve"> (</w:t>
      </w:r>
      <w:r w:rsidR="0013651F" w:rsidRPr="00E4274F">
        <w:rPr>
          <w:rFonts w:ascii="Verdana" w:hAnsi="Verdana"/>
          <w:i/>
          <w:sz w:val="20"/>
          <w:szCs w:val="20"/>
          <w:lang w:val="es-CR"/>
        </w:rPr>
        <w:t>punto dispositivo décimo primero de la Sentencia</w:t>
      </w:r>
      <w:r w:rsidR="0013651F" w:rsidRPr="00E4274F">
        <w:rPr>
          <w:rFonts w:ascii="Verdana" w:hAnsi="Verdana"/>
          <w:sz w:val="20"/>
          <w:szCs w:val="20"/>
          <w:lang w:val="es-CR"/>
        </w:rPr>
        <w:t>).</w:t>
      </w:r>
    </w:p>
    <w:p w:rsidR="00E4274F" w:rsidRPr="00E4274F" w:rsidRDefault="00E4274F" w:rsidP="00E4274F">
      <w:pPr>
        <w:tabs>
          <w:tab w:val="left" w:pos="567"/>
        </w:tabs>
        <w:spacing w:before="120" w:after="120" w:line="240" w:lineRule="auto"/>
        <w:jc w:val="both"/>
        <w:rPr>
          <w:rFonts w:ascii="Verdana" w:hAnsi="Verdana"/>
          <w:sz w:val="20"/>
          <w:lang w:val="es-CR"/>
        </w:rPr>
      </w:pPr>
    </w:p>
    <w:p w:rsidR="009F78E3" w:rsidRPr="00361C43" w:rsidRDefault="009F78E3" w:rsidP="001804DA">
      <w:pPr>
        <w:numPr>
          <w:ilvl w:val="0"/>
          <w:numId w:val="4"/>
        </w:numPr>
        <w:tabs>
          <w:tab w:val="left" w:pos="567"/>
        </w:tabs>
        <w:spacing w:before="120" w:after="120" w:line="240" w:lineRule="auto"/>
        <w:ind w:left="0" w:hanging="11"/>
        <w:jc w:val="both"/>
        <w:rPr>
          <w:rFonts w:ascii="Verdana" w:hAnsi="Verdana"/>
          <w:sz w:val="20"/>
          <w:lang w:val="es-CR"/>
        </w:rPr>
      </w:pPr>
      <w:r w:rsidRPr="009F78E3">
        <w:rPr>
          <w:rFonts w:ascii="Verdana" w:hAnsi="Verdana"/>
          <w:sz w:val="20"/>
          <w:szCs w:val="20"/>
          <w:lang w:val="es-CR"/>
        </w:rPr>
        <w:t xml:space="preserve">Disponer que el Estado presente a la Corte Interamericana de Derechos Humanos, a más tardar el </w:t>
      </w:r>
      <w:r w:rsidR="00BA702C">
        <w:rPr>
          <w:rFonts w:ascii="Verdana" w:hAnsi="Verdana"/>
          <w:sz w:val="20"/>
          <w:szCs w:val="20"/>
          <w:lang w:val="es-CR"/>
        </w:rPr>
        <w:t>8 de septiembre</w:t>
      </w:r>
      <w:r w:rsidR="00361C43">
        <w:rPr>
          <w:rFonts w:ascii="Verdana" w:hAnsi="Verdana"/>
          <w:sz w:val="20"/>
          <w:szCs w:val="20"/>
          <w:lang w:val="es-CR"/>
        </w:rPr>
        <w:t xml:space="preserve"> </w:t>
      </w:r>
      <w:r w:rsidR="00520868">
        <w:rPr>
          <w:rFonts w:ascii="Verdana" w:hAnsi="Verdana"/>
          <w:sz w:val="20"/>
          <w:szCs w:val="20"/>
          <w:lang w:val="es-CR"/>
        </w:rPr>
        <w:t xml:space="preserve">de </w:t>
      </w:r>
      <w:r w:rsidR="00361C43">
        <w:rPr>
          <w:rFonts w:ascii="Verdana" w:hAnsi="Verdana"/>
          <w:sz w:val="20"/>
          <w:szCs w:val="20"/>
          <w:lang w:val="es-CR"/>
        </w:rPr>
        <w:t>2017</w:t>
      </w:r>
      <w:r w:rsidRPr="009F78E3">
        <w:rPr>
          <w:rFonts w:ascii="Verdana" w:hAnsi="Verdana"/>
          <w:sz w:val="20"/>
          <w:szCs w:val="20"/>
          <w:lang w:val="es-CR"/>
        </w:rPr>
        <w:t xml:space="preserve">, un </w:t>
      </w:r>
      <w:r w:rsidRPr="0099578D">
        <w:rPr>
          <w:rFonts w:ascii="Verdana" w:hAnsi="Verdana"/>
          <w:sz w:val="20"/>
          <w:szCs w:val="20"/>
          <w:lang w:val="es-CR"/>
        </w:rPr>
        <w:t>informe sobre el cumplimiento de la</w:t>
      </w:r>
      <w:r w:rsidR="00F9143D" w:rsidRPr="0099578D">
        <w:rPr>
          <w:rFonts w:ascii="Verdana" w:hAnsi="Verdana"/>
          <w:sz w:val="20"/>
          <w:szCs w:val="20"/>
          <w:lang w:val="es-CR"/>
        </w:rPr>
        <w:t>s reparaciones</w:t>
      </w:r>
      <w:r w:rsidRPr="0099578D">
        <w:rPr>
          <w:rFonts w:ascii="Verdana" w:hAnsi="Verdana"/>
          <w:sz w:val="20"/>
          <w:szCs w:val="20"/>
          <w:lang w:val="es-CR"/>
        </w:rPr>
        <w:t xml:space="preserve"> ordenada</w:t>
      </w:r>
      <w:r w:rsidR="00FA5F62" w:rsidRPr="0099578D">
        <w:rPr>
          <w:rFonts w:ascii="Verdana" w:hAnsi="Verdana"/>
          <w:sz w:val="20"/>
          <w:szCs w:val="20"/>
          <w:lang w:val="es-CR"/>
        </w:rPr>
        <w:t>s</w:t>
      </w:r>
      <w:r w:rsidRPr="0099578D">
        <w:rPr>
          <w:rFonts w:ascii="Verdana" w:hAnsi="Verdana"/>
          <w:sz w:val="20"/>
          <w:szCs w:val="20"/>
          <w:lang w:val="es-CR"/>
        </w:rPr>
        <w:t xml:space="preserve"> en</w:t>
      </w:r>
      <w:r w:rsidR="00F9143D" w:rsidRPr="0099578D">
        <w:rPr>
          <w:rFonts w:ascii="Verdana" w:hAnsi="Verdana"/>
          <w:sz w:val="20"/>
          <w:szCs w:val="20"/>
          <w:lang w:val="es-CR"/>
        </w:rPr>
        <w:t xml:space="preserve"> </w:t>
      </w:r>
      <w:r w:rsidRPr="0099578D">
        <w:rPr>
          <w:rFonts w:ascii="Verdana" w:hAnsi="Verdana"/>
          <w:sz w:val="20"/>
          <w:szCs w:val="20"/>
          <w:lang w:val="es-CR"/>
        </w:rPr>
        <w:t xml:space="preserve">la Sentencia. </w:t>
      </w:r>
    </w:p>
    <w:p w:rsidR="00E4274F" w:rsidRDefault="00E4274F" w:rsidP="00E4274F">
      <w:pPr>
        <w:tabs>
          <w:tab w:val="left" w:pos="567"/>
        </w:tabs>
        <w:spacing w:before="120" w:after="120" w:line="240" w:lineRule="auto"/>
        <w:jc w:val="both"/>
        <w:rPr>
          <w:rFonts w:ascii="Verdana" w:hAnsi="Verdana"/>
          <w:sz w:val="20"/>
          <w:lang w:val="es-CR"/>
        </w:rPr>
      </w:pPr>
    </w:p>
    <w:p w:rsidR="009F78E3" w:rsidRDefault="009F78E3" w:rsidP="001804DA">
      <w:pPr>
        <w:numPr>
          <w:ilvl w:val="0"/>
          <w:numId w:val="4"/>
        </w:numPr>
        <w:tabs>
          <w:tab w:val="left" w:pos="567"/>
        </w:tabs>
        <w:spacing w:before="120" w:after="120" w:line="240" w:lineRule="auto"/>
        <w:ind w:left="0" w:firstLine="0"/>
        <w:jc w:val="both"/>
        <w:rPr>
          <w:rFonts w:ascii="Verdana" w:hAnsi="Verdana"/>
          <w:sz w:val="20"/>
          <w:lang w:val="es-CR"/>
        </w:rPr>
      </w:pPr>
      <w:r w:rsidRPr="0099578D">
        <w:rPr>
          <w:rFonts w:ascii="Verdana" w:hAnsi="Verdana"/>
          <w:sz w:val="20"/>
          <w:lang w:val="es-CR"/>
        </w:rPr>
        <w:t xml:space="preserve">Disponer que </w:t>
      </w:r>
      <w:r w:rsidR="00361C43">
        <w:rPr>
          <w:rFonts w:ascii="Verdana" w:hAnsi="Verdana"/>
          <w:sz w:val="20"/>
          <w:lang w:val="es-CR"/>
        </w:rPr>
        <w:t>los</w:t>
      </w:r>
      <w:r w:rsidRPr="0099578D">
        <w:rPr>
          <w:rFonts w:ascii="Verdana" w:hAnsi="Verdana"/>
          <w:sz w:val="20"/>
          <w:lang w:val="es-CR"/>
        </w:rPr>
        <w:t xml:space="preserve"> representante</w:t>
      </w:r>
      <w:r w:rsidR="00361C43">
        <w:rPr>
          <w:rFonts w:ascii="Verdana" w:hAnsi="Verdana"/>
          <w:sz w:val="20"/>
          <w:lang w:val="es-CR"/>
        </w:rPr>
        <w:t>s</w:t>
      </w:r>
      <w:r w:rsidRPr="0099578D">
        <w:rPr>
          <w:rFonts w:ascii="Verdana" w:hAnsi="Verdana"/>
          <w:sz w:val="20"/>
          <w:lang w:val="es-CR"/>
        </w:rPr>
        <w:t xml:space="preserve"> de la</w:t>
      </w:r>
      <w:r w:rsidR="00361C43">
        <w:rPr>
          <w:rFonts w:ascii="Verdana" w:hAnsi="Verdana"/>
          <w:sz w:val="20"/>
          <w:lang w:val="es-CR"/>
        </w:rPr>
        <w:t>s</w:t>
      </w:r>
      <w:r w:rsidRPr="0099578D">
        <w:rPr>
          <w:rFonts w:ascii="Verdana" w:hAnsi="Verdana"/>
          <w:sz w:val="20"/>
          <w:lang w:val="es-CR"/>
        </w:rPr>
        <w:t xml:space="preserve"> víctima</w:t>
      </w:r>
      <w:r w:rsidR="00361C43">
        <w:rPr>
          <w:rFonts w:ascii="Verdana" w:hAnsi="Verdana"/>
          <w:sz w:val="20"/>
          <w:lang w:val="es-CR"/>
        </w:rPr>
        <w:t>s</w:t>
      </w:r>
      <w:r w:rsidRPr="0099578D">
        <w:rPr>
          <w:rFonts w:ascii="Verdana" w:hAnsi="Verdana"/>
          <w:sz w:val="20"/>
          <w:lang w:val="es-CR"/>
        </w:rPr>
        <w:t xml:space="preserve"> y la Comisión Interamericana de Derechos Humanos presenten observaciones al informe del Estado mencionado</w:t>
      </w:r>
      <w:r w:rsidRPr="009F78E3">
        <w:rPr>
          <w:rFonts w:ascii="Verdana" w:hAnsi="Verdana"/>
          <w:sz w:val="20"/>
          <w:lang w:val="es-CR"/>
        </w:rPr>
        <w:t xml:space="preserve"> en el punto resolutivo anterior, en los plazos de cuatro y seis semanas, respectivamente, contados a partir de la recepción del informe.</w:t>
      </w:r>
    </w:p>
    <w:p w:rsidR="00E4274F" w:rsidRDefault="00E4274F" w:rsidP="00E4274F">
      <w:pPr>
        <w:tabs>
          <w:tab w:val="left" w:pos="567"/>
        </w:tabs>
        <w:spacing w:before="120" w:after="120" w:line="240" w:lineRule="auto"/>
        <w:jc w:val="both"/>
        <w:rPr>
          <w:rFonts w:ascii="Verdana" w:hAnsi="Verdana"/>
          <w:sz w:val="20"/>
          <w:lang w:val="es-CR"/>
        </w:rPr>
      </w:pPr>
    </w:p>
    <w:p w:rsidR="009F78E3" w:rsidRDefault="009F78E3" w:rsidP="001804DA">
      <w:pPr>
        <w:numPr>
          <w:ilvl w:val="0"/>
          <w:numId w:val="4"/>
        </w:numPr>
        <w:tabs>
          <w:tab w:val="left" w:pos="567"/>
        </w:tabs>
        <w:spacing w:before="120" w:after="120" w:line="240" w:lineRule="auto"/>
        <w:ind w:left="0" w:firstLine="0"/>
        <w:jc w:val="both"/>
        <w:rPr>
          <w:rFonts w:ascii="Verdana" w:hAnsi="Verdana"/>
          <w:sz w:val="20"/>
          <w:lang w:val="es-CR"/>
        </w:rPr>
      </w:pPr>
      <w:r w:rsidRPr="009F78E3">
        <w:rPr>
          <w:rFonts w:ascii="Verdana" w:hAnsi="Verdana"/>
          <w:sz w:val="20"/>
          <w:lang w:val="es-CR"/>
        </w:rPr>
        <w:t>Disponer que la Secretaría de la Corte notifique la presente Resolución al Estado, a los representantes de la</w:t>
      </w:r>
      <w:r w:rsidR="00D0109A">
        <w:rPr>
          <w:rFonts w:ascii="Verdana" w:hAnsi="Verdana"/>
          <w:sz w:val="20"/>
          <w:lang w:val="es-CR"/>
        </w:rPr>
        <w:t>s</w:t>
      </w:r>
      <w:r w:rsidRPr="009F78E3">
        <w:rPr>
          <w:rFonts w:ascii="Verdana" w:hAnsi="Verdana"/>
          <w:sz w:val="20"/>
          <w:lang w:val="es-CR"/>
        </w:rPr>
        <w:t xml:space="preserve"> víctima</w:t>
      </w:r>
      <w:r w:rsidR="00D0109A">
        <w:rPr>
          <w:rFonts w:ascii="Verdana" w:hAnsi="Verdana"/>
          <w:sz w:val="20"/>
          <w:lang w:val="es-CR"/>
        </w:rPr>
        <w:t>s</w:t>
      </w:r>
      <w:r w:rsidRPr="009F78E3">
        <w:rPr>
          <w:rFonts w:ascii="Verdana" w:hAnsi="Verdana"/>
          <w:sz w:val="20"/>
          <w:lang w:val="es-CR"/>
        </w:rPr>
        <w:t xml:space="preserve"> y a la Comisión Interamericana de Derechos Humanos.</w:t>
      </w:r>
    </w:p>
    <w:p w:rsidR="00D34527" w:rsidRDefault="00D34527" w:rsidP="00D34527">
      <w:pPr>
        <w:pStyle w:val="Prrafodelista"/>
        <w:rPr>
          <w:rFonts w:ascii="Verdana" w:hAnsi="Verdana"/>
          <w:sz w:val="20"/>
          <w:lang w:val="es-CR"/>
        </w:rPr>
      </w:pPr>
    </w:p>
    <w:p w:rsidR="002A0305" w:rsidRPr="002A0305" w:rsidRDefault="002A0305" w:rsidP="002A0305">
      <w:pPr>
        <w:keepNext/>
        <w:spacing w:after="0" w:line="240" w:lineRule="auto"/>
        <w:jc w:val="both"/>
        <w:outlineLvl w:val="0"/>
        <w:rPr>
          <w:rFonts w:ascii="Verdana" w:eastAsia="Times" w:hAnsi="Verdana" w:cs="Verdana"/>
          <w:b/>
          <w:bCs/>
          <w:sz w:val="20"/>
          <w:szCs w:val="20"/>
          <w:lang w:val="es-ES"/>
        </w:rPr>
      </w:pPr>
      <w:r w:rsidRPr="002A0305">
        <w:rPr>
          <w:rFonts w:ascii="Verdana" w:eastAsia="Times" w:hAnsi="Verdana" w:cs="Courier New"/>
          <w:noProof/>
          <w:sz w:val="20"/>
          <w:szCs w:val="20"/>
          <w:lang w:val="es-AR"/>
        </w:rPr>
        <w:lastRenderedPageBreak/>
        <w:t xml:space="preserve">Corte IDH. </w:t>
      </w:r>
      <w:r w:rsidRPr="002A0305">
        <w:rPr>
          <w:rFonts w:ascii="Verdana" w:eastAsia="Times" w:hAnsi="Verdana"/>
          <w:bCs/>
          <w:i/>
          <w:sz w:val="20"/>
          <w:szCs w:val="20"/>
          <w:lang w:val="es-CR"/>
        </w:rPr>
        <w:t>Caso Pacheco Teruel y otros Vs. Honduras</w:t>
      </w:r>
      <w:r w:rsidRPr="002A0305">
        <w:rPr>
          <w:rFonts w:ascii="Verdana" w:eastAsia="Times" w:hAnsi="Verdana"/>
          <w:i/>
          <w:sz w:val="20"/>
          <w:szCs w:val="20"/>
          <w:lang w:val="es-ES"/>
        </w:rPr>
        <w:t>.</w:t>
      </w:r>
      <w:r w:rsidRPr="002A0305">
        <w:rPr>
          <w:rFonts w:ascii="Verdana" w:eastAsia="Times" w:hAnsi="Verdana" w:cs="Arial"/>
          <w:i/>
          <w:sz w:val="20"/>
          <w:szCs w:val="20"/>
          <w:lang w:val="es-CR"/>
        </w:rPr>
        <w:t xml:space="preserve"> </w:t>
      </w:r>
      <w:r w:rsidRPr="002A0305">
        <w:rPr>
          <w:rFonts w:ascii="Verdana" w:eastAsia="Times" w:hAnsi="Verdana"/>
          <w:sz w:val="20"/>
          <w:szCs w:val="20"/>
          <w:lang w:val="es-CR"/>
        </w:rPr>
        <w:t xml:space="preserve">Supervisión de cumplimiento de sentencia. </w:t>
      </w:r>
      <w:r w:rsidRPr="002A0305">
        <w:rPr>
          <w:rFonts w:ascii="Verdana" w:eastAsia="Times" w:hAnsi="Verdana"/>
          <w:sz w:val="20"/>
          <w:szCs w:val="20"/>
          <w:lang w:val="es-ES"/>
        </w:rPr>
        <w:t xml:space="preserve">Resolución de la Corte Interamericana de Derechos Humanos de </w:t>
      </w:r>
      <w:r w:rsidRPr="002A0305">
        <w:rPr>
          <w:rFonts w:ascii="Verdana" w:eastAsia="Times" w:hAnsi="Verdana"/>
          <w:sz w:val="20"/>
          <w:szCs w:val="20"/>
          <w:lang w:val="es-CR"/>
        </w:rPr>
        <w:t>23 de mayo de 2017</w:t>
      </w:r>
      <w:r w:rsidRPr="002A0305">
        <w:rPr>
          <w:rFonts w:ascii="Verdana" w:eastAsia="Times" w:hAnsi="Verdana"/>
          <w:sz w:val="20"/>
          <w:szCs w:val="20"/>
          <w:lang w:val="es-ES"/>
        </w:rPr>
        <w:t xml:space="preserve">. </w:t>
      </w:r>
    </w:p>
    <w:p w:rsidR="002A0305" w:rsidRPr="002A0305" w:rsidRDefault="002A0305" w:rsidP="002A0305">
      <w:pPr>
        <w:spacing w:after="0" w:line="240" w:lineRule="auto"/>
        <w:jc w:val="center"/>
        <w:rPr>
          <w:rFonts w:ascii="Verdana" w:eastAsia="Times" w:hAnsi="Verdana"/>
          <w:sz w:val="20"/>
          <w:szCs w:val="20"/>
          <w:lang w:val="es-ES"/>
        </w:rPr>
      </w:pPr>
    </w:p>
    <w:p w:rsidR="002A0305" w:rsidRPr="002A0305" w:rsidRDefault="002A0305" w:rsidP="002A0305">
      <w:pPr>
        <w:widowControl w:val="0"/>
        <w:spacing w:after="0" w:line="240" w:lineRule="auto"/>
        <w:jc w:val="center"/>
        <w:rPr>
          <w:rFonts w:ascii="Verdana" w:eastAsia="Verdana" w:hAnsi="Verdana" w:cs="Verdana"/>
          <w:b/>
          <w:color w:val="000000"/>
          <w:sz w:val="20"/>
          <w:szCs w:val="20"/>
          <w:lang w:val="es-MX"/>
        </w:rPr>
      </w:pPr>
    </w:p>
    <w:p w:rsidR="002A0305" w:rsidRPr="002A0305" w:rsidRDefault="002A0305" w:rsidP="002A0305">
      <w:pPr>
        <w:spacing w:after="0" w:line="240" w:lineRule="auto"/>
        <w:jc w:val="center"/>
        <w:rPr>
          <w:rFonts w:ascii="Verdana" w:hAnsi="Verdana"/>
          <w:b/>
          <w:sz w:val="20"/>
          <w:szCs w:val="16"/>
          <w:lang w:val="es-CR"/>
        </w:rPr>
      </w:pPr>
    </w:p>
    <w:p w:rsidR="002A0305" w:rsidRPr="002A0305" w:rsidRDefault="002A0305" w:rsidP="002A0305">
      <w:pPr>
        <w:spacing w:after="0" w:line="240" w:lineRule="auto"/>
        <w:rPr>
          <w:rFonts w:ascii="Verdana" w:eastAsia="Times" w:hAnsi="Verdana"/>
          <w:sz w:val="20"/>
          <w:szCs w:val="20"/>
          <w:lang w:val="es-CR"/>
        </w:rPr>
      </w:pPr>
    </w:p>
    <w:p w:rsidR="002A0305" w:rsidRPr="002A0305" w:rsidRDefault="002A0305" w:rsidP="002A0305">
      <w:pPr>
        <w:spacing w:after="0" w:line="240" w:lineRule="auto"/>
        <w:jc w:val="center"/>
        <w:rPr>
          <w:rFonts w:ascii="Verdana" w:eastAsia="Times" w:hAnsi="Verdana"/>
          <w:sz w:val="20"/>
          <w:szCs w:val="20"/>
          <w:lang w:val="es-ES"/>
        </w:rPr>
      </w:pPr>
    </w:p>
    <w:p w:rsidR="002A0305" w:rsidRPr="002A0305" w:rsidRDefault="002A0305" w:rsidP="002A0305">
      <w:pPr>
        <w:spacing w:after="0" w:line="240" w:lineRule="auto"/>
        <w:jc w:val="center"/>
        <w:rPr>
          <w:rFonts w:ascii="Verdana" w:eastAsia="Times" w:hAnsi="Verdana"/>
          <w:sz w:val="20"/>
          <w:szCs w:val="20"/>
          <w:lang w:val="es-ES"/>
        </w:rPr>
      </w:pPr>
      <w:r w:rsidRPr="002A0305">
        <w:rPr>
          <w:rFonts w:ascii="Verdana" w:eastAsia="Times" w:hAnsi="Verdana"/>
          <w:sz w:val="20"/>
          <w:szCs w:val="20"/>
          <w:lang w:val="es-ES"/>
        </w:rPr>
        <w:t xml:space="preserve">Eduardo Ferrer Mac-Gregor Poisot </w:t>
      </w:r>
    </w:p>
    <w:p w:rsidR="002A0305" w:rsidRPr="002A0305" w:rsidRDefault="002A0305" w:rsidP="002A0305">
      <w:pPr>
        <w:spacing w:after="0" w:line="240" w:lineRule="auto"/>
        <w:jc w:val="center"/>
        <w:rPr>
          <w:rFonts w:ascii="Verdana" w:eastAsia="Times" w:hAnsi="Verdana"/>
          <w:sz w:val="20"/>
          <w:szCs w:val="20"/>
          <w:lang w:val="es-ES"/>
        </w:rPr>
      </w:pPr>
      <w:r w:rsidRPr="002A0305">
        <w:rPr>
          <w:rFonts w:ascii="Verdana" w:eastAsia="Times" w:hAnsi="Verdana"/>
          <w:sz w:val="20"/>
          <w:szCs w:val="20"/>
          <w:lang w:val="es-ES"/>
        </w:rPr>
        <w:t>Presidente en Ejercicio</w:t>
      </w: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tabs>
          <w:tab w:val="left" w:pos="1485"/>
        </w:tabs>
        <w:spacing w:after="0" w:line="240" w:lineRule="auto"/>
        <w:jc w:val="both"/>
        <w:rPr>
          <w:rFonts w:ascii="Verdana" w:eastAsia="Times" w:hAnsi="Verdana"/>
          <w:sz w:val="20"/>
          <w:szCs w:val="20"/>
          <w:lang w:val="es-ES"/>
        </w:rPr>
      </w:pPr>
      <w:r w:rsidRPr="002A0305">
        <w:rPr>
          <w:rFonts w:ascii="Verdana" w:eastAsia="Times" w:hAnsi="Verdana"/>
          <w:sz w:val="20"/>
          <w:szCs w:val="20"/>
          <w:lang w:val="es-ES"/>
        </w:rPr>
        <w:tab/>
      </w: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r w:rsidRPr="002A0305">
        <w:rPr>
          <w:rFonts w:ascii="Verdana" w:eastAsia="Times" w:hAnsi="Verdana"/>
          <w:sz w:val="20"/>
          <w:szCs w:val="20"/>
          <w:lang w:val="es-ES"/>
        </w:rPr>
        <w:t xml:space="preserve">Eduardo Vio Grossi </w:t>
      </w:r>
      <w:r w:rsidRPr="002A0305">
        <w:rPr>
          <w:rFonts w:ascii="Verdana" w:eastAsia="Times" w:hAnsi="Verdana"/>
          <w:sz w:val="20"/>
          <w:szCs w:val="20"/>
          <w:lang w:val="es-ES"/>
        </w:rPr>
        <w:tab/>
      </w:r>
      <w:r w:rsidRPr="002A0305">
        <w:rPr>
          <w:rFonts w:ascii="Verdana" w:eastAsia="Times" w:hAnsi="Verdana"/>
          <w:sz w:val="20"/>
          <w:szCs w:val="20"/>
          <w:lang w:val="es-ES"/>
        </w:rPr>
        <w:tab/>
      </w:r>
      <w:r w:rsidRPr="002A0305">
        <w:rPr>
          <w:rFonts w:ascii="Verdana" w:eastAsia="Times" w:hAnsi="Verdana"/>
          <w:sz w:val="20"/>
          <w:szCs w:val="20"/>
          <w:lang w:val="es-ES"/>
        </w:rPr>
        <w:tab/>
      </w:r>
      <w:r w:rsidRPr="002A0305">
        <w:rPr>
          <w:rFonts w:ascii="Verdana" w:eastAsia="Times" w:hAnsi="Verdana"/>
          <w:sz w:val="20"/>
          <w:szCs w:val="20"/>
          <w:lang w:val="es-ES"/>
        </w:rPr>
        <w:tab/>
      </w:r>
      <w:r w:rsidRPr="002A0305">
        <w:rPr>
          <w:rFonts w:ascii="Verdana" w:eastAsia="Times" w:hAnsi="Verdana"/>
          <w:sz w:val="20"/>
          <w:szCs w:val="20"/>
          <w:lang w:val="es-ES"/>
        </w:rPr>
        <w:tab/>
      </w:r>
      <w:r w:rsidRPr="002A0305">
        <w:rPr>
          <w:rFonts w:ascii="Verdana" w:eastAsia="Times" w:hAnsi="Verdana"/>
          <w:sz w:val="20"/>
          <w:szCs w:val="20"/>
          <w:lang w:val="es-ES"/>
        </w:rPr>
        <w:tab/>
        <w:t>Humberto Antonio Sierra Porto</w:t>
      </w: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r w:rsidRPr="002A0305">
        <w:rPr>
          <w:rFonts w:ascii="Verdana" w:eastAsia="Times" w:hAnsi="Verdana"/>
          <w:sz w:val="20"/>
          <w:szCs w:val="20"/>
          <w:lang w:val="es-ES"/>
        </w:rPr>
        <w:t xml:space="preserve">Elizabeth Odio Benito </w:t>
      </w:r>
      <w:r w:rsidRPr="002A0305">
        <w:rPr>
          <w:rFonts w:ascii="Verdana" w:eastAsia="Times" w:hAnsi="Verdana"/>
          <w:sz w:val="20"/>
          <w:szCs w:val="20"/>
          <w:lang w:val="es-ES"/>
        </w:rPr>
        <w:tab/>
      </w:r>
      <w:r w:rsidRPr="002A0305">
        <w:rPr>
          <w:rFonts w:ascii="Verdana" w:eastAsia="Times" w:hAnsi="Verdana"/>
          <w:sz w:val="20"/>
          <w:szCs w:val="20"/>
          <w:lang w:val="es-ES"/>
        </w:rPr>
        <w:tab/>
      </w:r>
      <w:r w:rsidRPr="002A0305">
        <w:rPr>
          <w:rFonts w:ascii="Verdana" w:eastAsia="Times" w:hAnsi="Verdana"/>
          <w:sz w:val="20"/>
          <w:szCs w:val="20"/>
          <w:lang w:val="es-ES"/>
        </w:rPr>
        <w:tab/>
      </w:r>
      <w:r w:rsidRPr="002A0305">
        <w:rPr>
          <w:rFonts w:ascii="Verdana" w:eastAsia="Times" w:hAnsi="Verdana"/>
          <w:sz w:val="20"/>
          <w:szCs w:val="20"/>
          <w:lang w:val="es-ES"/>
        </w:rPr>
        <w:tab/>
      </w:r>
      <w:r w:rsidRPr="002A0305">
        <w:rPr>
          <w:rFonts w:ascii="Verdana" w:eastAsia="Times" w:hAnsi="Verdana"/>
          <w:sz w:val="20"/>
          <w:szCs w:val="20"/>
          <w:lang w:val="es-ES"/>
        </w:rPr>
        <w:tab/>
        <w:t>Eugenio Raúl Zaffaroni</w:t>
      </w: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rPr>
          <w:rFonts w:ascii="Verdana" w:eastAsia="Times" w:hAnsi="Verdana"/>
          <w:sz w:val="20"/>
          <w:szCs w:val="20"/>
          <w:lang w:val="es-ES"/>
        </w:rPr>
      </w:pPr>
      <w:r w:rsidRPr="002A0305">
        <w:rPr>
          <w:rFonts w:ascii="Verdana" w:eastAsia="Times" w:hAnsi="Verdana"/>
          <w:sz w:val="20"/>
          <w:szCs w:val="20"/>
          <w:lang w:val="es-ES"/>
        </w:rPr>
        <w:tab/>
      </w: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center"/>
        <w:rPr>
          <w:rFonts w:ascii="Verdana" w:eastAsia="Times" w:hAnsi="Verdana"/>
          <w:sz w:val="20"/>
          <w:szCs w:val="20"/>
          <w:lang w:val="es-ES"/>
        </w:rPr>
      </w:pPr>
      <w:r w:rsidRPr="002A0305">
        <w:rPr>
          <w:rFonts w:ascii="Verdana" w:eastAsia="Times" w:hAnsi="Verdana"/>
          <w:sz w:val="20"/>
          <w:szCs w:val="20"/>
          <w:lang w:val="es-ES"/>
        </w:rPr>
        <w:t>Pablo Saavedra Alessandri</w:t>
      </w:r>
    </w:p>
    <w:p w:rsidR="002A0305" w:rsidRPr="002A0305" w:rsidRDefault="002A0305" w:rsidP="002A0305">
      <w:pPr>
        <w:spacing w:after="0" w:line="240" w:lineRule="auto"/>
        <w:jc w:val="center"/>
        <w:rPr>
          <w:rFonts w:ascii="Verdana" w:eastAsia="Times" w:hAnsi="Verdana"/>
          <w:sz w:val="20"/>
          <w:szCs w:val="20"/>
          <w:lang w:val="es-ES"/>
        </w:rPr>
      </w:pPr>
      <w:r w:rsidRPr="002A0305">
        <w:rPr>
          <w:rFonts w:ascii="Verdana" w:eastAsia="Times" w:hAnsi="Verdana"/>
          <w:sz w:val="20"/>
          <w:szCs w:val="20"/>
          <w:lang w:val="es-ES"/>
        </w:rPr>
        <w:t>Secretario</w:t>
      </w:r>
    </w:p>
    <w:p w:rsidR="002A0305" w:rsidRPr="002A0305" w:rsidRDefault="002A0305" w:rsidP="002A0305">
      <w:pPr>
        <w:spacing w:after="0" w:line="240" w:lineRule="auto"/>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r w:rsidRPr="002A0305">
        <w:rPr>
          <w:rFonts w:ascii="Verdana" w:eastAsia="Times" w:hAnsi="Verdana"/>
          <w:sz w:val="20"/>
          <w:szCs w:val="20"/>
          <w:lang w:val="es-ES"/>
        </w:rPr>
        <w:t>Comuníquese y ejecútese,</w:t>
      </w: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ind w:left="3540" w:firstLine="708"/>
        <w:jc w:val="center"/>
        <w:rPr>
          <w:rFonts w:ascii="Verdana" w:eastAsia="Times" w:hAnsi="Verdana"/>
          <w:sz w:val="20"/>
          <w:szCs w:val="20"/>
          <w:lang w:val="es-ES"/>
        </w:rPr>
      </w:pPr>
      <w:r w:rsidRPr="002A0305">
        <w:rPr>
          <w:rFonts w:ascii="Verdana" w:eastAsia="Times" w:hAnsi="Verdana"/>
          <w:sz w:val="20"/>
          <w:szCs w:val="20"/>
          <w:lang w:val="es-ES"/>
        </w:rPr>
        <w:t xml:space="preserve">Eduardo Ferrer Mac-Gregor Poisot </w:t>
      </w:r>
    </w:p>
    <w:p w:rsidR="002A0305" w:rsidRPr="002A0305" w:rsidRDefault="002A0305" w:rsidP="002A0305">
      <w:pPr>
        <w:spacing w:after="0" w:line="240" w:lineRule="auto"/>
        <w:ind w:left="3540" w:firstLine="708"/>
        <w:jc w:val="center"/>
        <w:rPr>
          <w:rFonts w:ascii="Verdana" w:eastAsia="Times" w:hAnsi="Verdana"/>
          <w:sz w:val="20"/>
          <w:szCs w:val="20"/>
          <w:lang w:val="es-ES"/>
        </w:rPr>
      </w:pPr>
      <w:r w:rsidRPr="002A0305">
        <w:rPr>
          <w:rFonts w:ascii="Verdana" w:eastAsia="Times" w:hAnsi="Verdana"/>
          <w:sz w:val="20"/>
          <w:szCs w:val="20"/>
          <w:lang w:val="es-ES"/>
        </w:rPr>
        <w:t>Presidente en Ejercicio</w:t>
      </w: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p>
    <w:p w:rsidR="002A0305" w:rsidRPr="002A0305" w:rsidRDefault="002A0305" w:rsidP="002A0305">
      <w:pPr>
        <w:spacing w:after="0" w:line="240" w:lineRule="auto"/>
        <w:jc w:val="both"/>
        <w:rPr>
          <w:rFonts w:ascii="Verdana" w:eastAsia="Times" w:hAnsi="Verdana"/>
          <w:sz w:val="20"/>
          <w:szCs w:val="20"/>
          <w:lang w:val="es-ES"/>
        </w:rPr>
      </w:pPr>
      <w:r w:rsidRPr="002A0305">
        <w:rPr>
          <w:rFonts w:ascii="Verdana" w:eastAsia="Times" w:hAnsi="Verdana"/>
          <w:sz w:val="20"/>
          <w:szCs w:val="20"/>
          <w:lang w:val="es-ES"/>
        </w:rPr>
        <w:t>Pablo Saavedra Alessandri</w:t>
      </w:r>
    </w:p>
    <w:p w:rsidR="002A0305" w:rsidRPr="002A0305" w:rsidRDefault="002A0305" w:rsidP="002A0305">
      <w:pPr>
        <w:spacing w:after="0" w:line="240" w:lineRule="auto"/>
        <w:rPr>
          <w:rFonts w:ascii="Verdana" w:eastAsia="Times" w:hAnsi="Verdana"/>
          <w:sz w:val="20"/>
          <w:szCs w:val="20"/>
          <w:lang w:val="es-CR"/>
        </w:rPr>
      </w:pPr>
      <w:r w:rsidRPr="002A0305">
        <w:rPr>
          <w:rFonts w:ascii="Verdana" w:eastAsia="Times" w:hAnsi="Verdana"/>
          <w:sz w:val="20"/>
          <w:szCs w:val="20"/>
          <w:lang w:val="es-ES"/>
        </w:rPr>
        <w:tab/>
      </w:r>
      <w:r w:rsidRPr="002A0305">
        <w:rPr>
          <w:rFonts w:ascii="Verdana" w:eastAsia="Times" w:hAnsi="Verdana"/>
          <w:sz w:val="20"/>
          <w:szCs w:val="20"/>
          <w:lang w:val="es-CR"/>
        </w:rPr>
        <w:t>Secretario</w:t>
      </w:r>
    </w:p>
    <w:p w:rsidR="002A0305" w:rsidRPr="002A0305" w:rsidRDefault="002A0305" w:rsidP="002A0305">
      <w:pPr>
        <w:spacing w:after="0" w:line="240" w:lineRule="auto"/>
        <w:jc w:val="center"/>
        <w:rPr>
          <w:rFonts w:ascii="Verdana" w:eastAsia="Times" w:hAnsi="Verdana"/>
          <w:sz w:val="20"/>
          <w:szCs w:val="20"/>
          <w:lang w:val="es-CR"/>
        </w:rPr>
      </w:pPr>
    </w:p>
    <w:p w:rsidR="00D34527" w:rsidRDefault="00D34527" w:rsidP="00D34527">
      <w:pPr>
        <w:tabs>
          <w:tab w:val="left" w:pos="567"/>
        </w:tabs>
        <w:spacing w:before="120" w:after="120" w:line="240" w:lineRule="auto"/>
        <w:jc w:val="both"/>
        <w:rPr>
          <w:rFonts w:ascii="Verdana" w:hAnsi="Verdana"/>
          <w:sz w:val="20"/>
          <w:lang w:val="es-CR"/>
        </w:rPr>
      </w:pPr>
    </w:p>
    <w:sectPr w:rsidR="00D34527" w:rsidSect="00BA702C">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DB7" w:rsidRDefault="00276DB7" w:rsidP="005A1B3D">
      <w:pPr>
        <w:spacing w:after="0" w:line="240" w:lineRule="auto"/>
      </w:pPr>
      <w:r>
        <w:separator/>
      </w:r>
    </w:p>
  </w:endnote>
  <w:endnote w:type="continuationSeparator" w:id="0">
    <w:p w:rsidR="00276DB7" w:rsidRDefault="00276DB7"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01F" w:rsidRDefault="001B501F" w:rsidP="0006620E">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DB7" w:rsidRDefault="00276DB7" w:rsidP="005A1B3D">
      <w:pPr>
        <w:spacing w:after="0" w:line="240" w:lineRule="auto"/>
      </w:pPr>
      <w:r>
        <w:separator/>
      </w:r>
    </w:p>
  </w:footnote>
  <w:footnote w:type="continuationSeparator" w:id="0">
    <w:p w:rsidR="00276DB7" w:rsidRDefault="00276DB7" w:rsidP="005A1B3D">
      <w:pPr>
        <w:spacing w:after="0" w:line="240" w:lineRule="auto"/>
      </w:pPr>
      <w:r>
        <w:continuationSeparator/>
      </w:r>
    </w:p>
  </w:footnote>
  <w:footnote w:id="1">
    <w:p w:rsidR="00430F6E" w:rsidRPr="00C21C34" w:rsidRDefault="00430F6E" w:rsidP="00C21C34">
      <w:pPr>
        <w:pStyle w:val="Textonotapie"/>
        <w:jc w:val="both"/>
        <w:rPr>
          <w:rFonts w:ascii="Verdana" w:hAnsi="Verdana"/>
          <w:color w:val="000000"/>
          <w:sz w:val="16"/>
          <w:szCs w:val="16"/>
          <w:lang w:val="es-CR"/>
        </w:rPr>
      </w:pPr>
      <w:r w:rsidRPr="00C21C34">
        <w:rPr>
          <w:rFonts w:ascii="Verdana" w:hAnsi="Verdana"/>
          <w:color w:val="000000"/>
          <w:sz w:val="16"/>
          <w:szCs w:val="16"/>
          <w:lang w:val="es-CR"/>
        </w:rPr>
        <w:t>*</w:t>
      </w:r>
      <w:r w:rsidRPr="00C21C34">
        <w:rPr>
          <w:rFonts w:ascii="Verdana" w:hAnsi="Verdana"/>
          <w:color w:val="000000"/>
          <w:sz w:val="16"/>
          <w:szCs w:val="16"/>
          <w:lang w:val="es-CR"/>
        </w:rPr>
        <w:tab/>
      </w:r>
      <w:r w:rsidR="00D97D92" w:rsidRPr="00C21C34">
        <w:rPr>
          <w:rFonts w:ascii="Verdana" w:hAnsi="Verdana"/>
          <w:sz w:val="16"/>
          <w:szCs w:val="16"/>
          <w:lang w:val="es-CR"/>
        </w:rPr>
        <w:t xml:space="preserve">El </w:t>
      </w:r>
      <w:r w:rsidR="000F248B" w:rsidRPr="00C21C34">
        <w:rPr>
          <w:rFonts w:ascii="Verdana" w:hAnsi="Verdana"/>
          <w:sz w:val="16"/>
          <w:szCs w:val="16"/>
          <w:lang w:val="es-CR"/>
        </w:rPr>
        <w:t xml:space="preserve">Presidente </w:t>
      </w:r>
      <w:r w:rsidR="00D97D92" w:rsidRPr="00C21C34">
        <w:rPr>
          <w:rFonts w:ascii="Verdana" w:hAnsi="Verdana"/>
          <w:sz w:val="16"/>
          <w:szCs w:val="16"/>
          <w:lang w:val="es-CR"/>
        </w:rPr>
        <w:t xml:space="preserve">Juez Roberto </w:t>
      </w:r>
      <w:r w:rsidR="00FE19DF" w:rsidRPr="00C21C34">
        <w:rPr>
          <w:rFonts w:ascii="Verdana" w:hAnsi="Verdana"/>
          <w:sz w:val="16"/>
          <w:szCs w:val="16"/>
          <w:lang w:val="es-CR"/>
        </w:rPr>
        <w:t xml:space="preserve">F. </w:t>
      </w:r>
      <w:r w:rsidR="00D97D92" w:rsidRPr="00C21C34">
        <w:rPr>
          <w:rFonts w:ascii="Verdana" w:hAnsi="Verdana"/>
          <w:sz w:val="16"/>
          <w:szCs w:val="16"/>
          <w:lang w:val="es-CR"/>
        </w:rPr>
        <w:t>Caldas y</w:t>
      </w:r>
      <w:r w:rsidRPr="00C21C34">
        <w:rPr>
          <w:rFonts w:ascii="Verdana" w:hAnsi="Verdana"/>
          <w:sz w:val="16"/>
          <w:szCs w:val="16"/>
          <w:lang w:val="es-CR"/>
        </w:rPr>
        <w:t xml:space="preserve"> </w:t>
      </w:r>
      <w:r w:rsidR="00D97D92" w:rsidRPr="00C21C34">
        <w:rPr>
          <w:rFonts w:ascii="Verdana" w:hAnsi="Verdana"/>
          <w:sz w:val="16"/>
          <w:szCs w:val="16"/>
          <w:lang w:val="es-CR"/>
        </w:rPr>
        <w:t xml:space="preserve">el Juez </w:t>
      </w:r>
      <w:r w:rsidRPr="00C21C34">
        <w:rPr>
          <w:rFonts w:ascii="Verdana" w:hAnsi="Verdana"/>
          <w:sz w:val="16"/>
          <w:szCs w:val="16"/>
          <w:lang w:val="es-CR"/>
        </w:rPr>
        <w:t>L. Patr</w:t>
      </w:r>
      <w:r w:rsidR="00D97D92" w:rsidRPr="00C21C34">
        <w:rPr>
          <w:rFonts w:ascii="Verdana" w:hAnsi="Verdana"/>
          <w:sz w:val="16"/>
          <w:szCs w:val="16"/>
          <w:lang w:val="es-CR"/>
        </w:rPr>
        <w:t>icio Pazmiño Freire no participaron</w:t>
      </w:r>
      <w:r w:rsidRPr="00C21C34">
        <w:rPr>
          <w:rFonts w:ascii="Verdana" w:hAnsi="Verdana"/>
          <w:sz w:val="16"/>
          <w:szCs w:val="16"/>
          <w:lang w:val="es-CR"/>
        </w:rPr>
        <w:t xml:space="preserve"> en la deliberación y firma de la presente Resolución por </w:t>
      </w:r>
      <w:r w:rsidR="009F40A0" w:rsidRPr="00C21C34">
        <w:rPr>
          <w:rFonts w:ascii="Verdana" w:hAnsi="Verdana"/>
          <w:sz w:val="16"/>
          <w:szCs w:val="16"/>
          <w:lang w:val="es-CR"/>
        </w:rPr>
        <w:t>motivos</w:t>
      </w:r>
      <w:r w:rsidRPr="00C21C34">
        <w:rPr>
          <w:rFonts w:ascii="Verdana" w:hAnsi="Verdana"/>
          <w:sz w:val="16"/>
          <w:szCs w:val="16"/>
          <w:lang w:val="es-CR"/>
        </w:rPr>
        <w:t xml:space="preserve"> de fuerza mayor</w:t>
      </w:r>
      <w:r w:rsidR="00D97D92" w:rsidRPr="00C21C34">
        <w:rPr>
          <w:rFonts w:ascii="Verdana" w:hAnsi="Verdana"/>
          <w:sz w:val="16"/>
          <w:szCs w:val="16"/>
          <w:lang w:val="es-CR"/>
        </w:rPr>
        <w:t>.</w:t>
      </w:r>
      <w:r w:rsidR="000F248B" w:rsidRPr="00C21C34">
        <w:rPr>
          <w:rFonts w:ascii="Verdana" w:hAnsi="Verdana"/>
          <w:sz w:val="16"/>
          <w:szCs w:val="16"/>
          <w:lang w:val="es-CR"/>
        </w:rPr>
        <w:t xml:space="preserve"> De conformidad con lo dispuesto en </w:t>
      </w:r>
      <w:r w:rsidR="008D53BB" w:rsidRPr="00C21C34">
        <w:rPr>
          <w:rFonts w:ascii="Verdana" w:hAnsi="Verdana"/>
          <w:sz w:val="16"/>
          <w:szCs w:val="16"/>
          <w:lang w:val="es-CR"/>
        </w:rPr>
        <w:t>los</w:t>
      </w:r>
      <w:r w:rsidR="000F248B" w:rsidRPr="00C21C34">
        <w:rPr>
          <w:rFonts w:ascii="Verdana" w:hAnsi="Verdana"/>
          <w:sz w:val="16"/>
          <w:szCs w:val="16"/>
          <w:lang w:val="es-CR"/>
        </w:rPr>
        <w:t xml:space="preserve"> artículo</w:t>
      </w:r>
      <w:r w:rsidR="008D53BB" w:rsidRPr="00C21C34">
        <w:rPr>
          <w:rFonts w:ascii="Verdana" w:hAnsi="Verdana"/>
          <w:sz w:val="16"/>
          <w:szCs w:val="16"/>
          <w:lang w:val="es-CR"/>
        </w:rPr>
        <w:t>s</w:t>
      </w:r>
      <w:r w:rsidR="000F248B" w:rsidRPr="00C21C34">
        <w:rPr>
          <w:rFonts w:ascii="Verdana" w:hAnsi="Verdana"/>
          <w:sz w:val="16"/>
          <w:szCs w:val="16"/>
          <w:lang w:val="es-CR"/>
        </w:rPr>
        <w:t xml:space="preserve"> 4.2 </w:t>
      </w:r>
      <w:r w:rsidR="008D53BB" w:rsidRPr="00C21C34">
        <w:rPr>
          <w:rFonts w:ascii="Verdana" w:hAnsi="Verdana"/>
          <w:sz w:val="16"/>
          <w:szCs w:val="16"/>
          <w:lang w:val="es-CR"/>
        </w:rPr>
        <w:t xml:space="preserve">y 5.1. </w:t>
      </w:r>
      <w:r w:rsidR="000F248B" w:rsidRPr="00C21C34">
        <w:rPr>
          <w:rFonts w:ascii="Verdana" w:hAnsi="Verdana"/>
          <w:sz w:val="16"/>
          <w:szCs w:val="16"/>
          <w:lang w:val="es-CR"/>
        </w:rPr>
        <w:t>del Reglamento de la Corte, el Vicepresidente Juez Eduardo Ferrer Mac-Gregor Poissot asumió la presidencia en ejercicio para la presente Resolución.</w:t>
      </w:r>
    </w:p>
    <w:p w:rsidR="00590C47" w:rsidRPr="00C21C34" w:rsidRDefault="00590C47" w:rsidP="00C21C34">
      <w:pPr>
        <w:pStyle w:val="Textonotapie"/>
        <w:jc w:val="both"/>
        <w:rPr>
          <w:rFonts w:ascii="Verdana" w:hAnsi="Verdana"/>
          <w:color w:val="000000"/>
          <w:sz w:val="16"/>
          <w:szCs w:val="16"/>
          <w:lang w:val="es-CR"/>
        </w:rPr>
      </w:pPr>
      <w:r w:rsidRPr="00C21C34">
        <w:rPr>
          <w:rStyle w:val="Refdenotaalpie"/>
          <w:rFonts w:ascii="Verdana" w:hAnsi="Verdana"/>
          <w:color w:val="000000"/>
          <w:sz w:val="16"/>
          <w:szCs w:val="16"/>
        </w:rPr>
        <w:footnoteRef/>
      </w:r>
      <w:r w:rsidRPr="00C21C34">
        <w:rPr>
          <w:rFonts w:ascii="Verdana" w:hAnsi="Verdana"/>
          <w:color w:val="000000"/>
          <w:sz w:val="16"/>
          <w:szCs w:val="16"/>
          <w:lang w:val="es-CR"/>
        </w:rPr>
        <w:t xml:space="preserve"> </w:t>
      </w:r>
      <w:r w:rsidRPr="00C21C34">
        <w:rPr>
          <w:rFonts w:ascii="Verdana" w:hAnsi="Verdana"/>
          <w:color w:val="000000"/>
          <w:sz w:val="16"/>
          <w:szCs w:val="16"/>
          <w:lang w:val="es-CR"/>
        </w:rPr>
        <w:tab/>
      </w:r>
      <w:r w:rsidRPr="00C21C34">
        <w:rPr>
          <w:rFonts w:ascii="Verdana" w:hAnsi="Verdana"/>
          <w:i/>
          <w:color w:val="000000"/>
          <w:sz w:val="16"/>
          <w:szCs w:val="16"/>
          <w:lang w:val="es-CR"/>
        </w:rPr>
        <w:t xml:space="preserve">Cfr. Caso Pacheco Teruel y otros Vs. Honduras. Fondo, Reparaciones y Costas. </w:t>
      </w:r>
      <w:r w:rsidRPr="00C21C34">
        <w:rPr>
          <w:rFonts w:ascii="Verdana" w:hAnsi="Verdana"/>
          <w:color w:val="000000"/>
          <w:sz w:val="16"/>
          <w:szCs w:val="16"/>
          <w:lang w:val="es-CR"/>
        </w:rPr>
        <w:t>Sentencia de 27 de abril de 2012. Serie C No. 241</w:t>
      </w:r>
      <w:r w:rsidRPr="00C21C34">
        <w:rPr>
          <w:rStyle w:val="Textoennegrita"/>
          <w:rFonts w:ascii="Verdana" w:hAnsi="Verdana"/>
          <w:b w:val="0"/>
          <w:i/>
          <w:color w:val="000000"/>
          <w:sz w:val="16"/>
          <w:szCs w:val="16"/>
          <w:lang w:val="es-CR"/>
        </w:rPr>
        <w:t>.</w:t>
      </w:r>
      <w:r w:rsidRPr="00C21C34">
        <w:rPr>
          <w:rFonts w:ascii="Verdana" w:hAnsi="Verdana"/>
          <w:color w:val="000000"/>
          <w:sz w:val="16"/>
          <w:szCs w:val="16"/>
          <w:lang w:val="es-CR"/>
        </w:rPr>
        <w:t xml:space="preserve"> El texto íntegro de la Sentencia se encuentra disponible en: http://corteidh.or.cr/docs/casos/articulos/seriec_241_esp.pdf. La Sentencia fue notificada al Estado el 17 de mayo de 2012. </w:t>
      </w:r>
    </w:p>
  </w:footnote>
  <w:footnote w:id="2">
    <w:p w:rsidR="00590C47" w:rsidRPr="00C21C34" w:rsidRDefault="00590C47"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t xml:space="preserve">Escritos de 31 de julio de 2013, 26 de marzo y </w:t>
      </w:r>
      <w:r w:rsidR="0052555F" w:rsidRPr="00C21C34">
        <w:rPr>
          <w:rFonts w:ascii="Verdana" w:hAnsi="Verdana"/>
          <w:sz w:val="16"/>
          <w:szCs w:val="16"/>
          <w:lang w:val="es-CR"/>
        </w:rPr>
        <w:t>12</w:t>
      </w:r>
      <w:r w:rsidRPr="00C21C34">
        <w:rPr>
          <w:rFonts w:ascii="Verdana" w:hAnsi="Verdana"/>
          <w:sz w:val="16"/>
          <w:szCs w:val="16"/>
          <w:lang w:val="es-CR"/>
        </w:rPr>
        <w:t xml:space="preserve"> de agosto de 2014 y </w:t>
      </w:r>
      <w:r w:rsidR="0052555F" w:rsidRPr="00C21C34">
        <w:rPr>
          <w:rFonts w:ascii="Verdana" w:hAnsi="Verdana"/>
          <w:sz w:val="16"/>
          <w:szCs w:val="16"/>
          <w:lang w:val="es-CR"/>
        </w:rPr>
        <w:t>30</w:t>
      </w:r>
      <w:r w:rsidRPr="00C21C34">
        <w:rPr>
          <w:rFonts w:ascii="Verdana" w:hAnsi="Verdana"/>
          <w:sz w:val="16"/>
          <w:szCs w:val="16"/>
          <w:lang w:val="es-CR"/>
        </w:rPr>
        <w:t xml:space="preserve"> de octubre de 2015.</w:t>
      </w:r>
    </w:p>
  </w:footnote>
  <w:footnote w:id="3">
    <w:p w:rsidR="00C02486" w:rsidRPr="00C21C34" w:rsidRDefault="00C02486"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t>Escritos de 7 de septiembre de 2013, 1 de octubre de 2014 y 25 de junio de 2015.</w:t>
      </w:r>
    </w:p>
  </w:footnote>
  <w:footnote w:id="4">
    <w:p w:rsidR="00590C47" w:rsidRPr="00C21C34" w:rsidRDefault="00590C47"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t xml:space="preserve">Las organizaciones no gubernamentales Pastoral Penitenciaria, CARITAS Diócesis de San Pedro Sula y Equipo de Reflexión, Investigación y Comunicación “ERIC”. </w:t>
      </w:r>
    </w:p>
  </w:footnote>
  <w:footnote w:id="5">
    <w:p w:rsidR="00590C47" w:rsidRPr="00C21C34" w:rsidRDefault="00590C47"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t xml:space="preserve">Escritos de </w:t>
      </w:r>
      <w:r w:rsidRPr="00C21C34">
        <w:rPr>
          <w:rFonts w:ascii="Verdana" w:hAnsi="Verdana"/>
          <w:color w:val="000000"/>
          <w:sz w:val="16"/>
          <w:szCs w:val="16"/>
          <w:shd w:val="clear" w:color="auto" w:fill="FFFFFF"/>
          <w:lang w:val="es-CR"/>
        </w:rPr>
        <w:t>28 de octubre de 2013</w:t>
      </w:r>
      <w:r w:rsidR="00190FAD" w:rsidRPr="00C21C34">
        <w:rPr>
          <w:rFonts w:ascii="Verdana" w:hAnsi="Verdana"/>
          <w:color w:val="000000"/>
          <w:sz w:val="16"/>
          <w:szCs w:val="16"/>
          <w:shd w:val="clear" w:color="auto" w:fill="FFFFFF"/>
          <w:lang w:val="es-CR"/>
        </w:rPr>
        <w:t>,</w:t>
      </w:r>
      <w:r w:rsidRPr="00C21C34">
        <w:rPr>
          <w:rFonts w:ascii="Verdana" w:hAnsi="Verdana"/>
          <w:color w:val="000000"/>
          <w:sz w:val="16"/>
          <w:szCs w:val="16"/>
          <w:shd w:val="clear" w:color="auto" w:fill="FFFFFF"/>
          <w:lang w:val="es-CR"/>
        </w:rPr>
        <w:t xml:space="preserve"> 19 de diciembre de 2014</w:t>
      </w:r>
      <w:r w:rsidR="00046155">
        <w:rPr>
          <w:rFonts w:ascii="Verdana" w:hAnsi="Verdana"/>
          <w:color w:val="000000"/>
          <w:sz w:val="16"/>
          <w:szCs w:val="16"/>
          <w:shd w:val="clear" w:color="auto" w:fill="FFFFFF"/>
          <w:lang w:val="es-CR"/>
        </w:rPr>
        <w:t xml:space="preserve"> y 19 de enero de 2016</w:t>
      </w:r>
      <w:r w:rsidRPr="00C21C34">
        <w:rPr>
          <w:rFonts w:ascii="Verdana" w:hAnsi="Verdana"/>
          <w:color w:val="000000"/>
          <w:sz w:val="16"/>
          <w:szCs w:val="16"/>
          <w:shd w:val="clear" w:color="auto" w:fill="FFFFFF"/>
          <w:lang w:val="es-CR"/>
        </w:rPr>
        <w:t>.</w:t>
      </w:r>
    </w:p>
  </w:footnote>
  <w:footnote w:id="6">
    <w:p w:rsidR="00590C47" w:rsidRPr="00C21C34" w:rsidRDefault="00590C47"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t xml:space="preserve">Facultad que además </w:t>
      </w:r>
      <w:r w:rsidRPr="00C21C34">
        <w:rPr>
          <w:rFonts w:ascii="Verdana" w:hAnsi="Verdana"/>
          <w:sz w:val="16"/>
          <w:szCs w:val="16"/>
          <w:lang w:val="es-ES"/>
        </w:rPr>
        <w:t xml:space="preserve">se desprende de lo dispuesto en los artículos 33, 62.1, 62.3 y 65 de la Convención Americana y </w:t>
      </w:r>
      <w:r w:rsidRPr="00C21C34">
        <w:rPr>
          <w:rFonts w:ascii="Verdana" w:hAnsi="Verdana"/>
          <w:sz w:val="16"/>
          <w:szCs w:val="16"/>
          <w:lang w:val="es-CR"/>
        </w:rPr>
        <w:t>30 de su Estatuto y se encuentra regulada en el artículo 69 de su Reglamento.</w:t>
      </w:r>
    </w:p>
  </w:footnote>
  <w:footnote w:id="7">
    <w:p w:rsidR="00590C47" w:rsidRPr="00C21C34" w:rsidRDefault="00590C47"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t>Las reparaciones son: i) realizar</w:t>
      </w:r>
      <w:r w:rsidR="00B003E7" w:rsidRPr="00C21C34">
        <w:rPr>
          <w:rFonts w:ascii="Verdana" w:hAnsi="Verdana"/>
          <w:sz w:val="16"/>
          <w:szCs w:val="16"/>
          <w:lang w:val="es-CR"/>
        </w:rPr>
        <w:t>, en coordinación con los representantes,</w:t>
      </w:r>
      <w:r w:rsidRPr="00C21C34">
        <w:rPr>
          <w:rFonts w:ascii="Verdana" w:hAnsi="Verdana"/>
          <w:sz w:val="16"/>
          <w:szCs w:val="16"/>
          <w:lang w:val="es-CR"/>
        </w:rPr>
        <w:t xml:space="preserve"> las convocatorias indicadas en la Sentencia para localizar a los familiares directos (que no estaban identificados al momento de la Sentencia) de las 89 víctimas fallecidas indicadas en el Anexo D de la Sentencia; ii) adoptar las medidas legislativas, administrativas y de cualquier otra índole necesarias para mejorar sustancialmente las condiciones de los centros penitenciarios</w:t>
      </w:r>
      <w:r w:rsidR="00B003E7" w:rsidRPr="00C21C34">
        <w:rPr>
          <w:rFonts w:ascii="Verdana" w:hAnsi="Verdana"/>
          <w:sz w:val="16"/>
          <w:szCs w:val="16"/>
          <w:lang w:val="es-CR"/>
        </w:rPr>
        <w:t xml:space="preserve"> señalados en la Sentencia</w:t>
      </w:r>
      <w:r w:rsidRPr="00C21C34">
        <w:rPr>
          <w:rFonts w:ascii="Verdana" w:hAnsi="Verdana"/>
          <w:sz w:val="16"/>
          <w:szCs w:val="16"/>
          <w:lang w:val="es-CR"/>
        </w:rPr>
        <w:t xml:space="preserve">, adecuándolas a los estándares internacionales, a fin de prevenir principalmente incendios y otras situaciones críticas, así como evitar la sobrepoblación y el hacinamiento; iii) implementar medidas de carácter inmediato tendientes a garantizar los derechos fundamentales de los reclusos, así como medidas de prevención de siniestros en los diferentes centros señalados en el acuerdo; iv) adoptar las medidas legislativas dispuestas en el acuerdo de solución amistosa y homologadas por la Corte en la Sentencia; v) implementar programas de capacitación al personal civil y policial de los centros penales, y planes de emergencia y evacuación en caso de incendios u otras catástrofes; vi) brindar atención médica y psicológica a los familiares de las víctimas que así lo soliciten; vii) realizar las publicaciones </w:t>
      </w:r>
      <w:r w:rsidR="00046155">
        <w:rPr>
          <w:rFonts w:ascii="Verdana" w:hAnsi="Verdana"/>
          <w:sz w:val="16"/>
          <w:szCs w:val="16"/>
          <w:lang w:val="es-CR"/>
        </w:rPr>
        <w:t>de</w:t>
      </w:r>
      <w:r w:rsidRPr="00C21C34">
        <w:rPr>
          <w:rFonts w:ascii="Verdana" w:hAnsi="Verdana"/>
          <w:sz w:val="16"/>
          <w:szCs w:val="16"/>
          <w:lang w:val="es-CR"/>
        </w:rPr>
        <w:t xml:space="preserve"> la Sentencia</w:t>
      </w:r>
      <w:r w:rsidR="00046155">
        <w:rPr>
          <w:rFonts w:ascii="Verdana" w:hAnsi="Verdana"/>
          <w:sz w:val="16"/>
          <w:szCs w:val="16"/>
          <w:lang w:val="es-CR"/>
        </w:rPr>
        <w:t xml:space="preserve"> indicadas en la misma</w:t>
      </w:r>
      <w:r w:rsidRPr="00C21C34">
        <w:rPr>
          <w:rFonts w:ascii="Verdana" w:hAnsi="Verdana"/>
          <w:sz w:val="16"/>
          <w:szCs w:val="16"/>
          <w:lang w:val="es-CR"/>
        </w:rPr>
        <w:t>; viii) realizar un acto público de reconocimiento de responsabilidad internacional; ix) investigar los hechos del caso a fin de esclarecerlos, determinar la verdad y las correspondientes responsabilidades penales, administrativas y/o disciplinarias, y aplicar efectivamente las sanciones y consecuencias que la ley prevea; x) pagar las cantidades establecidas por concepto de indemnización por daño</w:t>
      </w:r>
      <w:r w:rsidR="00B003E7" w:rsidRPr="00C21C34">
        <w:rPr>
          <w:rFonts w:ascii="Verdana" w:hAnsi="Verdana"/>
          <w:sz w:val="16"/>
          <w:szCs w:val="16"/>
          <w:lang w:val="es-CR"/>
        </w:rPr>
        <w:t>s</w:t>
      </w:r>
      <w:r w:rsidRPr="00C21C34">
        <w:rPr>
          <w:rFonts w:ascii="Verdana" w:hAnsi="Verdana"/>
          <w:sz w:val="16"/>
          <w:szCs w:val="16"/>
          <w:lang w:val="es-CR"/>
        </w:rPr>
        <w:t xml:space="preserve"> material</w:t>
      </w:r>
      <w:r w:rsidR="00B003E7" w:rsidRPr="00C21C34">
        <w:rPr>
          <w:rFonts w:ascii="Verdana" w:hAnsi="Verdana"/>
          <w:sz w:val="16"/>
          <w:szCs w:val="16"/>
          <w:lang w:val="es-CR"/>
        </w:rPr>
        <w:t>es</w:t>
      </w:r>
      <w:r w:rsidRPr="00C21C34">
        <w:rPr>
          <w:rFonts w:ascii="Verdana" w:hAnsi="Verdana"/>
          <w:sz w:val="16"/>
          <w:szCs w:val="16"/>
          <w:lang w:val="es-CR"/>
        </w:rPr>
        <w:t xml:space="preserve"> e inmaterial</w:t>
      </w:r>
      <w:r w:rsidR="00B003E7" w:rsidRPr="00C21C34">
        <w:rPr>
          <w:rFonts w:ascii="Verdana" w:hAnsi="Verdana"/>
          <w:sz w:val="16"/>
          <w:szCs w:val="16"/>
          <w:lang w:val="es-CR"/>
        </w:rPr>
        <w:t>es</w:t>
      </w:r>
      <w:r w:rsidRPr="00C21C34">
        <w:rPr>
          <w:rFonts w:ascii="Verdana" w:hAnsi="Verdana"/>
          <w:sz w:val="16"/>
          <w:szCs w:val="16"/>
          <w:lang w:val="es-CR"/>
        </w:rPr>
        <w:t>, y xi) realizar el reintegro de costas y gastos. Al respecto, las garantías de no repetición señaladas en los puntos ii</w:t>
      </w:r>
      <w:r w:rsidR="00B003E7" w:rsidRPr="00C21C34">
        <w:rPr>
          <w:rFonts w:ascii="Verdana" w:hAnsi="Verdana"/>
          <w:sz w:val="16"/>
          <w:szCs w:val="16"/>
          <w:lang w:val="es-CR"/>
        </w:rPr>
        <w:t>)</w:t>
      </w:r>
      <w:r w:rsidRPr="00C21C34">
        <w:rPr>
          <w:rFonts w:ascii="Verdana" w:hAnsi="Verdana"/>
          <w:sz w:val="16"/>
          <w:szCs w:val="16"/>
          <w:lang w:val="es-CR"/>
        </w:rPr>
        <w:t>, iii</w:t>
      </w:r>
      <w:r w:rsidR="00B003E7" w:rsidRPr="00C21C34">
        <w:rPr>
          <w:rFonts w:ascii="Verdana" w:hAnsi="Verdana"/>
          <w:sz w:val="16"/>
          <w:szCs w:val="16"/>
          <w:lang w:val="es-CR"/>
        </w:rPr>
        <w:t>)</w:t>
      </w:r>
      <w:r w:rsidRPr="00C21C34">
        <w:rPr>
          <w:rFonts w:ascii="Verdana" w:hAnsi="Verdana"/>
          <w:sz w:val="16"/>
          <w:szCs w:val="16"/>
          <w:lang w:val="es-CR"/>
        </w:rPr>
        <w:t>, v</w:t>
      </w:r>
      <w:r w:rsidR="00B003E7" w:rsidRPr="00C21C34">
        <w:rPr>
          <w:rFonts w:ascii="Verdana" w:hAnsi="Verdana"/>
          <w:sz w:val="16"/>
          <w:szCs w:val="16"/>
          <w:lang w:val="es-CR"/>
        </w:rPr>
        <w:t>)</w:t>
      </w:r>
      <w:r w:rsidRPr="00C21C34">
        <w:rPr>
          <w:rFonts w:ascii="Verdana" w:hAnsi="Verdana"/>
          <w:sz w:val="16"/>
          <w:szCs w:val="16"/>
          <w:lang w:val="es-CR"/>
        </w:rPr>
        <w:t xml:space="preserve"> y ix</w:t>
      </w:r>
      <w:r w:rsidR="00B003E7" w:rsidRPr="00C21C34">
        <w:rPr>
          <w:rFonts w:ascii="Verdana" w:hAnsi="Verdana"/>
          <w:sz w:val="16"/>
          <w:szCs w:val="16"/>
          <w:lang w:val="es-CR"/>
        </w:rPr>
        <w:t>)</w:t>
      </w:r>
      <w:r w:rsidRPr="00C21C34">
        <w:rPr>
          <w:rFonts w:ascii="Verdana" w:hAnsi="Verdana"/>
          <w:sz w:val="16"/>
          <w:szCs w:val="16"/>
          <w:lang w:val="es-CR"/>
        </w:rPr>
        <w:t xml:space="preserve"> se están supervisando de manera conjunta con otros cinco casos hondureños. </w:t>
      </w:r>
    </w:p>
  </w:footnote>
  <w:footnote w:id="8">
    <w:p w:rsidR="00590C47" w:rsidRPr="00C21C34" w:rsidRDefault="00590C47" w:rsidP="00C21C34">
      <w:pPr>
        <w:pStyle w:val="Textonotapie"/>
        <w:ind w:right="4"/>
        <w:jc w:val="both"/>
        <w:rPr>
          <w:rFonts w:ascii="Verdana" w:hAnsi="Verdana"/>
          <w:b/>
          <w:color w:val="000000"/>
          <w:sz w:val="16"/>
          <w:szCs w:val="16"/>
          <w:lang w:val="es-CR"/>
        </w:rPr>
      </w:pPr>
      <w:r w:rsidRPr="00C21C34">
        <w:rPr>
          <w:rStyle w:val="Refdenotaalpie"/>
          <w:rFonts w:ascii="Verdana" w:hAnsi="Verdana"/>
          <w:sz w:val="16"/>
          <w:szCs w:val="16"/>
        </w:rPr>
        <w:footnoteRef/>
      </w:r>
      <w:r w:rsidRPr="00C21C34">
        <w:rPr>
          <w:rFonts w:ascii="Verdana" w:hAnsi="Verdana"/>
          <w:i/>
          <w:color w:val="000000"/>
          <w:sz w:val="16"/>
          <w:szCs w:val="16"/>
          <w:lang w:val="es-AR"/>
        </w:rPr>
        <w:t xml:space="preserve"> </w:t>
      </w:r>
      <w:r w:rsidRPr="00C21C34">
        <w:rPr>
          <w:rFonts w:ascii="Verdana" w:hAnsi="Verdana"/>
          <w:i/>
          <w:color w:val="000000"/>
          <w:sz w:val="16"/>
          <w:szCs w:val="16"/>
          <w:lang w:val="es-AR"/>
        </w:rPr>
        <w:tab/>
        <w:t>Cfr. Caso Cinco Pensionistas Vs. Perú</w:t>
      </w:r>
      <w:r w:rsidR="00190FAD" w:rsidRPr="00C21C34">
        <w:rPr>
          <w:rFonts w:ascii="Verdana" w:hAnsi="Verdana"/>
          <w:i/>
          <w:color w:val="000000"/>
          <w:sz w:val="16"/>
          <w:szCs w:val="16"/>
          <w:lang w:val="es-AR"/>
        </w:rPr>
        <w:t>.</w:t>
      </w:r>
      <w:r w:rsidRPr="00C21C34">
        <w:rPr>
          <w:rFonts w:ascii="Verdana" w:hAnsi="Verdana"/>
          <w:i/>
          <w:color w:val="000000"/>
          <w:sz w:val="16"/>
          <w:szCs w:val="16"/>
          <w:lang w:val="es-AR"/>
        </w:rPr>
        <w:t xml:space="preserve"> </w:t>
      </w:r>
      <w:r w:rsidR="00190FAD" w:rsidRPr="00C21C34">
        <w:rPr>
          <w:rFonts w:ascii="Verdana" w:hAnsi="Verdana"/>
          <w:i/>
          <w:color w:val="000000"/>
          <w:sz w:val="16"/>
          <w:szCs w:val="16"/>
          <w:lang w:val="es-AR"/>
        </w:rPr>
        <w:t xml:space="preserve">Supervisión de Cumplimiento de Sentencia. </w:t>
      </w:r>
      <w:r w:rsidRPr="00C21C34">
        <w:rPr>
          <w:rFonts w:ascii="Verdana" w:hAnsi="Verdana"/>
          <w:color w:val="000000"/>
          <w:sz w:val="16"/>
          <w:szCs w:val="16"/>
          <w:lang w:val="es-AR"/>
        </w:rPr>
        <w:t>Resolución de la Corte</w:t>
      </w:r>
      <w:r w:rsidR="00190FAD" w:rsidRPr="00C21C34">
        <w:rPr>
          <w:rFonts w:ascii="Verdana" w:hAnsi="Verdana"/>
          <w:color w:val="000000"/>
          <w:sz w:val="16"/>
          <w:szCs w:val="16"/>
          <w:lang w:val="es-AR"/>
        </w:rPr>
        <w:t xml:space="preserve"> Interamericana de Derechos Human</w:t>
      </w:r>
      <w:r w:rsidR="00B003E7" w:rsidRPr="00C21C34">
        <w:rPr>
          <w:rFonts w:ascii="Verdana" w:hAnsi="Verdana"/>
          <w:color w:val="000000"/>
          <w:sz w:val="16"/>
          <w:szCs w:val="16"/>
          <w:lang w:val="es-AR"/>
        </w:rPr>
        <w:t>o</w:t>
      </w:r>
      <w:r w:rsidR="00190FAD" w:rsidRPr="00C21C34">
        <w:rPr>
          <w:rFonts w:ascii="Verdana" w:hAnsi="Verdana"/>
          <w:color w:val="000000"/>
          <w:sz w:val="16"/>
          <w:szCs w:val="16"/>
          <w:lang w:val="es-AR"/>
        </w:rPr>
        <w:t>s</w:t>
      </w:r>
      <w:r w:rsidRPr="00C21C34">
        <w:rPr>
          <w:rFonts w:ascii="Verdana" w:hAnsi="Verdana"/>
          <w:color w:val="000000"/>
          <w:sz w:val="16"/>
          <w:szCs w:val="16"/>
          <w:lang w:val="es-AR"/>
        </w:rPr>
        <w:t xml:space="preserve"> de 17 de noviembre de 2004, Considerando quinto, y</w:t>
      </w:r>
      <w:r w:rsidR="00190FAD" w:rsidRPr="00C21C34">
        <w:rPr>
          <w:rStyle w:val="Textoennegrita"/>
          <w:rFonts w:ascii="Verdana" w:hAnsi="Verdana"/>
          <w:b w:val="0"/>
          <w:color w:val="000000"/>
          <w:sz w:val="16"/>
          <w:szCs w:val="16"/>
          <w:shd w:val="clear" w:color="auto" w:fill="FFFFFF"/>
          <w:lang w:val="es-CR"/>
        </w:rPr>
        <w:t xml:space="preserve"> </w:t>
      </w:r>
      <w:r w:rsidR="00190FAD" w:rsidRPr="00C21C34">
        <w:rPr>
          <w:rStyle w:val="Textoennegrita"/>
          <w:rFonts w:ascii="Verdana" w:hAnsi="Verdana"/>
          <w:b w:val="0"/>
          <w:i/>
          <w:color w:val="000000"/>
          <w:sz w:val="16"/>
          <w:szCs w:val="16"/>
          <w:shd w:val="clear" w:color="auto" w:fill="FFFFFF"/>
          <w:lang w:val="es-CR"/>
        </w:rPr>
        <w:t>Caso Rodríguez Vera y otros (Desaparecidos del Palacio de Justicia) Vs. Colombia. Supervisión de Cumplimiento de Sentencia.</w:t>
      </w:r>
      <w:r w:rsidR="00190FAD" w:rsidRPr="00C21C34">
        <w:rPr>
          <w:rStyle w:val="Textoennegrita"/>
          <w:rFonts w:ascii="Verdana" w:hAnsi="Verdana"/>
          <w:b w:val="0"/>
          <w:color w:val="000000"/>
          <w:sz w:val="16"/>
          <w:szCs w:val="16"/>
          <w:shd w:val="clear" w:color="auto" w:fill="FFFFFF"/>
          <w:lang w:val="es-CR"/>
        </w:rPr>
        <w:t xml:space="preserve"> Resolución de la Corte Interamericana de Derechos Humanos de 10 de febrero de 2017, Considerando segundo.</w:t>
      </w:r>
    </w:p>
  </w:footnote>
  <w:footnote w:id="9">
    <w:p w:rsidR="00590C47" w:rsidRPr="00C21C34" w:rsidRDefault="00590C47" w:rsidP="00C21C34">
      <w:pPr>
        <w:pStyle w:val="Textonotapie"/>
        <w:ind w:right="4"/>
        <w:jc w:val="both"/>
        <w:rPr>
          <w:rFonts w:ascii="Verdana" w:hAnsi="Verdana"/>
          <w:b/>
          <w:color w:val="000000"/>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r>
      <w:r w:rsidRPr="00C21C34">
        <w:rPr>
          <w:rFonts w:ascii="Verdana" w:hAnsi="Verdana"/>
          <w:i/>
          <w:sz w:val="16"/>
          <w:szCs w:val="16"/>
          <w:lang w:val="es-CR"/>
        </w:rPr>
        <w:t>Cfr. Caso Ivcher Bronstein Vs. Perú. Competencia</w:t>
      </w:r>
      <w:r w:rsidRPr="00C21C34">
        <w:rPr>
          <w:rFonts w:ascii="Verdana" w:hAnsi="Verdana"/>
          <w:sz w:val="16"/>
          <w:szCs w:val="16"/>
          <w:lang w:val="es-CR"/>
        </w:rPr>
        <w:t xml:space="preserve">. Sentencia de la Corte Interamericana de Derechos Humanos de 24 de septiembre de 1999. Serie C No. 54, párr. 37, y </w:t>
      </w:r>
      <w:r w:rsidR="00190FAD" w:rsidRPr="00C21C34">
        <w:rPr>
          <w:rFonts w:ascii="Verdana" w:hAnsi="Verdana"/>
          <w:sz w:val="16"/>
          <w:szCs w:val="16"/>
          <w:lang w:val="es-CR"/>
        </w:rPr>
        <w:t xml:space="preserve"> Caso Rodríguez Vera y otros (Desaparecidos del Palacio de Justicia) Vs. Colombia, </w:t>
      </w:r>
      <w:r w:rsidR="00190FAD" w:rsidRPr="00C21C34">
        <w:rPr>
          <w:rFonts w:ascii="Verdana" w:hAnsi="Verdana"/>
          <w:i/>
          <w:sz w:val="16"/>
          <w:szCs w:val="16"/>
          <w:lang w:val="es-CR"/>
        </w:rPr>
        <w:t>supra</w:t>
      </w:r>
      <w:r w:rsidR="00190FAD" w:rsidRPr="00C21C34">
        <w:rPr>
          <w:rFonts w:ascii="Verdana" w:hAnsi="Verdana"/>
          <w:sz w:val="16"/>
          <w:szCs w:val="16"/>
          <w:lang w:val="es-CR"/>
        </w:rPr>
        <w:t xml:space="preserve"> nota </w:t>
      </w:r>
      <w:r w:rsidR="002012EF" w:rsidRPr="00C21C34">
        <w:rPr>
          <w:rFonts w:ascii="Verdana" w:hAnsi="Verdana"/>
          <w:sz w:val="16"/>
          <w:szCs w:val="16"/>
          <w:lang w:val="es-CR"/>
        </w:rPr>
        <w:t>8</w:t>
      </w:r>
      <w:r w:rsidR="00B003E7" w:rsidRPr="00C21C34">
        <w:rPr>
          <w:rFonts w:ascii="Verdana" w:hAnsi="Verdana"/>
          <w:sz w:val="16"/>
          <w:szCs w:val="16"/>
          <w:lang w:val="es-CR"/>
        </w:rPr>
        <w:t>, Considerando segundo</w:t>
      </w:r>
      <w:r w:rsidR="00190FAD" w:rsidRPr="00C21C34">
        <w:rPr>
          <w:rFonts w:ascii="Verdana" w:hAnsi="Verdana"/>
          <w:sz w:val="16"/>
          <w:szCs w:val="16"/>
          <w:lang w:val="es-CR"/>
        </w:rPr>
        <w:t>.</w:t>
      </w:r>
    </w:p>
  </w:footnote>
  <w:footnote w:id="10">
    <w:p w:rsidR="00590C47" w:rsidRPr="00C21C34" w:rsidRDefault="00590C47"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t xml:space="preserve">En el acuerdo de solución amistosa homologado en la Sentencia, se estableció que, “por acuerdo expreso entre las </w:t>
      </w:r>
      <w:proofErr w:type="gramStart"/>
      <w:r w:rsidRPr="00C21C34">
        <w:rPr>
          <w:rFonts w:ascii="Verdana" w:hAnsi="Verdana"/>
          <w:sz w:val="16"/>
          <w:szCs w:val="16"/>
          <w:lang w:val="es-CR"/>
        </w:rPr>
        <w:t>partes[</w:t>
      </w:r>
      <w:proofErr w:type="gramEnd"/>
      <w:r w:rsidRPr="00C21C34">
        <w:rPr>
          <w:rFonts w:ascii="Verdana" w:hAnsi="Verdana"/>
          <w:sz w:val="16"/>
          <w:szCs w:val="16"/>
          <w:lang w:val="es-CR"/>
        </w:rPr>
        <w:t xml:space="preserve">, los beneficiarios] comprende[n] a las víctimas y sus familiares descritos en el [I]nforme de [F]ondo de la Comisión”. No obstante, en el capítulo referente a la “[i]ndemnización económica, [g]astos y [c]ostas, se dispuso que </w:t>
      </w:r>
      <w:r w:rsidR="002012EF" w:rsidRPr="00C21C34">
        <w:rPr>
          <w:rFonts w:ascii="Verdana" w:hAnsi="Verdana"/>
          <w:sz w:val="16"/>
          <w:szCs w:val="16"/>
          <w:lang w:val="es-CR"/>
        </w:rPr>
        <w:t>“</w:t>
      </w:r>
      <w:r w:rsidRPr="00C21C34">
        <w:rPr>
          <w:rFonts w:ascii="Verdana" w:hAnsi="Verdana"/>
          <w:sz w:val="16"/>
          <w:szCs w:val="16"/>
          <w:lang w:val="es-CR"/>
        </w:rPr>
        <w:t>el monto relativo a los daños materiales ‘constituirá el fondo de oportunidad y compensación para los familiares de los [107] privados de libertad que perdieron su vida en el Centro Penal de San Pedro Sula’”. Por lo tanto, la Corte consideró que “[e]n virtud del amplio reconocimiento del Estado y del espíritu y alcance del acuerdo de solución amistosa a favor de todos los familiares de las víctimas fallecidas, el Tribunal homologa el acuerdo en ese aspecto y considera conveniente que los familiares directos (padres, madres, hijos e hijas y cónyuges o compañeras permanentes) de los 89 reclusos fallecidos, quienes no fueron indicados por la Comisión en su Informe de Fondo (Anexo D)</w:t>
      </w:r>
      <w:r w:rsidR="002012EF" w:rsidRPr="00C21C34">
        <w:rPr>
          <w:rFonts w:ascii="Verdana" w:hAnsi="Verdana"/>
          <w:sz w:val="16"/>
          <w:szCs w:val="16"/>
          <w:lang w:val="es-CR"/>
        </w:rPr>
        <w:t xml:space="preserve"> (</w:t>
      </w:r>
      <w:r w:rsidR="002012EF" w:rsidRPr="00C21C34">
        <w:rPr>
          <w:rFonts w:ascii="Verdana" w:hAnsi="Verdana"/>
          <w:i/>
          <w:sz w:val="16"/>
          <w:szCs w:val="16"/>
          <w:lang w:val="es-CR"/>
        </w:rPr>
        <w:t xml:space="preserve">infra </w:t>
      </w:r>
      <w:r w:rsidR="002012EF" w:rsidRPr="00C21C34">
        <w:rPr>
          <w:rFonts w:ascii="Verdana" w:hAnsi="Verdana"/>
          <w:sz w:val="16"/>
          <w:szCs w:val="16"/>
          <w:lang w:val="es-CR"/>
        </w:rPr>
        <w:t>nota 11)</w:t>
      </w:r>
      <w:r w:rsidRPr="00C21C34">
        <w:rPr>
          <w:rFonts w:ascii="Verdana" w:hAnsi="Verdana"/>
          <w:sz w:val="16"/>
          <w:szCs w:val="16"/>
          <w:lang w:val="es-CR"/>
        </w:rPr>
        <w:t xml:space="preserve">, y puedan ser identificados con posterioridad a la Sentencia, sean reparados en calidad de beneficiarios de las medidas dispuestas en el acuerdo de solución amistosa”. Se </w:t>
      </w:r>
      <w:r w:rsidR="002012EF" w:rsidRPr="00C21C34">
        <w:rPr>
          <w:rFonts w:ascii="Verdana" w:hAnsi="Verdana"/>
          <w:sz w:val="16"/>
          <w:szCs w:val="16"/>
          <w:lang w:val="es-CR"/>
        </w:rPr>
        <w:t xml:space="preserve">dispuso </w:t>
      </w:r>
      <w:r w:rsidRPr="00C21C34">
        <w:rPr>
          <w:rFonts w:ascii="Verdana" w:hAnsi="Verdana"/>
          <w:sz w:val="16"/>
          <w:szCs w:val="16"/>
          <w:lang w:val="es-CR"/>
        </w:rPr>
        <w:t xml:space="preserve">que, para tal efecto, “el Estado debe establecer en el plazo de un año, contado desde la notificación de [la] Sentencia, un mecanismo adecuado ante la Defensoría del Pueblo de Honduras para que dichos familiares directos puedan acreditarse como familiares de las víctimas fallecidas, de conformidad con la legislación interna. En este supuesto, tales personas deberán ser consideradas beneficiarias de las reparaciones”. </w:t>
      </w:r>
      <w:r w:rsidRPr="00C21C34">
        <w:rPr>
          <w:rFonts w:ascii="Verdana" w:hAnsi="Verdana"/>
          <w:i/>
          <w:sz w:val="16"/>
          <w:szCs w:val="16"/>
          <w:lang w:val="es-CR"/>
        </w:rPr>
        <w:t xml:space="preserve">Cfr. </w:t>
      </w:r>
      <w:r w:rsidRPr="00C21C34">
        <w:rPr>
          <w:rFonts w:ascii="Verdana" w:hAnsi="Verdana"/>
          <w:i/>
          <w:color w:val="000000"/>
          <w:sz w:val="16"/>
          <w:szCs w:val="16"/>
          <w:lang w:val="es-CR"/>
        </w:rPr>
        <w:t xml:space="preserve">Caso Pacheco Teruel y otros Vs. Honduras, supra </w:t>
      </w:r>
      <w:r w:rsidRPr="00C21C34">
        <w:rPr>
          <w:rFonts w:ascii="Verdana" w:hAnsi="Verdana"/>
          <w:color w:val="000000"/>
          <w:sz w:val="16"/>
          <w:szCs w:val="16"/>
          <w:lang w:val="es-CR"/>
        </w:rPr>
        <w:t xml:space="preserve">nota 1, párrs. 85 a 87. </w:t>
      </w:r>
    </w:p>
  </w:footnote>
  <w:footnote w:id="11">
    <w:p w:rsidR="00590C47" w:rsidRPr="00C21C34" w:rsidRDefault="00590C47"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t>El Anexo C de la Sentencia consiste en el listado de 18 internos y 8</w:t>
      </w:r>
      <w:r w:rsidR="002012EF" w:rsidRPr="00C21C34">
        <w:rPr>
          <w:rFonts w:ascii="Verdana" w:hAnsi="Verdana"/>
          <w:sz w:val="16"/>
          <w:szCs w:val="16"/>
          <w:lang w:val="es-CR"/>
        </w:rPr>
        <w:t>3</w:t>
      </w:r>
      <w:r w:rsidRPr="00C21C34">
        <w:rPr>
          <w:rFonts w:ascii="Verdana" w:hAnsi="Verdana"/>
          <w:sz w:val="16"/>
          <w:szCs w:val="16"/>
          <w:lang w:val="es-CR"/>
        </w:rPr>
        <w:t xml:space="preserve"> de sus familiares que estaban identificados al momento de la Sentencia. Por su parte, el Anexo D de la Sentencia contiene un listado de 89 internos fallecidos cuyos familiares no habían sido identificados al momento de la Sentencia (</w:t>
      </w:r>
      <w:r w:rsidRPr="00C21C34">
        <w:rPr>
          <w:rFonts w:ascii="Verdana" w:hAnsi="Verdana"/>
          <w:i/>
          <w:sz w:val="16"/>
          <w:szCs w:val="16"/>
          <w:lang w:val="es-CR"/>
        </w:rPr>
        <w:t xml:space="preserve">supra </w:t>
      </w:r>
      <w:r w:rsidR="00DA5796">
        <w:rPr>
          <w:rFonts w:ascii="Verdana" w:hAnsi="Verdana"/>
          <w:sz w:val="16"/>
          <w:szCs w:val="16"/>
          <w:lang w:val="es-CR"/>
        </w:rPr>
        <w:t>nota 10</w:t>
      </w:r>
      <w:r w:rsidRPr="00C21C34">
        <w:rPr>
          <w:rFonts w:ascii="Verdana" w:hAnsi="Verdana"/>
          <w:sz w:val="16"/>
          <w:szCs w:val="16"/>
          <w:lang w:val="es-CR"/>
        </w:rPr>
        <w:t xml:space="preserve">). </w:t>
      </w:r>
    </w:p>
  </w:footnote>
  <w:footnote w:id="12">
    <w:p w:rsidR="00C55DD0" w:rsidRPr="00C21C34" w:rsidRDefault="00C55DD0"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t>Si bien los representantes de las víctimas indicaron en su escrito de observaciones de septiembre de 2013 que el Comisionado Nacional de los Derechos Humanos había concluido la labor de identificación de los familiares de los internos fallecidos,</w:t>
      </w:r>
      <w:r w:rsidRPr="00C21C34">
        <w:rPr>
          <w:rFonts w:ascii="Verdana" w:hAnsi="Verdana"/>
          <w:sz w:val="16"/>
          <w:szCs w:val="16"/>
          <w:lang w:val="es-MX"/>
        </w:rPr>
        <w:t xml:space="preserve"> fue hasta el informe de octubre de 2015 que el Estado indicó que </w:t>
      </w:r>
      <w:r w:rsidR="00DA5796">
        <w:rPr>
          <w:rFonts w:ascii="Verdana" w:hAnsi="Verdana"/>
          <w:sz w:val="16"/>
          <w:szCs w:val="16"/>
          <w:lang w:val="es-MX"/>
        </w:rPr>
        <w:t>dicho</w:t>
      </w:r>
      <w:r w:rsidRPr="00C21C34">
        <w:rPr>
          <w:rFonts w:ascii="Verdana" w:hAnsi="Verdana"/>
          <w:sz w:val="16"/>
          <w:szCs w:val="16"/>
          <w:lang w:val="es-MX"/>
        </w:rPr>
        <w:t xml:space="preserve"> Comisionado </w:t>
      </w:r>
      <w:r w:rsidR="00DA5796">
        <w:rPr>
          <w:rFonts w:ascii="Verdana" w:hAnsi="Verdana"/>
          <w:sz w:val="16"/>
          <w:szCs w:val="16"/>
          <w:lang w:val="es-MX"/>
        </w:rPr>
        <w:t>“</w:t>
      </w:r>
      <w:r w:rsidRPr="00C21C34">
        <w:rPr>
          <w:rFonts w:ascii="Verdana" w:hAnsi="Verdana"/>
          <w:sz w:val="16"/>
          <w:szCs w:val="16"/>
          <w:lang w:val="es-MX"/>
        </w:rPr>
        <w:t>ya tiene identificados e individualizados a los familiares de las víctimas, con el apoyo de representantes de la Iglesia Católica”. Asimismo,</w:t>
      </w:r>
      <w:r w:rsidR="002012EF" w:rsidRPr="00C21C34">
        <w:rPr>
          <w:rFonts w:ascii="Verdana" w:hAnsi="Verdana"/>
          <w:sz w:val="16"/>
          <w:szCs w:val="16"/>
          <w:lang w:val="es-MX"/>
        </w:rPr>
        <w:t xml:space="preserve"> señaló en dicho informe que</w:t>
      </w:r>
      <w:r w:rsidRPr="00C21C34">
        <w:rPr>
          <w:rFonts w:ascii="Verdana" w:hAnsi="Verdana"/>
          <w:sz w:val="16"/>
          <w:szCs w:val="16"/>
          <w:lang w:val="es-MX"/>
        </w:rPr>
        <w:t xml:space="preserve"> en noviembre de ese mismo año se realizaría una reunión “con el propósito de elaborar un nuevo cronograma de cumplimiento” para las medidas en cuestión. </w:t>
      </w:r>
    </w:p>
  </w:footnote>
  <w:footnote w:id="13">
    <w:p w:rsidR="00B02680" w:rsidRPr="00C21C34" w:rsidRDefault="00B02680"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t>En su escrito de observaciones de octubre de 2013, la Comisión Interamericana resaltó que</w:t>
      </w:r>
      <w:r w:rsidR="00DA5796">
        <w:rPr>
          <w:rFonts w:ascii="Verdana" w:hAnsi="Verdana"/>
          <w:sz w:val="16"/>
          <w:szCs w:val="16"/>
          <w:lang w:val="es-CR"/>
        </w:rPr>
        <w:t>,</w:t>
      </w:r>
      <w:r w:rsidRPr="00C21C34">
        <w:rPr>
          <w:rFonts w:ascii="Verdana" w:hAnsi="Verdana"/>
          <w:sz w:val="16"/>
          <w:szCs w:val="16"/>
          <w:lang w:val="es-CR"/>
        </w:rPr>
        <w:t xml:space="preserve"> según lo informado por las partes, “ya se habrían satisfecho las condiciones para la constitución del fideicomiso y la posibilidad de ejecutar el pago” de las indemnizaciones por daño</w:t>
      </w:r>
      <w:r w:rsidR="00182E58" w:rsidRPr="00C21C34">
        <w:rPr>
          <w:rFonts w:ascii="Verdana" w:hAnsi="Verdana"/>
          <w:sz w:val="16"/>
          <w:szCs w:val="16"/>
          <w:lang w:val="es-CR"/>
        </w:rPr>
        <w:t>s</w:t>
      </w:r>
      <w:r w:rsidRPr="00C21C34">
        <w:rPr>
          <w:rFonts w:ascii="Verdana" w:hAnsi="Verdana"/>
          <w:sz w:val="16"/>
          <w:szCs w:val="16"/>
          <w:lang w:val="es-CR"/>
        </w:rPr>
        <w:t xml:space="preserve"> material</w:t>
      </w:r>
      <w:r w:rsidR="00182E58" w:rsidRPr="00C21C34">
        <w:rPr>
          <w:rFonts w:ascii="Verdana" w:hAnsi="Verdana"/>
          <w:sz w:val="16"/>
          <w:szCs w:val="16"/>
          <w:lang w:val="es-CR"/>
        </w:rPr>
        <w:t>es</w:t>
      </w:r>
      <w:r w:rsidRPr="00C21C34">
        <w:rPr>
          <w:rFonts w:ascii="Verdana" w:hAnsi="Verdana"/>
          <w:sz w:val="16"/>
          <w:szCs w:val="16"/>
          <w:lang w:val="es-CR"/>
        </w:rPr>
        <w:t xml:space="preserve"> e inmaterial</w:t>
      </w:r>
      <w:r w:rsidR="00182E58" w:rsidRPr="00C21C34">
        <w:rPr>
          <w:rFonts w:ascii="Verdana" w:hAnsi="Verdana"/>
          <w:sz w:val="16"/>
          <w:szCs w:val="16"/>
          <w:lang w:val="es-CR"/>
        </w:rPr>
        <w:t>es</w:t>
      </w:r>
      <w:r w:rsidRPr="00C21C34">
        <w:rPr>
          <w:rFonts w:ascii="Verdana" w:hAnsi="Verdana"/>
          <w:sz w:val="16"/>
          <w:szCs w:val="16"/>
          <w:lang w:val="es-CR"/>
        </w:rPr>
        <w:t xml:space="preserve"> y reintegro de costas y gastos. </w:t>
      </w:r>
    </w:p>
  </w:footnote>
  <w:footnote w:id="14">
    <w:p w:rsidR="005C5499" w:rsidRPr="00C21C34" w:rsidRDefault="005C5499"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r>
      <w:r w:rsidRPr="00C21C34">
        <w:rPr>
          <w:rFonts w:ascii="Verdana" w:hAnsi="Verdana"/>
          <w:sz w:val="16"/>
          <w:szCs w:val="16"/>
          <w:lang w:val="es-MX"/>
        </w:rPr>
        <w:t xml:space="preserve">En su informe de julio de 2013, el Estado señaló </w:t>
      </w:r>
      <w:r w:rsidR="00DA5796">
        <w:rPr>
          <w:rFonts w:ascii="Verdana" w:hAnsi="Verdana"/>
          <w:sz w:val="16"/>
          <w:szCs w:val="16"/>
          <w:lang w:val="es-MX"/>
        </w:rPr>
        <w:t xml:space="preserve">que </w:t>
      </w:r>
      <w:r w:rsidRPr="00C21C34">
        <w:rPr>
          <w:rFonts w:ascii="Verdana" w:hAnsi="Verdana"/>
          <w:sz w:val="16"/>
          <w:szCs w:val="16"/>
          <w:lang w:val="es-MX"/>
        </w:rPr>
        <w:t xml:space="preserve">desde abril de ese mismo año contaba con “una partida presupuestaria […] para proceder a la primera ejecución y pago”. </w:t>
      </w:r>
      <w:r w:rsidR="00530BFC" w:rsidRPr="00C21C34">
        <w:rPr>
          <w:rFonts w:ascii="Verdana" w:hAnsi="Verdana"/>
          <w:sz w:val="16"/>
          <w:szCs w:val="16"/>
          <w:lang w:val="es-MX"/>
        </w:rPr>
        <w:t>Asimismo, e</w:t>
      </w:r>
      <w:r w:rsidRPr="00C21C34">
        <w:rPr>
          <w:rFonts w:ascii="Verdana" w:hAnsi="Verdana"/>
          <w:sz w:val="16"/>
          <w:szCs w:val="16"/>
          <w:lang w:val="es-MX"/>
        </w:rPr>
        <w:t xml:space="preserve">n su informe de agosto de 2014, </w:t>
      </w:r>
      <w:r w:rsidR="007722D8" w:rsidRPr="00C21C34">
        <w:rPr>
          <w:rFonts w:ascii="Verdana" w:hAnsi="Verdana"/>
          <w:sz w:val="16"/>
          <w:szCs w:val="16"/>
          <w:lang w:val="es-MX"/>
        </w:rPr>
        <w:t>Honduras</w:t>
      </w:r>
      <w:r w:rsidRPr="00C21C34">
        <w:rPr>
          <w:rFonts w:ascii="Verdana" w:hAnsi="Verdana"/>
          <w:sz w:val="16"/>
          <w:szCs w:val="16"/>
          <w:lang w:val="es-MX"/>
        </w:rPr>
        <w:t xml:space="preserve"> señaló que los referidos fondos habían sido transferidos al “Programa de Indemnización Pacheco Teruel y [o]tros” a beneficio del Instituto Nacional Penitenciario, y que había “consensuado con los peticionarios darle prioridad al […] pago de las indemnizaciones por considerarlo […] humanitario”.</w:t>
      </w:r>
    </w:p>
  </w:footnote>
  <w:footnote w:id="15">
    <w:p w:rsidR="00590C47" w:rsidRPr="00C21C34" w:rsidRDefault="00590C47"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r>
      <w:r w:rsidRPr="00C21C34">
        <w:rPr>
          <w:rFonts w:ascii="Verdana" w:hAnsi="Verdana"/>
          <w:sz w:val="16"/>
          <w:szCs w:val="16"/>
          <w:lang w:val="es-MX"/>
        </w:rPr>
        <w:t>En su escrito de observaciones de septiembre de 2013, los representantes</w:t>
      </w:r>
      <w:r w:rsidRPr="00C21C34">
        <w:rPr>
          <w:rFonts w:ascii="Verdana" w:hAnsi="Verdana"/>
          <w:i/>
          <w:sz w:val="16"/>
          <w:szCs w:val="16"/>
          <w:lang w:val="es-MX"/>
        </w:rPr>
        <w:t xml:space="preserve"> </w:t>
      </w:r>
      <w:r w:rsidRPr="00C21C34">
        <w:rPr>
          <w:rFonts w:ascii="Verdana" w:hAnsi="Verdana"/>
          <w:sz w:val="16"/>
          <w:szCs w:val="16"/>
          <w:lang w:val="es-MX"/>
        </w:rPr>
        <w:t>informaron que la Diócesis de San Pedro Sula había elaborado el reglamento del fideicomiso, remitiéndose a la Procuraduría General de la República toda la documentación correspondiente.</w:t>
      </w:r>
    </w:p>
  </w:footnote>
  <w:footnote w:id="16">
    <w:p w:rsidR="00A16936" w:rsidRPr="00C21C34" w:rsidRDefault="00A16936"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r>
      <w:r w:rsidRPr="00C21C34">
        <w:rPr>
          <w:rFonts w:ascii="Verdana" w:hAnsi="Verdana"/>
          <w:sz w:val="16"/>
          <w:szCs w:val="16"/>
          <w:lang w:val="es-MX"/>
        </w:rPr>
        <w:t>En su escrito de observaciones de octubre de 2014, los representantes</w:t>
      </w:r>
      <w:r w:rsidRPr="00C21C34">
        <w:rPr>
          <w:rFonts w:ascii="Verdana" w:hAnsi="Verdana"/>
          <w:i/>
          <w:sz w:val="16"/>
          <w:szCs w:val="16"/>
          <w:lang w:val="es-MX"/>
        </w:rPr>
        <w:t xml:space="preserve"> </w:t>
      </w:r>
      <w:r w:rsidRPr="00C21C34">
        <w:rPr>
          <w:rFonts w:ascii="Verdana" w:hAnsi="Verdana"/>
          <w:sz w:val="16"/>
          <w:szCs w:val="16"/>
          <w:lang w:val="es-MX"/>
        </w:rPr>
        <w:t>indicaron no solo que los pagos de las referidas medidas habían sido “atrasados sin justificación alguna”, sino que también mostraron su rechazo a la propuesta del Estado de que fuesen los representantes quienes “</w:t>
      </w:r>
      <w:proofErr w:type="gramStart"/>
      <w:r w:rsidRPr="00C21C34">
        <w:rPr>
          <w:rFonts w:ascii="Verdana" w:hAnsi="Verdana"/>
          <w:sz w:val="16"/>
          <w:szCs w:val="16"/>
          <w:lang w:val="es-MX"/>
        </w:rPr>
        <w:t>contratar[</w:t>
      </w:r>
      <w:proofErr w:type="gramEnd"/>
      <w:r w:rsidRPr="00C21C34">
        <w:rPr>
          <w:rFonts w:ascii="Verdana" w:hAnsi="Verdana"/>
          <w:sz w:val="16"/>
          <w:szCs w:val="16"/>
          <w:lang w:val="es-MX"/>
        </w:rPr>
        <w:t>an] un fideicomiso con una institución bancaria[, pues ello] equival[dría] a asumir los costos de la administración de los fondos”. Al respecto,</w:t>
      </w:r>
      <w:r w:rsidRPr="00C21C34">
        <w:rPr>
          <w:rFonts w:ascii="Verdana" w:hAnsi="Verdana"/>
          <w:i/>
          <w:sz w:val="16"/>
          <w:szCs w:val="16"/>
          <w:lang w:val="es-MX"/>
        </w:rPr>
        <w:t xml:space="preserve"> </w:t>
      </w:r>
      <w:r w:rsidRPr="00C21C34">
        <w:rPr>
          <w:rFonts w:ascii="Verdana" w:hAnsi="Verdana"/>
          <w:sz w:val="16"/>
          <w:szCs w:val="16"/>
          <w:lang w:val="es-MX"/>
        </w:rPr>
        <w:t xml:space="preserve">manifestaron que correspondía al Estado constituir el referido mecanismo, así como que los “cargos adicionales” de ello no podrían afectar el monto global acordado, en perjuicio de los beneficiarios. Asimismo, en su escrito de observaciones de diciembre de 2014, la Comisión recordó que “de acuerdo a la Sentencia, la reglamentación del fideicomiso sería elaborada por la iglesia católica Diócesis de San Pedro Sula, sin embargo, la constitución del mismo es una obligación a cargo del Estado de tal forma que la actividad desplegada para lograr su ejecución y funcionamiento no debería constituir una carga adicional para los familiares de las víctimas o sus representantes”. </w:t>
      </w:r>
      <w:r w:rsidR="00E42728" w:rsidRPr="00C21C34">
        <w:rPr>
          <w:rFonts w:ascii="Verdana" w:hAnsi="Verdana"/>
          <w:sz w:val="16"/>
          <w:szCs w:val="16"/>
          <w:lang w:val="es-MX"/>
        </w:rPr>
        <w:t>En su escrito de observaciones de 3 de mayo de 2017, l</w:t>
      </w:r>
      <w:r w:rsidR="00E42728" w:rsidRPr="00C21C34">
        <w:rPr>
          <w:rFonts w:ascii="Verdana" w:hAnsi="Verdana"/>
          <w:sz w:val="16"/>
          <w:szCs w:val="16"/>
          <w:lang w:val="es-CR"/>
        </w:rPr>
        <w:t xml:space="preserve">os representantes señalaron que el cambio de “[las personas] </w:t>
      </w:r>
      <w:proofErr w:type="gramStart"/>
      <w:r w:rsidR="00E42728" w:rsidRPr="00C21C34">
        <w:rPr>
          <w:rFonts w:ascii="Verdana" w:hAnsi="Verdana"/>
          <w:sz w:val="16"/>
          <w:szCs w:val="16"/>
          <w:lang w:val="es-CR"/>
        </w:rPr>
        <w:t>responsables[</w:t>
      </w:r>
      <w:proofErr w:type="gramEnd"/>
      <w:r w:rsidR="00E42728" w:rsidRPr="00C21C34">
        <w:rPr>
          <w:rFonts w:ascii="Verdana" w:hAnsi="Verdana"/>
          <w:sz w:val="16"/>
          <w:szCs w:val="16"/>
          <w:lang w:val="es-CR"/>
        </w:rPr>
        <w:t>,] tanto del Instituto Nacional Penitenciario</w:t>
      </w:r>
      <w:r w:rsidR="00CF3B8E" w:rsidRPr="00C21C34">
        <w:rPr>
          <w:rFonts w:ascii="Verdana" w:hAnsi="Verdana"/>
          <w:sz w:val="16"/>
          <w:szCs w:val="16"/>
          <w:lang w:val="es-CR"/>
        </w:rPr>
        <w:t>,</w:t>
      </w:r>
      <w:r w:rsidR="00E42728" w:rsidRPr="00C21C34">
        <w:rPr>
          <w:rFonts w:ascii="Verdana" w:hAnsi="Verdana"/>
          <w:sz w:val="16"/>
          <w:szCs w:val="16"/>
          <w:lang w:val="es-CR"/>
        </w:rPr>
        <w:t xml:space="preserve"> como [de] la Procuraduría General de la R</w:t>
      </w:r>
      <w:r w:rsidR="00CF3B8E" w:rsidRPr="00C21C34">
        <w:rPr>
          <w:rFonts w:ascii="Verdana" w:hAnsi="Verdana"/>
          <w:sz w:val="16"/>
          <w:szCs w:val="16"/>
          <w:lang w:val="es-CR"/>
        </w:rPr>
        <w:t>[</w:t>
      </w:r>
      <w:r w:rsidR="00E42728" w:rsidRPr="00C21C34">
        <w:rPr>
          <w:rFonts w:ascii="Verdana" w:hAnsi="Verdana"/>
          <w:sz w:val="16"/>
          <w:szCs w:val="16"/>
          <w:lang w:val="es-CR"/>
        </w:rPr>
        <w:t>e</w:t>
      </w:r>
      <w:r w:rsidR="00CF3B8E" w:rsidRPr="00C21C34">
        <w:rPr>
          <w:rFonts w:ascii="Verdana" w:hAnsi="Verdana"/>
          <w:sz w:val="16"/>
          <w:szCs w:val="16"/>
          <w:lang w:val="es-CR"/>
        </w:rPr>
        <w:t>]</w:t>
      </w:r>
      <w:r w:rsidR="00E42728" w:rsidRPr="00C21C34">
        <w:rPr>
          <w:rFonts w:ascii="Verdana" w:hAnsi="Verdana"/>
          <w:sz w:val="16"/>
          <w:szCs w:val="16"/>
          <w:lang w:val="es-CR"/>
        </w:rPr>
        <w:t xml:space="preserve">pública” también significaron un retraso en el cumplimiento de las referidas medidas. </w:t>
      </w:r>
      <w:r w:rsidR="00DA5796">
        <w:rPr>
          <w:rFonts w:ascii="Verdana" w:hAnsi="Verdana"/>
          <w:sz w:val="16"/>
          <w:szCs w:val="16"/>
          <w:lang w:val="es-CR"/>
        </w:rPr>
        <w:t xml:space="preserve">En su escrito de observaciones de 19 de mayo de 2017, los representantes </w:t>
      </w:r>
      <w:r w:rsidR="00DA5796" w:rsidRPr="00DA5796">
        <w:rPr>
          <w:rFonts w:ascii="Verdana" w:hAnsi="Verdana"/>
          <w:sz w:val="16"/>
          <w:szCs w:val="16"/>
          <w:lang w:val="es-CR"/>
        </w:rPr>
        <w:t>hicieron constar que las víctimas y sus familiares “han padecido las consecuencias de las constantes postergaciones” en el cumplimiento de la medida</w:t>
      </w:r>
      <w:r w:rsidR="00DA5796">
        <w:rPr>
          <w:rFonts w:ascii="Verdana" w:hAnsi="Verdana"/>
          <w:sz w:val="16"/>
          <w:szCs w:val="16"/>
          <w:lang w:val="es-CR"/>
        </w:rPr>
        <w:t>.</w:t>
      </w:r>
    </w:p>
  </w:footnote>
  <w:footnote w:id="17">
    <w:p w:rsidR="00386061" w:rsidRPr="00C21C34" w:rsidRDefault="00386061"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r>
      <w:r w:rsidRPr="00C21C34">
        <w:rPr>
          <w:rFonts w:ascii="Verdana" w:hAnsi="Verdana"/>
          <w:i/>
          <w:sz w:val="16"/>
          <w:szCs w:val="16"/>
          <w:lang w:val="es-CR"/>
        </w:rPr>
        <w:t xml:space="preserve">Cfr. </w:t>
      </w:r>
      <w:r w:rsidRPr="00C21C34">
        <w:rPr>
          <w:rFonts w:ascii="Verdana" w:hAnsi="Verdana"/>
          <w:sz w:val="16"/>
          <w:szCs w:val="16"/>
          <w:lang w:val="es-CR"/>
        </w:rPr>
        <w:t>Cas</w:t>
      </w:r>
      <w:r w:rsidRPr="00C21C34">
        <w:rPr>
          <w:rFonts w:ascii="Verdana" w:hAnsi="Verdana"/>
          <w:i/>
          <w:sz w:val="16"/>
          <w:szCs w:val="16"/>
          <w:lang w:val="es-CR"/>
        </w:rPr>
        <w:t xml:space="preserve">os Fernández Ortega y otros y Rosendo Cantú y otra Vs. México. Supervisión de </w:t>
      </w:r>
      <w:r w:rsidR="00605316" w:rsidRPr="00C21C34">
        <w:rPr>
          <w:rFonts w:ascii="Verdana" w:hAnsi="Verdana"/>
          <w:i/>
          <w:sz w:val="16"/>
          <w:szCs w:val="16"/>
          <w:lang w:val="es-CR"/>
        </w:rPr>
        <w:t>c</w:t>
      </w:r>
      <w:r w:rsidRPr="00C21C34">
        <w:rPr>
          <w:rFonts w:ascii="Verdana" w:hAnsi="Verdana"/>
          <w:i/>
          <w:sz w:val="16"/>
          <w:szCs w:val="16"/>
          <w:lang w:val="es-CR"/>
        </w:rPr>
        <w:t xml:space="preserve">umplimiento de </w:t>
      </w:r>
      <w:r w:rsidR="00605316" w:rsidRPr="00C21C34">
        <w:rPr>
          <w:rFonts w:ascii="Verdana" w:hAnsi="Verdana"/>
          <w:i/>
          <w:sz w:val="16"/>
          <w:szCs w:val="16"/>
          <w:lang w:val="es-CR"/>
        </w:rPr>
        <w:t>s</w:t>
      </w:r>
      <w:r w:rsidRPr="00C21C34">
        <w:rPr>
          <w:rFonts w:ascii="Verdana" w:hAnsi="Verdana"/>
          <w:i/>
          <w:sz w:val="16"/>
          <w:szCs w:val="16"/>
          <w:lang w:val="es-CR"/>
        </w:rPr>
        <w:t>entencia</w:t>
      </w:r>
      <w:r w:rsidRPr="00C21C34">
        <w:rPr>
          <w:rFonts w:ascii="Verdana" w:hAnsi="Verdana"/>
          <w:sz w:val="16"/>
          <w:szCs w:val="16"/>
          <w:lang w:val="es-CR"/>
        </w:rPr>
        <w:t>. Resolución de la Corte Interamericana de Derechos Humanos de 21 de noviembre de 2014, Considerandos 25 a 27.</w:t>
      </w:r>
    </w:p>
  </w:footnote>
  <w:footnote w:id="18">
    <w:p w:rsidR="00530BFC" w:rsidRPr="00C21C34" w:rsidRDefault="00530BFC"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r>
      <w:r w:rsidRPr="00C21C34">
        <w:rPr>
          <w:rFonts w:ascii="Verdana" w:hAnsi="Verdana"/>
          <w:i/>
          <w:sz w:val="16"/>
          <w:szCs w:val="16"/>
          <w:lang w:val="es-CR"/>
        </w:rPr>
        <w:t xml:space="preserve">Cfr. </w:t>
      </w:r>
      <w:r w:rsidRPr="00C21C34">
        <w:rPr>
          <w:rFonts w:ascii="Verdana" w:hAnsi="Verdana"/>
          <w:sz w:val="16"/>
          <w:szCs w:val="16"/>
          <w:lang w:val="es-CR"/>
        </w:rPr>
        <w:t xml:space="preserve">“Acuerdo conjunto de pago indemnizatorio” suscrito entre el Estado de Honduras (a través de la Directora del Instituto Nacional Penitenciario), el Director Ejecutivo de CARITAS y el Obispo de </w:t>
      </w:r>
      <w:r w:rsidR="00AA2C25">
        <w:rPr>
          <w:rFonts w:ascii="Verdana" w:hAnsi="Verdana"/>
          <w:sz w:val="16"/>
          <w:szCs w:val="16"/>
          <w:lang w:val="es-CR"/>
        </w:rPr>
        <w:t xml:space="preserve">la </w:t>
      </w:r>
      <w:r w:rsidR="00AA2C25" w:rsidRPr="00C21C34">
        <w:rPr>
          <w:rFonts w:ascii="Verdana" w:hAnsi="Verdana"/>
          <w:sz w:val="16"/>
          <w:szCs w:val="16"/>
          <w:lang w:val="es-CR"/>
        </w:rPr>
        <w:t xml:space="preserve">Diócesis </w:t>
      </w:r>
      <w:r w:rsidR="00AA2C25">
        <w:rPr>
          <w:rFonts w:ascii="Verdana" w:hAnsi="Verdana"/>
          <w:sz w:val="16"/>
          <w:szCs w:val="16"/>
          <w:lang w:val="es-CR"/>
        </w:rPr>
        <w:t xml:space="preserve">de </w:t>
      </w:r>
      <w:r w:rsidR="00AA2C25" w:rsidRPr="00C21C34">
        <w:rPr>
          <w:rFonts w:ascii="Verdana" w:hAnsi="Verdana"/>
          <w:sz w:val="16"/>
          <w:szCs w:val="16"/>
          <w:lang w:val="es-CR"/>
        </w:rPr>
        <w:t xml:space="preserve">San Pedro Sula </w:t>
      </w:r>
      <w:r w:rsidR="00AA2C25">
        <w:rPr>
          <w:rFonts w:ascii="Verdana" w:hAnsi="Verdana"/>
          <w:sz w:val="16"/>
          <w:szCs w:val="16"/>
          <w:lang w:val="es-CR"/>
        </w:rPr>
        <w:t>de la Iglesia Católica</w:t>
      </w:r>
      <w:r w:rsidR="00AA2C25" w:rsidRPr="00C21C34">
        <w:rPr>
          <w:rFonts w:ascii="Verdana" w:hAnsi="Verdana"/>
          <w:sz w:val="16"/>
          <w:szCs w:val="16"/>
          <w:lang w:val="es-CR"/>
        </w:rPr>
        <w:t xml:space="preserve"> </w:t>
      </w:r>
      <w:r w:rsidRPr="00C21C34">
        <w:rPr>
          <w:rFonts w:ascii="Verdana" w:hAnsi="Verdana"/>
          <w:sz w:val="16"/>
          <w:szCs w:val="16"/>
          <w:lang w:val="es-CR"/>
        </w:rPr>
        <w:t xml:space="preserve">(anexo al informe estatal de 7 de abril de 2017) y escrito de observaciones de los representantes de las víctimas de 3 de mayo de 2017. </w:t>
      </w:r>
    </w:p>
  </w:footnote>
  <w:footnote w:id="19">
    <w:p w:rsidR="00DF5800" w:rsidRPr="00C21C34" w:rsidRDefault="00DF5800"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t xml:space="preserve">El Tribunal </w:t>
      </w:r>
      <w:r w:rsidR="00E37AF6" w:rsidRPr="00C21C34">
        <w:rPr>
          <w:rFonts w:ascii="Verdana" w:hAnsi="Verdana"/>
          <w:sz w:val="16"/>
          <w:szCs w:val="16"/>
          <w:lang w:val="es-CR"/>
        </w:rPr>
        <w:t xml:space="preserve">observa que </w:t>
      </w:r>
      <w:r w:rsidR="00DF5407" w:rsidRPr="00C21C34">
        <w:rPr>
          <w:rFonts w:ascii="Verdana" w:hAnsi="Verdana"/>
          <w:sz w:val="16"/>
          <w:szCs w:val="16"/>
          <w:lang w:val="es-CR"/>
        </w:rPr>
        <w:t xml:space="preserve">si bien </w:t>
      </w:r>
      <w:r w:rsidR="00E37AF6" w:rsidRPr="00C21C34">
        <w:rPr>
          <w:rFonts w:ascii="Verdana" w:hAnsi="Verdana"/>
          <w:sz w:val="16"/>
          <w:szCs w:val="16"/>
          <w:lang w:val="es-CR"/>
        </w:rPr>
        <w:t>el monto incluido en el acuerdo</w:t>
      </w:r>
      <w:r w:rsidR="00DF5407" w:rsidRPr="00C21C34">
        <w:rPr>
          <w:rFonts w:ascii="Verdana" w:hAnsi="Verdana"/>
          <w:sz w:val="16"/>
          <w:szCs w:val="16"/>
          <w:lang w:val="es-CR"/>
        </w:rPr>
        <w:t xml:space="preserve"> suscrito el 31 de marzo de 2017 es el mismo que fue indicado en el acuerdo de solución amistosa homologado en la Sentencia, el </w:t>
      </w:r>
      <w:r w:rsidR="00571CDF" w:rsidRPr="00C21C34">
        <w:rPr>
          <w:rFonts w:ascii="Verdana" w:hAnsi="Verdana"/>
          <w:sz w:val="16"/>
          <w:szCs w:val="16"/>
          <w:lang w:val="es-CR"/>
        </w:rPr>
        <w:t xml:space="preserve">referido </w:t>
      </w:r>
      <w:r w:rsidR="00DF5407" w:rsidRPr="00C21C34">
        <w:rPr>
          <w:rFonts w:ascii="Verdana" w:hAnsi="Verdana"/>
          <w:sz w:val="16"/>
          <w:szCs w:val="16"/>
          <w:lang w:val="es-CR"/>
        </w:rPr>
        <w:t>acuerdo</w:t>
      </w:r>
      <w:r w:rsidR="00571CDF" w:rsidRPr="00C21C34">
        <w:rPr>
          <w:rFonts w:ascii="Verdana" w:hAnsi="Verdana"/>
          <w:sz w:val="16"/>
          <w:szCs w:val="16"/>
          <w:lang w:val="es-CR"/>
        </w:rPr>
        <w:t xml:space="preserve"> suscrito este año</w:t>
      </w:r>
      <w:r w:rsidR="00E37AF6" w:rsidRPr="00C21C34">
        <w:rPr>
          <w:rFonts w:ascii="Verdana" w:hAnsi="Verdana"/>
          <w:sz w:val="16"/>
          <w:szCs w:val="16"/>
          <w:lang w:val="es-CR"/>
        </w:rPr>
        <w:t xml:space="preserve"> no hace referencia </w:t>
      </w:r>
      <w:r w:rsidR="00DF5407" w:rsidRPr="00C21C34">
        <w:rPr>
          <w:rFonts w:ascii="Verdana" w:hAnsi="Verdana"/>
          <w:sz w:val="16"/>
          <w:szCs w:val="16"/>
          <w:lang w:val="es-CR"/>
        </w:rPr>
        <w:t>a</w:t>
      </w:r>
      <w:r w:rsidR="00E37AF6" w:rsidRPr="00C21C34">
        <w:rPr>
          <w:rFonts w:ascii="Verdana" w:hAnsi="Verdana"/>
          <w:sz w:val="16"/>
          <w:szCs w:val="16"/>
          <w:lang w:val="es-CR"/>
        </w:rPr>
        <w:t xml:space="preserve"> los intereses moratorios establecidos en el párrafo 142 de la Sentencia.</w:t>
      </w:r>
      <w:r w:rsidR="00DF5407" w:rsidRPr="00C21C34">
        <w:rPr>
          <w:rFonts w:ascii="Verdana" w:hAnsi="Verdana"/>
          <w:sz w:val="16"/>
          <w:szCs w:val="16"/>
          <w:lang w:val="es-CR"/>
        </w:rPr>
        <w:t xml:space="preserve"> </w:t>
      </w:r>
      <w:r w:rsidR="00BA00E9" w:rsidRPr="00C21C34">
        <w:rPr>
          <w:rFonts w:ascii="Verdana" w:hAnsi="Verdana"/>
          <w:sz w:val="16"/>
          <w:szCs w:val="16"/>
          <w:lang w:val="es-CR"/>
        </w:rPr>
        <w:t>Los representantes indicaron en su escrito de observaciones de junio de 2015 que, además del monto establecido, el Estado debía pagar “los intereses moratorios por la falta de pago, calculados desde la fecha en que la indemnización debió ser pagada, hasta el último día en que la misma se haga efectiva”.</w:t>
      </w:r>
      <w:r w:rsidR="00BA00E9" w:rsidRPr="00C21C34">
        <w:rPr>
          <w:rFonts w:ascii="Verdana" w:hAnsi="Verdana"/>
          <w:sz w:val="16"/>
          <w:szCs w:val="16"/>
          <w:lang w:val="es-MX"/>
        </w:rPr>
        <w:t xml:space="preserve"> </w:t>
      </w:r>
      <w:r w:rsidR="00CC3A85" w:rsidRPr="00C21C34">
        <w:rPr>
          <w:rFonts w:ascii="Verdana" w:hAnsi="Verdana"/>
          <w:sz w:val="16"/>
          <w:szCs w:val="16"/>
          <w:lang w:val="es-CR"/>
        </w:rPr>
        <w:t>No obstante ello,</w:t>
      </w:r>
      <w:r w:rsidR="00DF5407" w:rsidRPr="00C21C34">
        <w:rPr>
          <w:rFonts w:ascii="Verdana" w:hAnsi="Verdana"/>
          <w:sz w:val="16"/>
          <w:szCs w:val="16"/>
          <w:lang w:val="es-CR"/>
        </w:rPr>
        <w:t xml:space="preserve"> posteriormente solicitaron en mayo de 2017 que la Corte homologue el referido acuerdo de marzo de 2017 en el cual no se hace referencia a los referidos intereses. </w:t>
      </w:r>
    </w:p>
  </w:footnote>
  <w:footnote w:id="20">
    <w:p w:rsidR="00A66910" w:rsidRPr="00C21C34" w:rsidRDefault="00A66910" w:rsidP="00C21C34">
      <w:pPr>
        <w:pStyle w:val="Textonotapie"/>
        <w:jc w:val="both"/>
        <w:rPr>
          <w:rFonts w:ascii="Verdana" w:hAnsi="Verdana"/>
          <w:i/>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Pr="00C21C34">
        <w:rPr>
          <w:rFonts w:ascii="Verdana" w:hAnsi="Verdana"/>
          <w:sz w:val="16"/>
          <w:szCs w:val="16"/>
          <w:lang w:val="es-CR"/>
        </w:rPr>
        <w:tab/>
        <w:t xml:space="preserve">Al respecto, la Corte </w:t>
      </w:r>
      <w:r w:rsidR="00DF5800" w:rsidRPr="00C21C34">
        <w:rPr>
          <w:rFonts w:ascii="Verdana" w:hAnsi="Verdana"/>
          <w:sz w:val="16"/>
          <w:szCs w:val="16"/>
          <w:lang w:val="es-CR"/>
        </w:rPr>
        <w:t>constató</w:t>
      </w:r>
      <w:r w:rsidRPr="00C21C34">
        <w:rPr>
          <w:rFonts w:ascii="Verdana" w:hAnsi="Verdana"/>
          <w:sz w:val="16"/>
          <w:szCs w:val="16"/>
          <w:lang w:val="es-CR"/>
        </w:rPr>
        <w:t xml:space="preserve"> que en el documento titulado “Listado final de familiares identificados” se incluyen </w:t>
      </w:r>
      <w:r w:rsidR="003B5290" w:rsidRPr="00C21C34">
        <w:rPr>
          <w:rFonts w:ascii="Verdana" w:hAnsi="Verdana"/>
          <w:sz w:val="16"/>
          <w:szCs w:val="16"/>
          <w:lang w:val="es-CR"/>
        </w:rPr>
        <w:t xml:space="preserve">a los </w:t>
      </w:r>
      <w:r w:rsidRPr="00C21C34">
        <w:rPr>
          <w:rFonts w:ascii="Verdana" w:hAnsi="Verdana"/>
          <w:sz w:val="16"/>
          <w:szCs w:val="16"/>
          <w:lang w:val="es-CR"/>
        </w:rPr>
        <w:t>familiares de 8</w:t>
      </w:r>
      <w:r w:rsidR="003B5290" w:rsidRPr="00C21C34">
        <w:rPr>
          <w:rFonts w:ascii="Verdana" w:hAnsi="Verdana"/>
          <w:sz w:val="16"/>
          <w:szCs w:val="16"/>
          <w:lang w:val="es-CR"/>
        </w:rPr>
        <w:t>2</w:t>
      </w:r>
      <w:r w:rsidRPr="00C21C34">
        <w:rPr>
          <w:rFonts w:ascii="Verdana" w:hAnsi="Verdana"/>
          <w:sz w:val="16"/>
          <w:szCs w:val="16"/>
          <w:lang w:val="es-CR"/>
        </w:rPr>
        <w:t xml:space="preserve"> internos</w:t>
      </w:r>
      <w:r w:rsidR="003B5290" w:rsidRPr="00C21C34">
        <w:rPr>
          <w:rFonts w:ascii="Verdana" w:hAnsi="Verdana"/>
          <w:sz w:val="16"/>
          <w:szCs w:val="16"/>
          <w:lang w:val="es-CR"/>
        </w:rPr>
        <w:t xml:space="preserve">: </w:t>
      </w:r>
      <w:r w:rsidRPr="00C21C34">
        <w:rPr>
          <w:rFonts w:ascii="Verdana" w:hAnsi="Verdana"/>
          <w:sz w:val="16"/>
          <w:szCs w:val="16"/>
          <w:lang w:val="es-CR"/>
        </w:rPr>
        <w:t xml:space="preserve">18 internos </w:t>
      </w:r>
      <w:r w:rsidR="003B5290" w:rsidRPr="00C21C34">
        <w:rPr>
          <w:rFonts w:ascii="Verdana" w:hAnsi="Verdana"/>
          <w:sz w:val="16"/>
          <w:szCs w:val="16"/>
          <w:lang w:val="es-CR"/>
        </w:rPr>
        <w:t xml:space="preserve">fallecidos </w:t>
      </w:r>
      <w:r w:rsidR="00571CDF" w:rsidRPr="00C21C34">
        <w:rPr>
          <w:rFonts w:ascii="Verdana" w:hAnsi="Verdana"/>
          <w:sz w:val="16"/>
          <w:szCs w:val="16"/>
          <w:lang w:val="es-CR"/>
        </w:rPr>
        <w:t xml:space="preserve">listados </w:t>
      </w:r>
      <w:r w:rsidRPr="00C21C34">
        <w:rPr>
          <w:rFonts w:ascii="Verdana" w:hAnsi="Verdana"/>
          <w:sz w:val="16"/>
          <w:szCs w:val="16"/>
          <w:lang w:val="es-CR"/>
        </w:rPr>
        <w:t>en el Anexo C de la Sentencia,</w:t>
      </w:r>
      <w:r w:rsidR="003B5290" w:rsidRPr="00C21C34">
        <w:rPr>
          <w:rFonts w:ascii="Verdana" w:hAnsi="Verdana"/>
          <w:sz w:val="16"/>
          <w:szCs w:val="16"/>
          <w:lang w:val="es-CR"/>
        </w:rPr>
        <w:t xml:space="preserve"> 62 internos fallecidos </w:t>
      </w:r>
      <w:r w:rsidR="00571CDF" w:rsidRPr="00C21C34">
        <w:rPr>
          <w:rFonts w:ascii="Verdana" w:hAnsi="Verdana"/>
          <w:sz w:val="16"/>
          <w:szCs w:val="16"/>
          <w:lang w:val="es-CR"/>
        </w:rPr>
        <w:t xml:space="preserve">listados </w:t>
      </w:r>
      <w:r w:rsidR="003B5290" w:rsidRPr="00C21C34">
        <w:rPr>
          <w:rFonts w:ascii="Verdana" w:hAnsi="Verdana"/>
          <w:sz w:val="16"/>
          <w:szCs w:val="16"/>
          <w:lang w:val="es-CR"/>
        </w:rPr>
        <w:t xml:space="preserve">en el Anexo D de la Sentencia, 1 interno </w:t>
      </w:r>
      <w:r w:rsidR="00571CDF" w:rsidRPr="00C21C34">
        <w:rPr>
          <w:rFonts w:ascii="Verdana" w:hAnsi="Verdana"/>
          <w:sz w:val="16"/>
          <w:szCs w:val="16"/>
          <w:lang w:val="es-CR"/>
        </w:rPr>
        <w:t xml:space="preserve">fallecido </w:t>
      </w:r>
      <w:r w:rsidR="003B5290" w:rsidRPr="00C21C34">
        <w:rPr>
          <w:rFonts w:ascii="Verdana" w:hAnsi="Verdana"/>
          <w:sz w:val="16"/>
          <w:szCs w:val="16"/>
          <w:lang w:val="es-CR"/>
        </w:rPr>
        <w:t>en prisión preventiva indicado en el Anexo B de la Sentencia y 1 persona cuyo</w:t>
      </w:r>
      <w:r w:rsidRPr="00C21C34">
        <w:rPr>
          <w:rFonts w:ascii="Verdana" w:hAnsi="Verdana"/>
          <w:sz w:val="16"/>
          <w:szCs w:val="16"/>
          <w:lang w:val="es-CR"/>
        </w:rPr>
        <w:t xml:space="preserve"> </w:t>
      </w:r>
      <w:r w:rsidR="003B5290" w:rsidRPr="00C21C34">
        <w:rPr>
          <w:rFonts w:ascii="Verdana" w:hAnsi="Verdana"/>
          <w:sz w:val="16"/>
          <w:szCs w:val="16"/>
          <w:lang w:val="es-CR"/>
        </w:rPr>
        <w:t xml:space="preserve">nombre no coincide con el de ninguna de las </w:t>
      </w:r>
      <w:r w:rsidR="00571CDF" w:rsidRPr="00C21C34">
        <w:rPr>
          <w:rFonts w:ascii="Verdana" w:hAnsi="Verdana"/>
          <w:sz w:val="16"/>
          <w:szCs w:val="16"/>
          <w:lang w:val="es-CR"/>
        </w:rPr>
        <w:t xml:space="preserve">víctimas </w:t>
      </w:r>
      <w:r w:rsidR="003B5290" w:rsidRPr="00C21C34">
        <w:rPr>
          <w:rFonts w:ascii="Verdana" w:hAnsi="Verdana"/>
          <w:sz w:val="16"/>
          <w:szCs w:val="16"/>
          <w:lang w:val="es-CR"/>
        </w:rPr>
        <w:t xml:space="preserve">incluidas en los Anexos de la Sentencia. Respecto a esta última, si bien el </w:t>
      </w:r>
      <w:r w:rsidR="00BF5843" w:rsidRPr="00C21C34">
        <w:rPr>
          <w:rFonts w:ascii="Verdana" w:hAnsi="Verdana"/>
          <w:sz w:val="16"/>
          <w:szCs w:val="16"/>
          <w:lang w:val="es-CR"/>
        </w:rPr>
        <w:t xml:space="preserve">Comisionado Nacional de los Derechos Humanos </w:t>
      </w:r>
      <w:r w:rsidR="003B5290" w:rsidRPr="00C21C34">
        <w:rPr>
          <w:rFonts w:ascii="Verdana" w:hAnsi="Verdana"/>
          <w:sz w:val="16"/>
          <w:szCs w:val="16"/>
          <w:lang w:val="es-CR"/>
        </w:rPr>
        <w:t xml:space="preserve">identificó a su familiar, las partes no han señalado si, por ejemplo, es uno de los internos indicados en la Sentencia cuyo nombre no correspondía con el señalado en el Registro Civil hondureño, o bien, alguna otra explicación. Asimismo, la Corte nota que el </w:t>
      </w:r>
      <w:r w:rsidR="00BF5843" w:rsidRPr="00C21C34">
        <w:rPr>
          <w:rFonts w:ascii="Verdana" w:hAnsi="Verdana"/>
          <w:sz w:val="16"/>
          <w:szCs w:val="16"/>
          <w:lang w:val="es-CR"/>
        </w:rPr>
        <w:t xml:space="preserve">Comisionado Nacional de los Derechos Humanos </w:t>
      </w:r>
      <w:r w:rsidR="003B5290" w:rsidRPr="00C21C34">
        <w:rPr>
          <w:rFonts w:ascii="Verdana" w:hAnsi="Verdana"/>
          <w:sz w:val="16"/>
          <w:szCs w:val="16"/>
          <w:lang w:val="es-CR"/>
        </w:rPr>
        <w:t>identificó a 6 familiares adicionales de los</w:t>
      </w:r>
      <w:r w:rsidR="00183153" w:rsidRPr="00C21C34">
        <w:rPr>
          <w:rFonts w:ascii="Verdana" w:hAnsi="Verdana"/>
          <w:sz w:val="16"/>
          <w:szCs w:val="16"/>
          <w:lang w:val="es-CR"/>
        </w:rPr>
        <w:t xml:space="preserve"> que ya habían sido reconocidos</w:t>
      </w:r>
      <w:r w:rsidR="003B5290" w:rsidRPr="00C21C34">
        <w:rPr>
          <w:rFonts w:ascii="Verdana" w:hAnsi="Verdana"/>
          <w:sz w:val="16"/>
          <w:szCs w:val="16"/>
          <w:lang w:val="es-CR"/>
        </w:rPr>
        <w:t xml:space="preserve"> en el Anexo C de la Sentencia e incluyó a un familiar del referido interno que en </w:t>
      </w:r>
      <w:r w:rsidR="00183153" w:rsidRPr="00C21C34">
        <w:rPr>
          <w:rFonts w:ascii="Verdana" w:hAnsi="Verdana"/>
          <w:sz w:val="16"/>
          <w:szCs w:val="16"/>
          <w:lang w:val="es-CR"/>
        </w:rPr>
        <w:t xml:space="preserve">el Anexo B </w:t>
      </w:r>
      <w:r w:rsidR="003B5290" w:rsidRPr="00C21C34">
        <w:rPr>
          <w:rFonts w:ascii="Verdana" w:hAnsi="Verdana"/>
          <w:sz w:val="16"/>
          <w:szCs w:val="16"/>
          <w:lang w:val="es-CR"/>
        </w:rPr>
        <w:t xml:space="preserve">la Sentencia se indicó estaba en prisión preventiva. No obstante ello, la Corte también observa que los representantes de las víctimas </w:t>
      </w:r>
      <w:r w:rsidR="00571CDF" w:rsidRPr="00C21C34">
        <w:rPr>
          <w:rFonts w:ascii="Verdana" w:hAnsi="Verdana"/>
          <w:sz w:val="16"/>
          <w:szCs w:val="16"/>
          <w:lang w:val="es-CR"/>
        </w:rPr>
        <w:t>señalaron que dicha lista “h[a]sido objeto de aprobación por las partes implicadas”</w:t>
      </w:r>
      <w:r w:rsidR="00536CB8" w:rsidRPr="00C21C34">
        <w:rPr>
          <w:rFonts w:ascii="Verdana" w:hAnsi="Verdana"/>
          <w:sz w:val="16"/>
          <w:szCs w:val="16"/>
          <w:lang w:val="es-CR"/>
        </w:rPr>
        <w:t>.</w:t>
      </w:r>
      <w:r w:rsidR="003B5290" w:rsidRPr="00C21C34">
        <w:rPr>
          <w:rFonts w:ascii="Verdana" w:hAnsi="Verdana"/>
          <w:sz w:val="16"/>
          <w:szCs w:val="16"/>
          <w:lang w:val="es-CR"/>
        </w:rPr>
        <w:t xml:space="preserve"> </w:t>
      </w:r>
      <w:r w:rsidR="00DF5800" w:rsidRPr="00C21C34">
        <w:rPr>
          <w:rFonts w:ascii="Verdana" w:hAnsi="Verdana"/>
          <w:i/>
          <w:sz w:val="16"/>
          <w:szCs w:val="16"/>
          <w:lang w:val="es-CR"/>
        </w:rPr>
        <w:t>Cfr. “</w:t>
      </w:r>
      <w:r w:rsidR="00DF5800" w:rsidRPr="00C21C34">
        <w:rPr>
          <w:rFonts w:ascii="Verdana" w:hAnsi="Verdana"/>
          <w:sz w:val="16"/>
          <w:szCs w:val="16"/>
          <w:lang w:val="es-CR"/>
        </w:rPr>
        <w:t>Listado final de familiares identificados”, documento con el sello de Caritas en el cual se detalla</w:t>
      </w:r>
      <w:r w:rsidR="00781EE7">
        <w:rPr>
          <w:rFonts w:ascii="Verdana" w:hAnsi="Verdana"/>
          <w:sz w:val="16"/>
          <w:szCs w:val="16"/>
          <w:lang w:val="es-CR"/>
        </w:rPr>
        <w:t>, entre otros datos,</w:t>
      </w:r>
      <w:r w:rsidR="00DF5800" w:rsidRPr="00C21C34">
        <w:rPr>
          <w:rFonts w:ascii="Verdana" w:hAnsi="Verdana"/>
          <w:sz w:val="16"/>
          <w:szCs w:val="16"/>
          <w:lang w:val="es-CR"/>
        </w:rPr>
        <w:t xml:space="preserve"> el nombre del interno fallecido, el nombre del familiar, la relación de parentesco, si el familiar fue identificado en la Sentencia o mediante </w:t>
      </w:r>
      <w:r w:rsidR="00E2044E" w:rsidRPr="00C21C34">
        <w:rPr>
          <w:rFonts w:ascii="Verdana" w:hAnsi="Verdana"/>
          <w:sz w:val="16"/>
          <w:szCs w:val="16"/>
          <w:lang w:val="es-CR"/>
        </w:rPr>
        <w:t xml:space="preserve">el </w:t>
      </w:r>
      <w:r w:rsidR="00BF5843" w:rsidRPr="00C21C34">
        <w:rPr>
          <w:rFonts w:ascii="Verdana" w:hAnsi="Verdana"/>
          <w:sz w:val="16"/>
          <w:szCs w:val="16"/>
          <w:lang w:val="es-CR"/>
        </w:rPr>
        <w:t>Comisionado Nacional de los Derechos Humanos</w:t>
      </w:r>
      <w:r w:rsidR="00781EE7">
        <w:rPr>
          <w:rFonts w:ascii="Verdana" w:hAnsi="Verdana"/>
          <w:sz w:val="16"/>
          <w:szCs w:val="16"/>
          <w:lang w:val="es-CR"/>
        </w:rPr>
        <w:t xml:space="preserve"> y</w:t>
      </w:r>
      <w:r w:rsidR="00DF5800" w:rsidRPr="00C21C34">
        <w:rPr>
          <w:rFonts w:ascii="Verdana" w:hAnsi="Verdana"/>
          <w:sz w:val="16"/>
          <w:szCs w:val="16"/>
          <w:lang w:val="es-CR"/>
        </w:rPr>
        <w:t xml:space="preserve"> la cantidad a indemnizar por cada familiar (anexo al informe estatal de 11 de mayo de 2017)</w:t>
      </w:r>
      <w:r w:rsidR="00536CB8" w:rsidRPr="00C21C34">
        <w:rPr>
          <w:rFonts w:ascii="Verdana" w:hAnsi="Verdana"/>
          <w:sz w:val="16"/>
          <w:szCs w:val="16"/>
          <w:lang w:val="es-CR"/>
        </w:rPr>
        <w:t xml:space="preserve"> y escrito de observaciones de los representantes de las víctimas de 19 de mayo de 2017</w:t>
      </w:r>
      <w:r w:rsidR="00DF5800" w:rsidRPr="00C21C34">
        <w:rPr>
          <w:rFonts w:ascii="Verdana" w:hAnsi="Verdana"/>
          <w:sz w:val="16"/>
          <w:szCs w:val="16"/>
          <w:lang w:val="es-CR"/>
        </w:rPr>
        <w:t>.</w:t>
      </w:r>
    </w:p>
  </w:footnote>
  <w:footnote w:id="21">
    <w:p w:rsidR="00DF5800" w:rsidRPr="00C21C34" w:rsidRDefault="00DF5800"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es-CR"/>
        </w:rPr>
        <w:t xml:space="preserve"> </w:t>
      </w:r>
      <w:r w:rsidR="006C3933" w:rsidRPr="00C21C34">
        <w:rPr>
          <w:rFonts w:ascii="Verdana" w:hAnsi="Verdana"/>
          <w:sz w:val="16"/>
          <w:szCs w:val="16"/>
          <w:lang w:val="es-CR"/>
        </w:rPr>
        <w:tab/>
      </w:r>
      <w:r w:rsidR="006C3933" w:rsidRPr="00C21C34">
        <w:rPr>
          <w:rFonts w:ascii="Verdana" w:hAnsi="Verdana"/>
          <w:i/>
          <w:sz w:val="16"/>
          <w:szCs w:val="16"/>
          <w:lang w:val="es-CR"/>
        </w:rPr>
        <w:t xml:space="preserve">Cfr. </w:t>
      </w:r>
      <w:r w:rsidR="006C3933" w:rsidRPr="00C21C34">
        <w:rPr>
          <w:rFonts w:ascii="Verdana" w:hAnsi="Verdana"/>
          <w:i/>
          <w:color w:val="000000"/>
          <w:sz w:val="16"/>
          <w:szCs w:val="16"/>
          <w:lang w:val="es-CR"/>
        </w:rPr>
        <w:t xml:space="preserve">Caso Pacheco Teruel y otros Vs. Honduras, supra </w:t>
      </w:r>
      <w:r w:rsidR="006C3933" w:rsidRPr="00C21C34">
        <w:rPr>
          <w:rFonts w:ascii="Verdana" w:hAnsi="Verdana"/>
          <w:color w:val="000000"/>
          <w:sz w:val="16"/>
          <w:szCs w:val="16"/>
          <w:lang w:val="es-CR"/>
        </w:rPr>
        <w:t>nota 1</w:t>
      </w:r>
      <w:r w:rsidR="00C542DA" w:rsidRPr="00C21C34">
        <w:rPr>
          <w:rFonts w:ascii="Verdana" w:hAnsi="Verdana"/>
          <w:color w:val="000000"/>
          <w:sz w:val="16"/>
          <w:szCs w:val="16"/>
          <w:lang w:val="es-CR"/>
        </w:rPr>
        <w:t>, párr. 141. Dicho párrafo señala que “[s]i por causas atribuibles a los beneficiarios de las indemnizaciones o a sus derechohabientes no fuese posible el pago de las cantidades determinadas por concepto de daño inmaterial dentro de los plazos indicados, el Estado consignará dichos montos a su favor en una cuenta o certificado de depósito en una institución financiera hondureña solvente o el fideicomiso creado por el acuerdo, en Lempiras hondureñas, y en las condiciones financieras más favorables que permitan la legislación y la práctica bancaria. Si no se reclama la indemnización correspondiente una vez transcurridos diez años, las cantidades serán devueltas al Estado con los intereses devengados”.</w:t>
      </w:r>
    </w:p>
  </w:footnote>
  <w:footnote w:id="22">
    <w:p w:rsidR="00477D4D" w:rsidRPr="00C21C34" w:rsidRDefault="00477D4D" w:rsidP="00C21C34">
      <w:pPr>
        <w:pStyle w:val="Textonotapie"/>
        <w:jc w:val="both"/>
        <w:rPr>
          <w:rFonts w:ascii="Verdana" w:hAnsi="Verdana"/>
          <w:sz w:val="16"/>
          <w:szCs w:val="16"/>
          <w:lang w:val="es-CR"/>
        </w:rPr>
      </w:pPr>
      <w:r w:rsidRPr="00C21C34">
        <w:rPr>
          <w:rStyle w:val="Refdenotaalpie"/>
          <w:rFonts w:ascii="Verdana" w:hAnsi="Verdana"/>
          <w:sz w:val="16"/>
          <w:szCs w:val="16"/>
        </w:rPr>
        <w:footnoteRef/>
      </w:r>
      <w:r w:rsidRPr="00C21C34">
        <w:rPr>
          <w:rFonts w:ascii="Verdana" w:hAnsi="Verdana"/>
          <w:sz w:val="16"/>
          <w:szCs w:val="16"/>
          <w:lang w:val="pt-BR"/>
        </w:rPr>
        <w:t xml:space="preserve"> </w:t>
      </w:r>
      <w:r w:rsidRPr="00C21C34">
        <w:rPr>
          <w:rFonts w:ascii="Verdana" w:hAnsi="Verdana"/>
          <w:sz w:val="16"/>
          <w:szCs w:val="16"/>
          <w:lang w:val="pt-BR"/>
        </w:rPr>
        <w:tab/>
      </w:r>
      <w:r w:rsidRPr="00C21C34">
        <w:rPr>
          <w:rFonts w:ascii="Verdana" w:hAnsi="Verdana"/>
          <w:i/>
          <w:sz w:val="16"/>
          <w:szCs w:val="16"/>
          <w:lang w:val="pt-BR"/>
        </w:rPr>
        <w:t xml:space="preserve">Cfr. Caso Familia Pacheco Tineo Vs. </w:t>
      </w:r>
      <w:r w:rsidRPr="00C21C34">
        <w:rPr>
          <w:rFonts w:ascii="Verdana" w:hAnsi="Verdana"/>
          <w:i/>
          <w:sz w:val="16"/>
          <w:szCs w:val="16"/>
          <w:lang w:val="es-CR"/>
        </w:rPr>
        <w:t>Bolivia. Supervisión de Cumplimiento de Sentencia</w:t>
      </w:r>
      <w:r w:rsidRPr="00C21C34">
        <w:rPr>
          <w:rFonts w:ascii="Verdana" w:hAnsi="Verdana"/>
          <w:sz w:val="16"/>
          <w:szCs w:val="16"/>
          <w:lang w:val="es-CR"/>
        </w:rPr>
        <w:t>. Resolución de la Corte Interamericana de Derechos Humanos de 17 de abril de 2015, Considerando 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EA" w:rsidRDefault="006028EA" w:rsidP="006028EA">
    <w:pPr>
      <w:pStyle w:val="Encabezado"/>
      <w:jc w:val="center"/>
      <w:rPr>
        <w:rFonts w:ascii="Helvetica" w:hAnsi="Helvetica"/>
        <w:sz w:val="16"/>
        <w:lang w:val="es-CR"/>
      </w:rPr>
    </w:pPr>
    <w:r w:rsidRPr="006028EA">
      <w:rPr>
        <w:rFonts w:ascii="Verdana" w:hAnsi="Verdana"/>
        <w:sz w:val="20"/>
        <w:szCs w:val="20"/>
        <w:lang w:val="es-CR"/>
      </w:rPr>
      <w:t>-</w:t>
    </w:r>
    <w:r w:rsidRPr="00671120">
      <w:rPr>
        <w:rFonts w:ascii="Verdana" w:hAnsi="Verdana"/>
        <w:sz w:val="20"/>
        <w:szCs w:val="20"/>
      </w:rPr>
      <w:fldChar w:fldCharType="begin"/>
    </w:r>
    <w:r w:rsidRPr="006028EA">
      <w:rPr>
        <w:rFonts w:ascii="Verdana" w:hAnsi="Verdana"/>
        <w:sz w:val="20"/>
        <w:szCs w:val="20"/>
        <w:lang w:val="es-CR"/>
      </w:rPr>
      <w:instrText>PAGE   \* MERGEFORMAT</w:instrText>
    </w:r>
    <w:r w:rsidRPr="00671120">
      <w:rPr>
        <w:rFonts w:ascii="Verdana" w:hAnsi="Verdana"/>
        <w:sz w:val="20"/>
        <w:szCs w:val="20"/>
      </w:rPr>
      <w:fldChar w:fldCharType="separate"/>
    </w:r>
    <w:r w:rsidR="00A83388" w:rsidRPr="00A83388">
      <w:rPr>
        <w:rFonts w:ascii="Verdana" w:hAnsi="Verdana"/>
        <w:noProof/>
        <w:sz w:val="20"/>
        <w:szCs w:val="20"/>
        <w:lang w:val="es-ES"/>
      </w:rPr>
      <w:t>10</w:t>
    </w:r>
    <w:r w:rsidRPr="00671120">
      <w:rPr>
        <w:rFonts w:ascii="Verdana" w:hAnsi="Verdana"/>
        <w:sz w:val="20"/>
        <w:szCs w:val="20"/>
      </w:rPr>
      <w:fldChar w:fldCharType="end"/>
    </w:r>
    <w:r w:rsidRPr="006028EA">
      <w:rPr>
        <w:rFonts w:ascii="Verdana" w:hAnsi="Verdana"/>
        <w:sz w:val="20"/>
        <w:szCs w:val="20"/>
        <w:lang w:val="es-CR"/>
      </w:rPr>
      <w:t>-</w:t>
    </w:r>
  </w:p>
  <w:p w:rsidR="001B501F" w:rsidRPr="0002220E" w:rsidRDefault="001B501F" w:rsidP="0002220E">
    <w:pPr>
      <w:pStyle w:val="Encabezado"/>
      <w:jc w:val="center"/>
      <w:rPr>
        <w:rFonts w:ascii="Verdana" w:hAnsi="Verdana"/>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C421D"/>
    <w:multiLevelType w:val="hybridMultilevel"/>
    <w:tmpl w:val="30F207C2"/>
    <w:lvl w:ilvl="0" w:tplc="C786F6E4">
      <w:start w:val="5"/>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1FE30AA6"/>
    <w:multiLevelType w:val="hybridMultilevel"/>
    <w:tmpl w:val="81309CE0"/>
    <w:lvl w:ilvl="0" w:tplc="B0B0EA76">
      <w:start w:val="4"/>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26B078C3"/>
    <w:multiLevelType w:val="hybridMultilevel"/>
    <w:tmpl w:val="67DA9FCA"/>
    <w:lvl w:ilvl="0" w:tplc="04090015">
      <w:start w:val="1"/>
      <w:numFmt w:val="upperLetter"/>
      <w:lvlText w:val="%1."/>
      <w:lvlJc w:val="left"/>
      <w:pPr>
        <w:ind w:left="720" w:hanging="360"/>
      </w:pPr>
      <w:rPr>
        <w:rFonts w:hint="default"/>
      </w:rPr>
    </w:lvl>
    <w:lvl w:ilvl="1" w:tplc="98FEE71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000248"/>
    <w:multiLevelType w:val="hybridMultilevel"/>
    <w:tmpl w:val="405A20D8"/>
    <w:lvl w:ilvl="0" w:tplc="140A0017">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
    <w:nsid w:val="393014FD"/>
    <w:multiLevelType w:val="hybridMultilevel"/>
    <w:tmpl w:val="767E2950"/>
    <w:lvl w:ilvl="0" w:tplc="140A000F">
      <w:start w:val="1"/>
      <w:numFmt w:val="decimal"/>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46E33C01"/>
    <w:multiLevelType w:val="hybridMultilevel"/>
    <w:tmpl w:val="568827F0"/>
    <w:lvl w:ilvl="0" w:tplc="140A0017">
      <w:start w:val="1"/>
      <w:numFmt w:val="lowerLetter"/>
      <w:lvlText w:val="%1)"/>
      <w:lvlJc w:val="left"/>
      <w:pPr>
        <w:ind w:left="1080" w:hanging="360"/>
      </w:p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nsid w:val="4BBE0E90"/>
    <w:multiLevelType w:val="hybridMultilevel"/>
    <w:tmpl w:val="68A4D502"/>
    <w:lvl w:ilvl="0" w:tplc="838AAB90">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63B023B6"/>
    <w:multiLevelType w:val="hybridMultilevel"/>
    <w:tmpl w:val="23D27D74"/>
    <w:lvl w:ilvl="0" w:tplc="4D68EACA">
      <w:start w:val="6"/>
      <w:numFmt w:val="decimal"/>
      <w:lvlText w:val="%1."/>
      <w:lvlJc w:val="left"/>
      <w:pPr>
        <w:ind w:left="720" w:hanging="360"/>
      </w:pPr>
      <w:rPr>
        <w:rFonts w:hint="default"/>
        <w:b w:val="0"/>
        <w:i w:val="0"/>
        <w:sz w:val="20"/>
        <w:szCs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69774375"/>
    <w:multiLevelType w:val="hybridMultilevel"/>
    <w:tmpl w:val="3FEEF86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7AA0268D"/>
    <w:multiLevelType w:val="hybridMultilevel"/>
    <w:tmpl w:val="9B3A959E"/>
    <w:lvl w:ilvl="0" w:tplc="140A0017">
      <w:start w:val="1"/>
      <w:numFmt w:val="lowerLetter"/>
      <w:lvlText w:val="%1)"/>
      <w:lvlJc w:val="left"/>
      <w:pPr>
        <w:ind w:left="720" w:hanging="360"/>
      </w:p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4"/>
  </w:num>
  <w:num w:numId="5">
    <w:abstractNumId w:val="8"/>
  </w:num>
  <w:num w:numId="6">
    <w:abstractNumId w:val="5"/>
  </w:num>
  <w:num w:numId="7">
    <w:abstractNumId w:val="10"/>
  </w:num>
  <w:num w:numId="8">
    <w:abstractNumId w:val="1"/>
  </w:num>
  <w:num w:numId="9">
    <w:abstractNumId w:val="9"/>
  </w:num>
  <w:num w:numId="10">
    <w:abstractNumId w:val="3"/>
  </w:num>
  <w:num w:numId="1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3D4F"/>
    <w:rsid w:val="000040BC"/>
    <w:rsid w:val="0000617D"/>
    <w:rsid w:val="00006DB9"/>
    <w:rsid w:val="000121ED"/>
    <w:rsid w:val="000142A3"/>
    <w:rsid w:val="00014366"/>
    <w:rsid w:val="000159FF"/>
    <w:rsid w:val="00017E73"/>
    <w:rsid w:val="0002220E"/>
    <w:rsid w:val="00024405"/>
    <w:rsid w:val="00024A8B"/>
    <w:rsid w:val="000264F8"/>
    <w:rsid w:val="00032A4E"/>
    <w:rsid w:val="000368A4"/>
    <w:rsid w:val="00036946"/>
    <w:rsid w:val="00037483"/>
    <w:rsid w:val="00040684"/>
    <w:rsid w:val="00043B6F"/>
    <w:rsid w:val="000444EB"/>
    <w:rsid w:val="000457D4"/>
    <w:rsid w:val="00046155"/>
    <w:rsid w:val="00046E37"/>
    <w:rsid w:val="00046F7E"/>
    <w:rsid w:val="00047034"/>
    <w:rsid w:val="00047288"/>
    <w:rsid w:val="00047560"/>
    <w:rsid w:val="000477CE"/>
    <w:rsid w:val="00051529"/>
    <w:rsid w:val="00052366"/>
    <w:rsid w:val="000534CE"/>
    <w:rsid w:val="00055FA5"/>
    <w:rsid w:val="00056B07"/>
    <w:rsid w:val="00057FB7"/>
    <w:rsid w:val="0006095B"/>
    <w:rsid w:val="00060D08"/>
    <w:rsid w:val="00061A0A"/>
    <w:rsid w:val="00062679"/>
    <w:rsid w:val="000631A9"/>
    <w:rsid w:val="00064748"/>
    <w:rsid w:val="00065B58"/>
    <w:rsid w:val="0006620E"/>
    <w:rsid w:val="00072210"/>
    <w:rsid w:val="000734F1"/>
    <w:rsid w:val="00076512"/>
    <w:rsid w:val="00077139"/>
    <w:rsid w:val="0009166C"/>
    <w:rsid w:val="00096CE4"/>
    <w:rsid w:val="000A000B"/>
    <w:rsid w:val="000A16EF"/>
    <w:rsid w:val="000A1A67"/>
    <w:rsid w:val="000A2B57"/>
    <w:rsid w:val="000A552E"/>
    <w:rsid w:val="000A588D"/>
    <w:rsid w:val="000B01FF"/>
    <w:rsid w:val="000B227B"/>
    <w:rsid w:val="000B34F3"/>
    <w:rsid w:val="000C042D"/>
    <w:rsid w:val="000C609F"/>
    <w:rsid w:val="000C77F2"/>
    <w:rsid w:val="000D1268"/>
    <w:rsid w:val="000D23E2"/>
    <w:rsid w:val="000D5673"/>
    <w:rsid w:val="000D5FAC"/>
    <w:rsid w:val="000E1063"/>
    <w:rsid w:val="000E50D8"/>
    <w:rsid w:val="000E71A9"/>
    <w:rsid w:val="000E7572"/>
    <w:rsid w:val="000F0C43"/>
    <w:rsid w:val="000F1CF4"/>
    <w:rsid w:val="000F248B"/>
    <w:rsid w:val="000F29C9"/>
    <w:rsid w:val="000F46D2"/>
    <w:rsid w:val="000F5D0F"/>
    <w:rsid w:val="00101AD6"/>
    <w:rsid w:val="00102481"/>
    <w:rsid w:val="001029EF"/>
    <w:rsid w:val="00104788"/>
    <w:rsid w:val="00106618"/>
    <w:rsid w:val="001069E8"/>
    <w:rsid w:val="00106CFE"/>
    <w:rsid w:val="001141EE"/>
    <w:rsid w:val="00120C2D"/>
    <w:rsid w:val="00121288"/>
    <w:rsid w:val="001235EA"/>
    <w:rsid w:val="001255AA"/>
    <w:rsid w:val="001256C3"/>
    <w:rsid w:val="00127B6C"/>
    <w:rsid w:val="00132974"/>
    <w:rsid w:val="00132F50"/>
    <w:rsid w:val="001342B8"/>
    <w:rsid w:val="00136053"/>
    <w:rsid w:val="0013651F"/>
    <w:rsid w:val="00136725"/>
    <w:rsid w:val="00141C87"/>
    <w:rsid w:val="00141EC5"/>
    <w:rsid w:val="001435BC"/>
    <w:rsid w:val="00145EA9"/>
    <w:rsid w:val="00150C79"/>
    <w:rsid w:val="001540F7"/>
    <w:rsid w:val="00156E17"/>
    <w:rsid w:val="00157974"/>
    <w:rsid w:val="001633AC"/>
    <w:rsid w:val="00163C46"/>
    <w:rsid w:val="0017218B"/>
    <w:rsid w:val="00173F6C"/>
    <w:rsid w:val="001754FE"/>
    <w:rsid w:val="001759FF"/>
    <w:rsid w:val="001804DA"/>
    <w:rsid w:val="0018244A"/>
    <w:rsid w:val="00182E58"/>
    <w:rsid w:val="00183153"/>
    <w:rsid w:val="00190FAD"/>
    <w:rsid w:val="001912A1"/>
    <w:rsid w:val="001916B5"/>
    <w:rsid w:val="00191815"/>
    <w:rsid w:val="00192423"/>
    <w:rsid w:val="00192DF0"/>
    <w:rsid w:val="00193CD3"/>
    <w:rsid w:val="001976E6"/>
    <w:rsid w:val="001978EC"/>
    <w:rsid w:val="00197F8D"/>
    <w:rsid w:val="001A0003"/>
    <w:rsid w:val="001A0FCF"/>
    <w:rsid w:val="001A23A8"/>
    <w:rsid w:val="001A3071"/>
    <w:rsid w:val="001A3510"/>
    <w:rsid w:val="001A526E"/>
    <w:rsid w:val="001A6685"/>
    <w:rsid w:val="001B0651"/>
    <w:rsid w:val="001B0BB6"/>
    <w:rsid w:val="001B4E8B"/>
    <w:rsid w:val="001B500A"/>
    <w:rsid w:val="001B501F"/>
    <w:rsid w:val="001B5547"/>
    <w:rsid w:val="001C048B"/>
    <w:rsid w:val="001C0DED"/>
    <w:rsid w:val="001C1572"/>
    <w:rsid w:val="001C3AB5"/>
    <w:rsid w:val="001C483E"/>
    <w:rsid w:val="001C5E0F"/>
    <w:rsid w:val="001C70A4"/>
    <w:rsid w:val="001C7575"/>
    <w:rsid w:val="001D35C5"/>
    <w:rsid w:val="001D47C2"/>
    <w:rsid w:val="001D4F99"/>
    <w:rsid w:val="001D6910"/>
    <w:rsid w:val="001E19A3"/>
    <w:rsid w:val="001E23A6"/>
    <w:rsid w:val="001E3802"/>
    <w:rsid w:val="001E4180"/>
    <w:rsid w:val="001E43A2"/>
    <w:rsid w:val="001E557C"/>
    <w:rsid w:val="001E64A7"/>
    <w:rsid w:val="001F019B"/>
    <w:rsid w:val="001F62D3"/>
    <w:rsid w:val="002012EF"/>
    <w:rsid w:val="00201CA9"/>
    <w:rsid w:val="00202E30"/>
    <w:rsid w:val="00204E39"/>
    <w:rsid w:val="00212781"/>
    <w:rsid w:val="0021602B"/>
    <w:rsid w:val="002174A2"/>
    <w:rsid w:val="00217523"/>
    <w:rsid w:val="00221F34"/>
    <w:rsid w:val="00224054"/>
    <w:rsid w:val="00230D46"/>
    <w:rsid w:val="0023290D"/>
    <w:rsid w:val="002333F0"/>
    <w:rsid w:val="00235FA5"/>
    <w:rsid w:val="00236C4D"/>
    <w:rsid w:val="00237CA0"/>
    <w:rsid w:val="002439D0"/>
    <w:rsid w:val="00243B67"/>
    <w:rsid w:val="00244281"/>
    <w:rsid w:val="002446E6"/>
    <w:rsid w:val="00246221"/>
    <w:rsid w:val="00247B4B"/>
    <w:rsid w:val="002500C7"/>
    <w:rsid w:val="0025143F"/>
    <w:rsid w:val="00251DB6"/>
    <w:rsid w:val="00253240"/>
    <w:rsid w:val="0025597F"/>
    <w:rsid w:val="00255B9F"/>
    <w:rsid w:val="00264887"/>
    <w:rsid w:val="00265EBD"/>
    <w:rsid w:val="0026681D"/>
    <w:rsid w:val="00267DF3"/>
    <w:rsid w:val="00271DC5"/>
    <w:rsid w:val="002733A0"/>
    <w:rsid w:val="002751B7"/>
    <w:rsid w:val="00276A9C"/>
    <w:rsid w:val="00276DB7"/>
    <w:rsid w:val="00277370"/>
    <w:rsid w:val="002776A8"/>
    <w:rsid w:val="0028181B"/>
    <w:rsid w:val="00282B6A"/>
    <w:rsid w:val="002835BA"/>
    <w:rsid w:val="00290176"/>
    <w:rsid w:val="002911F3"/>
    <w:rsid w:val="002A0305"/>
    <w:rsid w:val="002A2F06"/>
    <w:rsid w:val="002A4405"/>
    <w:rsid w:val="002A4433"/>
    <w:rsid w:val="002A727E"/>
    <w:rsid w:val="002B4690"/>
    <w:rsid w:val="002B604E"/>
    <w:rsid w:val="002B625E"/>
    <w:rsid w:val="002B6C8E"/>
    <w:rsid w:val="002C151C"/>
    <w:rsid w:val="002C33E5"/>
    <w:rsid w:val="002D018B"/>
    <w:rsid w:val="002D0550"/>
    <w:rsid w:val="002D7C72"/>
    <w:rsid w:val="002E1101"/>
    <w:rsid w:val="002E1C85"/>
    <w:rsid w:val="002E1EEC"/>
    <w:rsid w:val="002E305D"/>
    <w:rsid w:val="002E484D"/>
    <w:rsid w:val="002E6550"/>
    <w:rsid w:val="002F006C"/>
    <w:rsid w:val="002F1D34"/>
    <w:rsid w:val="002F50F0"/>
    <w:rsid w:val="002F7D14"/>
    <w:rsid w:val="00300D02"/>
    <w:rsid w:val="00302DAA"/>
    <w:rsid w:val="0030486D"/>
    <w:rsid w:val="00306011"/>
    <w:rsid w:val="00306751"/>
    <w:rsid w:val="003139CB"/>
    <w:rsid w:val="00314A94"/>
    <w:rsid w:val="003151C8"/>
    <w:rsid w:val="00316149"/>
    <w:rsid w:val="0031749C"/>
    <w:rsid w:val="00317822"/>
    <w:rsid w:val="00317DB3"/>
    <w:rsid w:val="003202D8"/>
    <w:rsid w:val="00322612"/>
    <w:rsid w:val="0032570B"/>
    <w:rsid w:val="003320E3"/>
    <w:rsid w:val="00333555"/>
    <w:rsid w:val="00337DA3"/>
    <w:rsid w:val="00337FAA"/>
    <w:rsid w:val="00342BD7"/>
    <w:rsid w:val="00342CE4"/>
    <w:rsid w:val="00343FC2"/>
    <w:rsid w:val="00344B28"/>
    <w:rsid w:val="00344EDC"/>
    <w:rsid w:val="003453C7"/>
    <w:rsid w:val="003453F7"/>
    <w:rsid w:val="00352B8A"/>
    <w:rsid w:val="00353B1C"/>
    <w:rsid w:val="003563C4"/>
    <w:rsid w:val="00357F47"/>
    <w:rsid w:val="00361C43"/>
    <w:rsid w:val="0036260B"/>
    <w:rsid w:val="003631F8"/>
    <w:rsid w:val="0036774A"/>
    <w:rsid w:val="00367E71"/>
    <w:rsid w:val="00372198"/>
    <w:rsid w:val="00373415"/>
    <w:rsid w:val="00373956"/>
    <w:rsid w:val="00374AB2"/>
    <w:rsid w:val="00375E7C"/>
    <w:rsid w:val="00380604"/>
    <w:rsid w:val="00382381"/>
    <w:rsid w:val="00383078"/>
    <w:rsid w:val="0038360F"/>
    <w:rsid w:val="003840A3"/>
    <w:rsid w:val="00384D60"/>
    <w:rsid w:val="00384F4E"/>
    <w:rsid w:val="00385396"/>
    <w:rsid w:val="0038562F"/>
    <w:rsid w:val="00386061"/>
    <w:rsid w:val="003878CA"/>
    <w:rsid w:val="00390D23"/>
    <w:rsid w:val="00392FA8"/>
    <w:rsid w:val="00393991"/>
    <w:rsid w:val="003A023E"/>
    <w:rsid w:val="003A61B1"/>
    <w:rsid w:val="003B0537"/>
    <w:rsid w:val="003B4EBF"/>
    <w:rsid w:val="003B5290"/>
    <w:rsid w:val="003B6213"/>
    <w:rsid w:val="003B6735"/>
    <w:rsid w:val="003B6A39"/>
    <w:rsid w:val="003C11A2"/>
    <w:rsid w:val="003C1505"/>
    <w:rsid w:val="003C5601"/>
    <w:rsid w:val="003D2021"/>
    <w:rsid w:val="003D2365"/>
    <w:rsid w:val="003D30E0"/>
    <w:rsid w:val="003D4B93"/>
    <w:rsid w:val="003E00DA"/>
    <w:rsid w:val="003E423E"/>
    <w:rsid w:val="003E4608"/>
    <w:rsid w:val="003E4CF5"/>
    <w:rsid w:val="003E53AA"/>
    <w:rsid w:val="003E70D1"/>
    <w:rsid w:val="003F5288"/>
    <w:rsid w:val="003F5F46"/>
    <w:rsid w:val="00405CCF"/>
    <w:rsid w:val="004063E0"/>
    <w:rsid w:val="0041700C"/>
    <w:rsid w:val="00417478"/>
    <w:rsid w:val="004203C4"/>
    <w:rsid w:val="00422EFD"/>
    <w:rsid w:val="004267A7"/>
    <w:rsid w:val="00427378"/>
    <w:rsid w:val="00427409"/>
    <w:rsid w:val="00430F6E"/>
    <w:rsid w:val="00436119"/>
    <w:rsid w:val="004372CF"/>
    <w:rsid w:val="00441886"/>
    <w:rsid w:val="00441DB4"/>
    <w:rsid w:val="00444BC9"/>
    <w:rsid w:val="00446EC0"/>
    <w:rsid w:val="004477BE"/>
    <w:rsid w:val="00450D75"/>
    <w:rsid w:val="004517B4"/>
    <w:rsid w:val="004519E7"/>
    <w:rsid w:val="00452C6A"/>
    <w:rsid w:val="00453865"/>
    <w:rsid w:val="00456387"/>
    <w:rsid w:val="00456633"/>
    <w:rsid w:val="0045756A"/>
    <w:rsid w:val="004633A4"/>
    <w:rsid w:val="004641B3"/>
    <w:rsid w:val="00465C31"/>
    <w:rsid w:val="00467AED"/>
    <w:rsid w:val="00471329"/>
    <w:rsid w:val="00471923"/>
    <w:rsid w:val="0047217D"/>
    <w:rsid w:val="0047228E"/>
    <w:rsid w:val="00475416"/>
    <w:rsid w:val="00475F4D"/>
    <w:rsid w:val="00477D4D"/>
    <w:rsid w:val="00480B28"/>
    <w:rsid w:val="00484BD0"/>
    <w:rsid w:val="00485674"/>
    <w:rsid w:val="00492827"/>
    <w:rsid w:val="004937DB"/>
    <w:rsid w:val="004971B8"/>
    <w:rsid w:val="004A31B5"/>
    <w:rsid w:val="004A3773"/>
    <w:rsid w:val="004A6627"/>
    <w:rsid w:val="004A6A22"/>
    <w:rsid w:val="004A6C25"/>
    <w:rsid w:val="004A6FE6"/>
    <w:rsid w:val="004B3078"/>
    <w:rsid w:val="004B6521"/>
    <w:rsid w:val="004C04C4"/>
    <w:rsid w:val="004C41A4"/>
    <w:rsid w:val="004C430A"/>
    <w:rsid w:val="004C6334"/>
    <w:rsid w:val="004C7B35"/>
    <w:rsid w:val="004C7E5C"/>
    <w:rsid w:val="004D3129"/>
    <w:rsid w:val="004D3929"/>
    <w:rsid w:val="004D40FA"/>
    <w:rsid w:val="004D4C34"/>
    <w:rsid w:val="004D50B3"/>
    <w:rsid w:val="004D6330"/>
    <w:rsid w:val="004D747F"/>
    <w:rsid w:val="004D764E"/>
    <w:rsid w:val="004E1239"/>
    <w:rsid w:val="004E3593"/>
    <w:rsid w:val="004E3998"/>
    <w:rsid w:val="004E6320"/>
    <w:rsid w:val="004E7702"/>
    <w:rsid w:val="004F2246"/>
    <w:rsid w:val="004F40E5"/>
    <w:rsid w:val="004F4B79"/>
    <w:rsid w:val="004F7591"/>
    <w:rsid w:val="004F76F3"/>
    <w:rsid w:val="005012E3"/>
    <w:rsid w:val="005034A8"/>
    <w:rsid w:val="005034CA"/>
    <w:rsid w:val="00505829"/>
    <w:rsid w:val="005069E8"/>
    <w:rsid w:val="00511D62"/>
    <w:rsid w:val="00515DB9"/>
    <w:rsid w:val="0051635A"/>
    <w:rsid w:val="00517F20"/>
    <w:rsid w:val="00520034"/>
    <w:rsid w:val="00520868"/>
    <w:rsid w:val="00520C92"/>
    <w:rsid w:val="00521176"/>
    <w:rsid w:val="00523004"/>
    <w:rsid w:val="005237EB"/>
    <w:rsid w:val="0052555F"/>
    <w:rsid w:val="00530289"/>
    <w:rsid w:val="00530BFC"/>
    <w:rsid w:val="005326B7"/>
    <w:rsid w:val="00533307"/>
    <w:rsid w:val="00536CB8"/>
    <w:rsid w:val="005376E6"/>
    <w:rsid w:val="00540471"/>
    <w:rsid w:val="00541208"/>
    <w:rsid w:val="00542B91"/>
    <w:rsid w:val="005439B2"/>
    <w:rsid w:val="005460D3"/>
    <w:rsid w:val="00554820"/>
    <w:rsid w:val="00555201"/>
    <w:rsid w:val="00555371"/>
    <w:rsid w:val="00560316"/>
    <w:rsid w:val="00563E3A"/>
    <w:rsid w:val="00565F2A"/>
    <w:rsid w:val="00567043"/>
    <w:rsid w:val="00570AFB"/>
    <w:rsid w:val="0057155D"/>
    <w:rsid w:val="00571888"/>
    <w:rsid w:val="00571CDF"/>
    <w:rsid w:val="00574982"/>
    <w:rsid w:val="0057609C"/>
    <w:rsid w:val="00576156"/>
    <w:rsid w:val="005771EA"/>
    <w:rsid w:val="005809F6"/>
    <w:rsid w:val="00582FFB"/>
    <w:rsid w:val="00585FB4"/>
    <w:rsid w:val="005903DA"/>
    <w:rsid w:val="005905A9"/>
    <w:rsid w:val="00590C47"/>
    <w:rsid w:val="005921C0"/>
    <w:rsid w:val="005923F4"/>
    <w:rsid w:val="00593569"/>
    <w:rsid w:val="005952CF"/>
    <w:rsid w:val="0059605C"/>
    <w:rsid w:val="00596D5E"/>
    <w:rsid w:val="00597856"/>
    <w:rsid w:val="005A1B3D"/>
    <w:rsid w:val="005A29F3"/>
    <w:rsid w:val="005A2E32"/>
    <w:rsid w:val="005B0AB8"/>
    <w:rsid w:val="005B3B1C"/>
    <w:rsid w:val="005B4A61"/>
    <w:rsid w:val="005B5CF2"/>
    <w:rsid w:val="005C025D"/>
    <w:rsid w:val="005C0DF5"/>
    <w:rsid w:val="005C3529"/>
    <w:rsid w:val="005C5499"/>
    <w:rsid w:val="005C6019"/>
    <w:rsid w:val="005D26C7"/>
    <w:rsid w:val="005D5330"/>
    <w:rsid w:val="005D68FE"/>
    <w:rsid w:val="005D6A03"/>
    <w:rsid w:val="005E1062"/>
    <w:rsid w:val="005E232F"/>
    <w:rsid w:val="005E3AA2"/>
    <w:rsid w:val="005E7CF8"/>
    <w:rsid w:val="005F335A"/>
    <w:rsid w:val="005F402B"/>
    <w:rsid w:val="005F46D8"/>
    <w:rsid w:val="005F5FCA"/>
    <w:rsid w:val="005F7C9B"/>
    <w:rsid w:val="0060189A"/>
    <w:rsid w:val="006028EA"/>
    <w:rsid w:val="00605316"/>
    <w:rsid w:val="00605FC0"/>
    <w:rsid w:val="006063C0"/>
    <w:rsid w:val="006063D6"/>
    <w:rsid w:val="00606C37"/>
    <w:rsid w:val="00611911"/>
    <w:rsid w:val="00612458"/>
    <w:rsid w:val="00613151"/>
    <w:rsid w:val="00613B0B"/>
    <w:rsid w:val="00615471"/>
    <w:rsid w:val="0061562F"/>
    <w:rsid w:val="00617A05"/>
    <w:rsid w:val="006230A5"/>
    <w:rsid w:val="006232CA"/>
    <w:rsid w:val="00624BAD"/>
    <w:rsid w:val="00633F7C"/>
    <w:rsid w:val="00634041"/>
    <w:rsid w:val="006347AA"/>
    <w:rsid w:val="00634D84"/>
    <w:rsid w:val="006360DD"/>
    <w:rsid w:val="00637414"/>
    <w:rsid w:val="00637E9D"/>
    <w:rsid w:val="006402BF"/>
    <w:rsid w:val="00640C42"/>
    <w:rsid w:val="00643491"/>
    <w:rsid w:val="00644DAC"/>
    <w:rsid w:val="00651073"/>
    <w:rsid w:val="00651322"/>
    <w:rsid w:val="00656B92"/>
    <w:rsid w:val="00657109"/>
    <w:rsid w:val="00657427"/>
    <w:rsid w:val="0066670D"/>
    <w:rsid w:val="00671120"/>
    <w:rsid w:val="00673073"/>
    <w:rsid w:val="006744E5"/>
    <w:rsid w:val="00675265"/>
    <w:rsid w:val="00675B2A"/>
    <w:rsid w:val="00677344"/>
    <w:rsid w:val="00680283"/>
    <w:rsid w:val="00681861"/>
    <w:rsid w:val="006818A6"/>
    <w:rsid w:val="006818D3"/>
    <w:rsid w:val="00684C4D"/>
    <w:rsid w:val="00686685"/>
    <w:rsid w:val="00691A77"/>
    <w:rsid w:val="006921EA"/>
    <w:rsid w:val="00692FAF"/>
    <w:rsid w:val="00693494"/>
    <w:rsid w:val="00694EF7"/>
    <w:rsid w:val="00695DB4"/>
    <w:rsid w:val="00696A20"/>
    <w:rsid w:val="006A08FC"/>
    <w:rsid w:val="006A44E3"/>
    <w:rsid w:val="006A7AD2"/>
    <w:rsid w:val="006B1153"/>
    <w:rsid w:val="006B3FEB"/>
    <w:rsid w:val="006B6050"/>
    <w:rsid w:val="006B6526"/>
    <w:rsid w:val="006B6721"/>
    <w:rsid w:val="006C3933"/>
    <w:rsid w:val="006C42FF"/>
    <w:rsid w:val="006C6876"/>
    <w:rsid w:val="006D19D6"/>
    <w:rsid w:val="006D453A"/>
    <w:rsid w:val="006D4BA6"/>
    <w:rsid w:val="006D52AB"/>
    <w:rsid w:val="006D5A7B"/>
    <w:rsid w:val="006E060A"/>
    <w:rsid w:val="006E46F7"/>
    <w:rsid w:val="006F0886"/>
    <w:rsid w:val="006F0AF8"/>
    <w:rsid w:val="006F2F58"/>
    <w:rsid w:val="006F4AF1"/>
    <w:rsid w:val="006F4DDF"/>
    <w:rsid w:val="006F4E0F"/>
    <w:rsid w:val="006F6910"/>
    <w:rsid w:val="0070119C"/>
    <w:rsid w:val="00702A6D"/>
    <w:rsid w:val="007032C7"/>
    <w:rsid w:val="0070427E"/>
    <w:rsid w:val="00704DDA"/>
    <w:rsid w:val="00705D08"/>
    <w:rsid w:val="007068AB"/>
    <w:rsid w:val="00707F54"/>
    <w:rsid w:val="007123C0"/>
    <w:rsid w:val="00712E9E"/>
    <w:rsid w:val="00715182"/>
    <w:rsid w:val="00715C62"/>
    <w:rsid w:val="00720785"/>
    <w:rsid w:val="007231F2"/>
    <w:rsid w:val="007249FC"/>
    <w:rsid w:val="0072546D"/>
    <w:rsid w:val="007277CE"/>
    <w:rsid w:val="007334DC"/>
    <w:rsid w:val="00733A97"/>
    <w:rsid w:val="007369B1"/>
    <w:rsid w:val="00740F3F"/>
    <w:rsid w:val="007424D6"/>
    <w:rsid w:val="0074391C"/>
    <w:rsid w:val="00743E84"/>
    <w:rsid w:val="007454AB"/>
    <w:rsid w:val="00745AE4"/>
    <w:rsid w:val="00753A39"/>
    <w:rsid w:val="00757F87"/>
    <w:rsid w:val="00760F6D"/>
    <w:rsid w:val="007634A0"/>
    <w:rsid w:val="007634FC"/>
    <w:rsid w:val="007636AF"/>
    <w:rsid w:val="007647BF"/>
    <w:rsid w:val="00766423"/>
    <w:rsid w:val="00766755"/>
    <w:rsid w:val="007703C8"/>
    <w:rsid w:val="0077058E"/>
    <w:rsid w:val="007722D8"/>
    <w:rsid w:val="007747E9"/>
    <w:rsid w:val="00774C04"/>
    <w:rsid w:val="00775787"/>
    <w:rsid w:val="00776A05"/>
    <w:rsid w:val="00781EE7"/>
    <w:rsid w:val="00782730"/>
    <w:rsid w:val="00782AD6"/>
    <w:rsid w:val="00783B44"/>
    <w:rsid w:val="007874D5"/>
    <w:rsid w:val="00790114"/>
    <w:rsid w:val="007962F8"/>
    <w:rsid w:val="007A053E"/>
    <w:rsid w:val="007A0BE5"/>
    <w:rsid w:val="007A284E"/>
    <w:rsid w:val="007A4EC7"/>
    <w:rsid w:val="007B1643"/>
    <w:rsid w:val="007B1D29"/>
    <w:rsid w:val="007B1ECB"/>
    <w:rsid w:val="007B5310"/>
    <w:rsid w:val="007C07A2"/>
    <w:rsid w:val="007C0B73"/>
    <w:rsid w:val="007C6A65"/>
    <w:rsid w:val="007D03BF"/>
    <w:rsid w:val="007D0C27"/>
    <w:rsid w:val="007D7D76"/>
    <w:rsid w:val="007E3D6E"/>
    <w:rsid w:val="007F0BB2"/>
    <w:rsid w:val="007F0BDA"/>
    <w:rsid w:val="007F28AB"/>
    <w:rsid w:val="007F3106"/>
    <w:rsid w:val="007F3C4A"/>
    <w:rsid w:val="007F4BC5"/>
    <w:rsid w:val="00801F0E"/>
    <w:rsid w:val="00803C90"/>
    <w:rsid w:val="00814445"/>
    <w:rsid w:val="00817967"/>
    <w:rsid w:val="0082038A"/>
    <w:rsid w:val="00820C1B"/>
    <w:rsid w:val="00823AB7"/>
    <w:rsid w:val="0082668D"/>
    <w:rsid w:val="0082741D"/>
    <w:rsid w:val="00827971"/>
    <w:rsid w:val="00827AAE"/>
    <w:rsid w:val="00834D5C"/>
    <w:rsid w:val="00837B15"/>
    <w:rsid w:val="00844436"/>
    <w:rsid w:val="00846413"/>
    <w:rsid w:val="0085029B"/>
    <w:rsid w:val="00852BBA"/>
    <w:rsid w:val="00856210"/>
    <w:rsid w:val="0085654B"/>
    <w:rsid w:val="00861D6F"/>
    <w:rsid w:val="00862D86"/>
    <w:rsid w:val="00863257"/>
    <w:rsid w:val="00863C90"/>
    <w:rsid w:val="008648F7"/>
    <w:rsid w:val="00865839"/>
    <w:rsid w:val="008729E6"/>
    <w:rsid w:val="00872A34"/>
    <w:rsid w:val="00875DCD"/>
    <w:rsid w:val="00882E89"/>
    <w:rsid w:val="00884DDA"/>
    <w:rsid w:val="00886837"/>
    <w:rsid w:val="00893BCB"/>
    <w:rsid w:val="00894883"/>
    <w:rsid w:val="00896AA2"/>
    <w:rsid w:val="008A1857"/>
    <w:rsid w:val="008A2E5B"/>
    <w:rsid w:val="008A363B"/>
    <w:rsid w:val="008A4972"/>
    <w:rsid w:val="008A625C"/>
    <w:rsid w:val="008B5244"/>
    <w:rsid w:val="008B75D6"/>
    <w:rsid w:val="008C0601"/>
    <w:rsid w:val="008C0E58"/>
    <w:rsid w:val="008C2089"/>
    <w:rsid w:val="008C3871"/>
    <w:rsid w:val="008C4663"/>
    <w:rsid w:val="008C5F98"/>
    <w:rsid w:val="008D0655"/>
    <w:rsid w:val="008D1D36"/>
    <w:rsid w:val="008D2300"/>
    <w:rsid w:val="008D2822"/>
    <w:rsid w:val="008D512C"/>
    <w:rsid w:val="008D5265"/>
    <w:rsid w:val="008D53BB"/>
    <w:rsid w:val="008D664C"/>
    <w:rsid w:val="008D7702"/>
    <w:rsid w:val="008E283B"/>
    <w:rsid w:val="008E40B2"/>
    <w:rsid w:val="008F1ADF"/>
    <w:rsid w:val="008F1E9D"/>
    <w:rsid w:val="008F2187"/>
    <w:rsid w:val="008F2F7B"/>
    <w:rsid w:val="008F3B2B"/>
    <w:rsid w:val="008F3B3D"/>
    <w:rsid w:val="008F47E2"/>
    <w:rsid w:val="008F5FD0"/>
    <w:rsid w:val="008F7933"/>
    <w:rsid w:val="00901C7A"/>
    <w:rsid w:val="00904450"/>
    <w:rsid w:val="009044CD"/>
    <w:rsid w:val="00912A52"/>
    <w:rsid w:val="00913E5A"/>
    <w:rsid w:val="00914764"/>
    <w:rsid w:val="009222CF"/>
    <w:rsid w:val="00926CE7"/>
    <w:rsid w:val="0093159D"/>
    <w:rsid w:val="0093202A"/>
    <w:rsid w:val="0093233E"/>
    <w:rsid w:val="009323FF"/>
    <w:rsid w:val="0093294F"/>
    <w:rsid w:val="009350E3"/>
    <w:rsid w:val="0093543D"/>
    <w:rsid w:val="00935E0A"/>
    <w:rsid w:val="00937CBE"/>
    <w:rsid w:val="009400E5"/>
    <w:rsid w:val="00940C1C"/>
    <w:rsid w:val="00941769"/>
    <w:rsid w:val="00945562"/>
    <w:rsid w:val="009455D3"/>
    <w:rsid w:val="009468E5"/>
    <w:rsid w:val="00950263"/>
    <w:rsid w:val="00952766"/>
    <w:rsid w:val="009534EC"/>
    <w:rsid w:val="0095489F"/>
    <w:rsid w:val="00955B64"/>
    <w:rsid w:val="00956100"/>
    <w:rsid w:val="009603D6"/>
    <w:rsid w:val="0096164F"/>
    <w:rsid w:val="00965335"/>
    <w:rsid w:val="009655EA"/>
    <w:rsid w:val="00967037"/>
    <w:rsid w:val="0097275F"/>
    <w:rsid w:val="00975B02"/>
    <w:rsid w:val="009770BC"/>
    <w:rsid w:val="00977F0D"/>
    <w:rsid w:val="00984195"/>
    <w:rsid w:val="00984BB7"/>
    <w:rsid w:val="00987E8F"/>
    <w:rsid w:val="00990957"/>
    <w:rsid w:val="009919DB"/>
    <w:rsid w:val="009929D5"/>
    <w:rsid w:val="00993038"/>
    <w:rsid w:val="00993FE3"/>
    <w:rsid w:val="0099578D"/>
    <w:rsid w:val="0099775A"/>
    <w:rsid w:val="009A04EC"/>
    <w:rsid w:val="009A117D"/>
    <w:rsid w:val="009A47C6"/>
    <w:rsid w:val="009A59D0"/>
    <w:rsid w:val="009A6C67"/>
    <w:rsid w:val="009A7871"/>
    <w:rsid w:val="009B2AEB"/>
    <w:rsid w:val="009B4B9D"/>
    <w:rsid w:val="009B505B"/>
    <w:rsid w:val="009B591D"/>
    <w:rsid w:val="009B66C6"/>
    <w:rsid w:val="009C1694"/>
    <w:rsid w:val="009C36DE"/>
    <w:rsid w:val="009C470E"/>
    <w:rsid w:val="009C4873"/>
    <w:rsid w:val="009C5D40"/>
    <w:rsid w:val="009C7A15"/>
    <w:rsid w:val="009D028C"/>
    <w:rsid w:val="009D0674"/>
    <w:rsid w:val="009D187B"/>
    <w:rsid w:val="009D197D"/>
    <w:rsid w:val="009D4381"/>
    <w:rsid w:val="009D5421"/>
    <w:rsid w:val="009D5A20"/>
    <w:rsid w:val="009E007E"/>
    <w:rsid w:val="009E258A"/>
    <w:rsid w:val="009E3502"/>
    <w:rsid w:val="009E41CE"/>
    <w:rsid w:val="009E5D3F"/>
    <w:rsid w:val="009F0325"/>
    <w:rsid w:val="009F16F5"/>
    <w:rsid w:val="009F176E"/>
    <w:rsid w:val="009F18AA"/>
    <w:rsid w:val="009F215D"/>
    <w:rsid w:val="009F2D15"/>
    <w:rsid w:val="009F40A0"/>
    <w:rsid w:val="009F6389"/>
    <w:rsid w:val="009F78E3"/>
    <w:rsid w:val="00A0422D"/>
    <w:rsid w:val="00A06146"/>
    <w:rsid w:val="00A0685F"/>
    <w:rsid w:val="00A12DF2"/>
    <w:rsid w:val="00A13C44"/>
    <w:rsid w:val="00A148C4"/>
    <w:rsid w:val="00A168C5"/>
    <w:rsid w:val="00A16936"/>
    <w:rsid w:val="00A17306"/>
    <w:rsid w:val="00A1762F"/>
    <w:rsid w:val="00A203FC"/>
    <w:rsid w:val="00A22859"/>
    <w:rsid w:val="00A239CE"/>
    <w:rsid w:val="00A23C67"/>
    <w:rsid w:val="00A23F9B"/>
    <w:rsid w:val="00A244D1"/>
    <w:rsid w:val="00A31FEA"/>
    <w:rsid w:val="00A32C77"/>
    <w:rsid w:val="00A407A0"/>
    <w:rsid w:val="00A44DA6"/>
    <w:rsid w:val="00A45E06"/>
    <w:rsid w:val="00A47337"/>
    <w:rsid w:val="00A4796F"/>
    <w:rsid w:val="00A52F18"/>
    <w:rsid w:val="00A547ED"/>
    <w:rsid w:val="00A5791E"/>
    <w:rsid w:val="00A60A02"/>
    <w:rsid w:val="00A63ABA"/>
    <w:rsid w:val="00A66616"/>
    <w:rsid w:val="00A66876"/>
    <w:rsid w:val="00A66910"/>
    <w:rsid w:val="00A66BBF"/>
    <w:rsid w:val="00A671F3"/>
    <w:rsid w:val="00A7090A"/>
    <w:rsid w:val="00A7334B"/>
    <w:rsid w:val="00A7518E"/>
    <w:rsid w:val="00A75FA4"/>
    <w:rsid w:val="00A7610D"/>
    <w:rsid w:val="00A76391"/>
    <w:rsid w:val="00A7740A"/>
    <w:rsid w:val="00A77F1D"/>
    <w:rsid w:val="00A803B5"/>
    <w:rsid w:val="00A812DC"/>
    <w:rsid w:val="00A82CF5"/>
    <w:rsid w:val="00A83388"/>
    <w:rsid w:val="00A868B9"/>
    <w:rsid w:val="00A870DF"/>
    <w:rsid w:val="00A93D4F"/>
    <w:rsid w:val="00A94984"/>
    <w:rsid w:val="00A95EF8"/>
    <w:rsid w:val="00A96B72"/>
    <w:rsid w:val="00A970D6"/>
    <w:rsid w:val="00AA1C85"/>
    <w:rsid w:val="00AA2B29"/>
    <w:rsid w:val="00AA2C25"/>
    <w:rsid w:val="00AA4CAB"/>
    <w:rsid w:val="00AA535D"/>
    <w:rsid w:val="00AA55A8"/>
    <w:rsid w:val="00AA6749"/>
    <w:rsid w:val="00AA6956"/>
    <w:rsid w:val="00AA6B16"/>
    <w:rsid w:val="00AB0AC4"/>
    <w:rsid w:val="00AB0B52"/>
    <w:rsid w:val="00AB5CB9"/>
    <w:rsid w:val="00AC2872"/>
    <w:rsid w:val="00AC5F1D"/>
    <w:rsid w:val="00AD00FC"/>
    <w:rsid w:val="00AD186A"/>
    <w:rsid w:val="00AD277C"/>
    <w:rsid w:val="00AD2B0A"/>
    <w:rsid w:val="00AD2CE5"/>
    <w:rsid w:val="00AD38E8"/>
    <w:rsid w:val="00AD4184"/>
    <w:rsid w:val="00AD49D3"/>
    <w:rsid w:val="00AE115F"/>
    <w:rsid w:val="00AE338B"/>
    <w:rsid w:val="00AE36A3"/>
    <w:rsid w:val="00AE5E44"/>
    <w:rsid w:val="00AE72B1"/>
    <w:rsid w:val="00AF100B"/>
    <w:rsid w:val="00AF1D4D"/>
    <w:rsid w:val="00AF216A"/>
    <w:rsid w:val="00AF33ED"/>
    <w:rsid w:val="00AF556E"/>
    <w:rsid w:val="00AF58F2"/>
    <w:rsid w:val="00B00248"/>
    <w:rsid w:val="00B003E7"/>
    <w:rsid w:val="00B024B4"/>
    <w:rsid w:val="00B02680"/>
    <w:rsid w:val="00B02D14"/>
    <w:rsid w:val="00B045AF"/>
    <w:rsid w:val="00B065D7"/>
    <w:rsid w:val="00B12851"/>
    <w:rsid w:val="00B23A8A"/>
    <w:rsid w:val="00B243BE"/>
    <w:rsid w:val="00B26EB9"/>
    <w:rsid w:val="00B2714A"/>
    <w:rsid w:val="00B27C16"/>
    <w:rsid w:val="00B32467"/>
    <w:rsid w:val="00B33ABF"/>
    <w:rsid w:val="00B36822"/>
    <w:rsid w:val="00B4033F"/>
    <w:rsid w:val="00B42192"/>
    <w:rsid w:val="00B4505D"/>
    <w:rsid w:val="00B453BC"/>
    <w:rsid w:val="00B462B3"/>
    <w:rsid w:val="00B46A0A"/>
    <w:rsid w:val="00B56D98"/>
    <w:rsid w:val="00B62159"/>
    <w:rsid w:val="00B6229B"/>
    <w:rsid w:val="00B62A84"/>
    <w:rsid w:val="00B630A3"/>
    <w:rsid w:val="00B71BB4"/>
    <w:rsid w:val="00B72232"/>
    <w:rsid w:val="00B72976"/>
    <w:rsid w:val="00B72BAF"/>
    <w:rsid w:val="00B75CD4"/>
    <w:rsid w:val="00B76500"/>
    <w:rsid w:val="00B77450"/>
    <w:rsid w:val="00B8056D"/>
    <w:rsid w:val="00B80E3F"/>
    <w:rsid w:val="00B82998"/>
    <w:rsid w:val="00B858CC"/>
    <w:rsid w:val="00B86026"/>
    <w:rsid w:val="00B94831"/>
    <w:rsid w:val="00B948FD"/>
    <w:rsid w:val="00B94D8C"/>
    <w:rsid w:val="00B94ED3"/>
    <w:rsid w:val="00B95CEB"/>
    <w:rsid w:val="00B971F9"/>
    <w:rsid w:val="00BA00E9"/>
    <w:rsid w:val="00BA2EEF"/>
    <w:rsid w:val="00BA3468"/>
    <w:rsid w:val="00BA545C"/>
    <w:rsid w:val="00BA618E"/>
    <w:rsid w:val="00BA6D2A"/>
    <w:rsid w:val="00BA702C"/>
    <w:rsid w:val="00BA7662"/>
    <w:rsid w:val="00BA7C80"/>
    <w:rsid w:val="00BB25CB"/>
    <w:rsid w:val="00BB25DB"/>
    <w:rsid w:val="00BB3A65"/>
    <w:rsid w:val="00BB6F84"/>
    <w:rsid w:val="00BC0175"/>
    <w:rsid w:val="00BC126B"/>
    <w:rsid w:val="00BC17FD"/>
    <w:rsid w:val="00BC3A85"/>
    <w:rsid w:val="00BC4F9A"/>
    <w:rsid w:val="00BC6974"/>
    <w:rsid w:val="00BD318B"/>
    <w:rsid w:val="00BD3694"/>
    <w:rsid w:val="00BD66D0"/>
    <w:rsid w:val="00BD6F58"/>
    <w:rsid w:val="00BE0A71"/>
    <w:rsid w:val="00BF0E49"/>
    <w:rsid w:val="00BF3386"/>
    <w:rsid w:val="00BF5843"/>
    <w:rsid w:val="00BF5F11"/>
    <w:rsid w:val="00BF6F58"/>
    <w:rsid w:val="00C0209A"/>
    <w:rsid w:val="00C02486"/>
    <w:rsid w:val="00C03332"/>
    <w:rsid w:val="00C05DD2"/>
    <w:rsid w:val="00C062F5"/>
    <w:rsid w:val="00C064CE"/>
    <w:rsid w:val="00C10923"/>
    <w:rsid w:val="00C10E6D"/>
    <w:rsid w:val="00C11F23"/>
    <w:rsid w:val="00C1243A"/>
    <w:rsid w:val="00C12457"/>
    <w:rsid w:val="00C13905"/>
    <w:rsid w:val="00C14565"/>
    <w:rsid w:val="00C15BDD"/>
    <w:rsid w:val="00C16B5B"/>
    <w:rsid w:val="00C1710D"/>
    <w:rsid w:val="00C17D1D"/>
    <w:rsid w:val="00C21C34"/>
    <w:rsid w:val="00C22EC5"/>
    <w:rsid w:val="00C234DD"/>
    <w:rsid w:val="00C23779"/>
    <w:rsid w:val="00C27A78"/>
    <w:rsid w:val="00C3569C"/>
    <w:rsid w:val="00C36C69"/>
    <w:rsid w:val="00C40404"/>
    <w:rsid w:val="00C42B83"/>
    <w:rsid w:val="00C44CD6"/>
    <w:rsid w:val="00C501D7"/>
    <w:rsid w:val="00C517D6"/>
    <w:rsid w:val="00C52368"/>
    <w:rsid w:val="00C52796"/>
    <w:rsid w:val="00C542DA"/>
    <w:rsid w:val="00C55DD0"/>
    <w:rsid w:val="00C578E8"/>
    <w:rsid w:val="00C604DC"/>
    <w:rsid w:val="00C60506"/>
    <w:rsid w:val="00C62877"/>
    <w:rsid w:val="00C6463C"/>
    <w:rsid w:val="00C64C26"/>
    <w:rsid w:val="00C673D6"/>
    <w:rsid w:val="00C67B65"/>
    <w:rsid w:val="00C70927"/>
    <w:rsid w:val="00C71288"/>
    <w:rsid w:val="00C7213E"/>
    <w:rsid w:val="00C725E1"/>
    <w:rsid w:val="00C72E11"/>
    <w:rsid w:val="00C737DB"/>
    <w:rsid w:val="00C75D67"/>
    <w:rsid w:val="00C77CCE"/>
    <w:rsid w:val="00C81C4C"/>
    <w:rsid w:val="00C82A1C"/>
    <w:rsid w:val="00C82D59"/>
    <w:rsid w:val="00C8434A"/>
    <w:rsid w:val="00C8613D"/>
    <w:rsid w:val="00C869E0"/>
    <w:rsid w:val="00C878BB"/>
    <w:rsid w:val="00C91444"/>
    <w:rsid w:val="00C93475"/>
    <w:rsid w:val="00C944A8"/>
    <w:rsid w:val="00C96A6F"/>
    <w:rsid w:val="00CA49D1"/>
    <w:rsid w:val="00CB51F2"/>
    <w:rsid w:val="00CB5365"/>
    <w:rsid w:val="00CB6FDA"/>
    <w:rsid w:val="00CC1D2C"/>
    <w:rsid w:val="00CC1DC1"/>
    <w:rsid w:val="00CC3A85"/>
    <w:rsid w:val="00CC4C4D"/>
    <w:rsid w:val="00CD131C"/>
    <w:rsid w:val="00CD2BD7"/>
    <w:rsid w:val="00CD44FE"/>
    <w:rsid w:val="00CD4637"/>
    <w:rsid w:val="00CD4DDE"/>
    <w:rsid w:val="00CD5CB8"/>
    <w:rsid w:val="00CD60EF"/>
    <w:rsid w:val="00CD6858"/>
    <w:rsid w:val="00CD79C6"/>
    <w:rsid w:val="00CE1D20"/>
    <w:rsid w:val="00CE269E"/>
    <w:rsid w:val="00CE2C33"/>
    <w:rsid w:val="00CE500D"/>
    <w:rsid w:val="00CF0138"/>
    <w:rsid w:val="00CF0524"/>
    <w:rsid w:val="00CF3B8E"/>
    <w:rsid w:val="00CF4882"/>
    <w:rsid w:val="00CF7B40"/>
    <w:rsid w:val="00CF7F8A"/>
    <w:rsid w:val="00D009BD"/>
    <w:rsid w:val="00D00BB1"/>
    <w:rsid w:val="00D0109A"/>
    <w:rsid w:val="00D01897"/>
    <w:rsid w:val="00D03615"/>
    <w:rsid w:val="00D039E1"/>
    <w:rsid w:val="00D042C0"/>
    <w:rsid w:val="00D046E2"/>
    <w:rsid w:val="00D15AF6"/>
    <w:rsid w:val="00D17D23"/>
    <w:rsid w:val="00D24E80"/>
    <w:rsid w:val="00D251BB"/>
    <w:rsid w:val="00D2578C"/>
    <w:rsid w:val="00D25A1A"/>
    <w:rsid w:val="00D2775B"/>
    <w:rsid w:val="00D32827"/>
    <w:rsid w:val="00D32A20"/>
    <w:rsid w:val="00D32DB3"/>
    <w:rsid w:val="00D33BB6"/>
    <w:rsid w:val="00D34527"/>
    <w:rsid w:val="00D35DF8"/>
    <w:rsid w:val="00D37730"/>
    <w:rsid w:val="00D40D89"/>
    <w:rsid w:val="00D42487"/>
    <w:rsid w:val="00D42842"/>
    <w:rsid w:val="00D438FE"/>
    <w:rsid w:val="00D50462"/>
    <w:rsid w:val="00D529B7"/>
    <w:rsid w:val="00D536E4"/>
    <w:rsid w:val="00D56236"/>
    <w:rsid w:val="00D56924"/>
    <w:rsid w:val="00D57B97"/>
    <w:rsid w:val="00D60AB6"/>
    <w:rsid w:val="00D61283"/>
    <w:rsid w:val="00D65D71"/>
    <w:rsid w:val="00D66464"/>
    <w:rsid w:val="00D665C7"/>
    <w:rsid w:val="00D668CF"/>
    <w:rsid w:val="00D67524"/>
    <w:rsid w:val="00D70F1E"/>
    <w:rsid w:val="00D72CFA"/>
    <w:rsid w:val="00D7381F"/>
    <w:rsid w:val="00D73B08"/>
    <w:rsid w:val="00D76A13"/>
    <w:rsid w:val="00D8057A"/>
    <w:rsid w:val="00D82689"/>
    <w:rsid w:val="00D8432E"/>
    <w:rsid w:val="00D84638"/>
    <w:rsid w:val="00D847DA"/>
    <w:rsid w:val="00D85CA3"/>
    <w:rsid w:val="00D85E81"/>
    <w:rsid w:val="00D87BE1"/>
    <w:rsid w:val="00D94C03"/>
    <w:rsid w:val="00D9544D"/>
    <w:rsid w:val="00D95916"/>
    <w:rsid w:val="00D97D92"/>
    <w:rsid w:val="00D97F5B"/>
    <w:rsid w:val="00DA20A9"/>
    <w:rsid w:val="00DA5796"/>
    <w:rsid w:val="00DB0F56"/>
    <w:rsid w:val="00DB158B"/>
    <w:rsid w:val="00DB2C50"/>
    <w:rsid w:val="00DB48C4"/>
    <w:rsid w:val="00DC4C11"/>
    <w:rsid w:val="00DC5D85"/>
    <w:rsid w:val="00DC6EA1"/>
    <w:rsid w:val="00DC6EC0"/>
    <w:rsid w:val="00DD02AF"/>
    <w:rsid w:val="00DD08A1"/>
    <w:rsid w:val="00DD2F02"/>
    <w:rsid w:val="00DD5F49"/>
    <w:rsid w:val="00DE247E"/>
    <w:rsid w:val="00DE2CC4"/>
    <w:rsid w:val="00DE45A9"/>
    <w:rsid w:val="00DE7BD4"/>
    <w:rsid w:val="00DF16B1"/>
    <w:rsid w:val="00DF37D4"/>
    <w:rsid w:val="00DF468E"/>
    <w:rsid w:val="00DF5407"/>
    <w:rsid w:val="00DF5800"/>
    <w:rsid w:val="00DF60E5"/>
    <w:rsid w:val="00DF6D7E"/>
    <w:rsid w:val="00DF772A"/>
    <w:rsid w:val="00E00F25"/>
    <w:rsid w:val="00E02345"/>
    <w:rsid w:val="00E023B3"/>
    <w:rsid w:val="00E03626"/>
    <w:rsid w:val="00E03813"/>
    <w:rsid w:val="00E03A34"/>
    <w:rsid w:val="00E07A61"/>
    <w:rsid w:val="00E10B32"/>
    <w:rsid w:val="00E15348"/>
    <w:rsid w:val="00E16C3E"/>
    <w:rsid w:val="00E2044E"/>
    <w:rsid w:val="00E21C3B"/>
    <w:rsid w:val="00E22B3F"/>
    <w:rsid w:val="00E259DC"/>
    <w:rsid w:val="00E262FC"/>
    <w:rsid w:val="00E26C67"/>
    <w:rsid w:val="00E30719"/>
    <w:rsid w:val="00E30B3D"/>
    <w:rsid w:val="00E30ECF"/>
    <w:rsid w:val="00E33F06"/>
    <w:rsid w:val="00E344B8"/>
    <w:rsid w:val="00E37A65"/>
    <w:rsid w:val="00E37AF6"/>
    <w:rsid w:val="00E40137"/>
    <w:rsid w:val="00E40645"/>
    <w:rsid w:val="00E408EC"/>
    <w:rsid w:val="00E410FD"/>
    <w:rsid w:val="00E42728"/>
    <w:rsid w:val="00E4274F"/>
    <w:rsid w:val="00E42AB4"/>
    <w:rsid w:val="00E442DA"/>
    <w:rsid w:val="00E44F89"/>
    <w:rsid w:val="00E4588A"/>
    <w:rsid w:val="00E521E3"/>
    <w:rsid w:val="00E54B4F"/>
    <w:rsid w:val="00E578B9"/>
    <w:rsid w:val="00E6023C"/>
    <w:rsid w:val="00E6036F"/>
    <w:rsid w:val="00E71DB0"/>
    <w:rsid w:val="00E74F37"/>
    <w:rsid w:val="00E76634"/>
    <w:rsid w:val="00E80EA6"/>
    <w:rsid w:val="00E814B2"/>
    <w:rsid w:val="00E82BD4"/>
    <w:rsid w:val="00E830B6"/>
    <w:rsid w:val="00E83EB7"/>
    <w:rsid w:val="00E85F85"/>
    <w:rsid w:val="00E94A75"/>
    <w:rsid w:val="00E95107"/>
    <w:rsid w:val="00E95989"/>
    <w:rsid w:val="00E96F7A"/>
    <w:rsid w:val="00EA0254"/>
    <w:rsid w:val="00EA0D9F"/>
    <w:rsid w:val="00EA1921"/>
    <w:rsid w:val="00EA3445"/>
    <w:rsid w:val="00EA6CFF"/>
    <w:rsid w:val="00EA7155"/>
    <w:rsid w:val="00EB091F"/>
    <w:rsid w:val="00EB0F87"/>
    <w:rsid w:val="00EB2584"/>
    <w:rsid w:val="00EB5230"/>
    <w:rsid w:val="00EB55D7"/>
    <w:rsid w:val="00EB55F6"/>
    <w:rsid w:val="00EB687C"/>
    <w:rsid w:val="00EB78B2"/>
    <w:rsid w:val="00EC06A7"/>
    <w:rsid w:val="00EC62E2"/>
    <w:rsid w:val="00EC6433"/>
    <w:rsid w:val="00EC700D"/>
    <w:rsid w:val="00ED1DDD"/>
    <w:rsid w:val="00ED5F3C"/>
    <w:rsid w:val="00ED6D6F"/>
    <w:rsid w:val="00EE037A"/>
    <w:rsid w:val="00EE16B6"/>
    <w:rsid w:val="00EE3B66"/>
    <w:rsid w:val="00EE5573"/>
    <w:rsid w:val="00EE5CD2"/>
    <w:rsid w:val="00EE74E5"/>
    <w:rsid w:val="00EF0538"/>
    <w:rsid w:val="00EF12A8"/>
    <w:rsid w:val="00EF3306"/>
    <w:rsid w:val="00EF41D5"/>
    <w:rsid w:val="00EF420E"/>
    <w:rsid w:val="00EF7930"/>
    <w:rsid w:val="00EF7996"/>
    <w:rsid w:val="00F017F2"/>
    <w:rsid w:val="00F02594"/>
    <w:rsid w:val="00F02E69"/>
    <w:rsid w:val="00F0336F"/>
    <w:rsid w:val="00F03843"/>
    <w:rsid w:val="00F05A17"/>
    <w:rsid w:val="00F13920"/>
    <w:rsid w:val="00F1487A"/>
    <w:rsid w:val="00F14AE4"/>
    <w:rsid w:val="00F16A34"/>
    <w:rsid w:val="00F23210"/>
    <w:rsid w:val="00F252A6"/>
    <w:rsid w:val="00F26159"/>
    <w:rsid w:val="00F2619C"/>
    <w:rsid w:val="00F27251"/>
    <w:rsid w:val="00F325C2"/>
    <w:rsid w:val="00F32DFC"/>
    <w:rsid w:val="00F34DAA"/>
    <w:rsid w:val="00F35D06"/>
    <w:rsid w:val="00F37F62"/>
    <w:rsid w:val="00F42163"/>
    <w:rsid w:val="00F4512C"/>
    <w:rsid w:val="00F47AE3"/>
    <w:rsid w:val="00F5026F"/>
    <w:rsid w:val="00F53A9A"/>
    <w:rsid w:val="00F55F82"/>
    <w:rsid w:val="00F56ACD"/>
    <w:rsid w:val="00F57856"/>
    <w:rsid w:val="00F67486"/>
    <w:rsid w:val="00F70342"/>
    <w:rsid w:val="00F70B39"/>
    <w:rsid w:val="00F71436"/>
    <w:rsid w:val="00F7180F"/>
    <w:rsid w:val="00F7406C"/>
    <w:rsid w:val="00F749C0"/>
    <w:rsid w:val="00F76BFB"/>
    <w:rsid w:val="00F773AA"/>
    <w:rsid w:val="00F810E0"/>
    <w:rsid w:val="00F81399"/>
    <w:rsid w:val="00F83AFD"/>
    <w:rsid w:val="00F84F35"/>
    <w:rsid w:val="00F85D78"/>
    <w:rsid w:val="00F87D11"/>
    <w:rsid w:val="00F87D5C"/>
    <w:rsid w:val="00F90AD1"/>
    <w:rsid w:val="00F9143D"/>
    <w:rsid w:val="00F97981"/>
    <w:rsid w:val="00FA010E"/>
    <w:rsid w:val="00FA1BD6"/>
    <w:rsid w:val="00FA4FDB"/>
    <w:rsid w:val="00FA5F62"/>
    <w:rsid w:val="00FA78BA"/>
    <w:rsid w:val="00FB101F"/>
    <w:rsid w:val="00FB2607"/>
    <w:rsid w:val="00FB377C"/>
    <w:rsid w:val="00FB3834"/>
    <w:rsid w:val="00FB4D85"/>
    <w:rsid w:val="00FB5134"/>
    <w:rsid w:val="00FC04BE"/>
    <w:rsid w:val="00FC0F93"/>
    <w:rsid w:val="00FC44C2"/>
    <w:rsid w:val="00FC4512"/>
    <w:rsid w:val="00FC5CBC"/>
    <w:rsid w:val="00FC7D67"/>
    <w:rsid w:val="00FD24F7"/>
    <w:rsid w:val="00FD5005"/>
    <w:rsid w:val="00FE0BB1"/>
    <w:rsid w:val="00FE19DF"/>
    <w:rsid w:val="00FE2AC2"/>
    <w:rsid w:val="00FE3F6C"/>
    <w:rsid w:val="00FE6451"/>
    <w:rsid w:val="00FF04A0"/>
    <w:rsid w:val="00FF482C"/>
    <w:rsid w:val="00FF4D7A"/>
    <w:rsid w:val="00FF6308"/>
    <w:rsid w:val="00FF7E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uiPriority w:val="9"/>
    <w:qFormat/>
    <w:rsid w:val="00D82689"/>
    <w:pPr>
      <w:keepNext/>
      <w:keepLines/>
      <w:spacing w:before="480" w:after="0"/>
      <w:outlineLvl w:val="0"/>
    </w:pPr>
    <w:rPr>
      <w:rFonts w:ascii="Cambria" w:eastAsia="MS Gothic" w:hAnsi="Cambria"/>
      <w:b/>
      <w:bCs/>
      <w:color w:val="365F91"/>
      <w:sz w:val="28"/>
      <w:szCs w:val="28"/>
    </w:rPr>
  </w:style>
  <w:style w:type="paragraph" w:styleId="Ttulo2">
    <w:name w:val="heading 2"/>
    <w:basedOn w:val="Normal"/>
    <w:next w:val="Normal"/>
    <w:link w:val="Ttulo2Car"/>
    <w:uiPriority w:val="9"/>
    <w:semiHidden/>
    <w:unhideWhenUsed/>
    <w:qFormat/>
    <w:rsid w:val="00C15BDD"/>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5A1B3D"/>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5A1B3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5A1B3D"/>
    <w:rPr>
      <w:vertAlign w:val="superscript"/>
    </w:rPr>
  </w:style>
  <w:style w:type="character" w:styleId="Hipervnculo">
    <w:name w:val="Hyperlink"/>
    <w:uiPriority w:val="99"/>
    <w:unhideWhenUsed/>
    <w:rsid w:val="00D665C7"/>
    <w:rPr>
      <w:color w:val="0000FF"/>
      <w:u w:val="single"/>
    </w:rPr>
  </w:style>
  <w:style w:type="paragraph" w:styleId="Prrafodelista">
    <w:name w:val="List Paragraph"/>
    <w:aliases w:val="Footnote,Párrafo de lista1"/>
    <w:basedOn w:val="Normal"/>
    <w:link w:val="PrrafodelistaCar"/>
    <w:qFormat/>
    <w:rsid w:val="00D665C7"/>
    <w:pPr>
      <w:ind w:left="720"/>
      <w:contextualSpacing/>
    </w:pPr>
  </w:style>
  <w:style w:type="character" w:customStyle="1" w:styleId="PrrafodelistaCar">
    <w:name w:val="Párrafo de lista Car"/>
    <w:aliases w:val="Footnote Car,Párrafo de lista1 Car"/>
    <w:link w:val="Prrafodelista"/>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styleId="Revisin">
    <w:name w:val="Revision"/>
    <w:hidden/>
    <w:uiPriority w:val="99"/>
    <w:semiHidden/>
    <w:rsid w:val="00790114"/>
    <w:rPr>
      <w:sz w:val="22"/>
      <w:szCs w:val="22"/>
      <w:lang w:val="en-US" w:eastAsia="en-US"/>
    </w:rPr>
  </w:style>
  <w:style w:type="paragraph" w:styleId="TDC1">
    <w:name w:val="toc 1"/>
    <w:basedOn w:val="Normal"/>
    <w:next w:val="Normal"/>
    <w:autoRedefine/>
    <w:uiPriority w:val="39"/>
    <w:unhideWhenUsed/>
    <w:qFormat/>
    <w:rsid w:val="00202E30"/>
    <w:pPr>
      <w:tabs>
        <w:tab w:val="left" w:pos="709"/>
        <w:tab w:val="left" w:pos="8505"/>
      </w:tabs>
      <w:spacing w:after="100"/>
      <w:ind w:left="284" w:right="996"/>
      <w:jc w:val="both"/>
    </w:pPr>
  </w:style>
  <w:style w:type="character" w:customStyle="1" w:styleId="Ttulo1Car">
    <w:name w:val="Título 1 Car"/>
    <w:link w:val="Ttulo1"/>
    <w:uiPriority w:val="9"/>
    <w:rsid w:val="00D82689"/>
    <w:rPr>
      <w:rFonts w:ascii="Cambria" w:eastAsia="MS Gothic" w:hAnsi="Cambria" w:cs="Times New Roman"/>
      <w:b/>
      <w:bCs/>
      <w:color w:val="365F91"/>
      <w:sz w:val="28"/>
      <w:szCs w:val="28"/>
    </w:rPr>
  </w:style>
  <w:style w:type="paragraph" w:styleId="TtulodeTDC">
    <w:name w:val="TOC Heading"/>
    <w:basedOn w:val="Ttulo1"/>
    <w:next w:val="Normal"/>
    <w:uiPriority w:val="39"/>
    <w:semiHidden/>
    <w:unhideWhenUsed/>
    <w:qFormat/>
    <w:rsid w:val="00D82689"/>
    <w:pPr>
      <w:outlineLvl w:val="9"/>
    </w:pPr>
    <w:rPr>
      <w:lang w:val="es-CR" w:eastAsia="es-CR"/>
    </w:rPr>
  </w:style>
  <w:style w:type="paragraph" w:styleId="TDC2">
    <w:name w:val="toc 2"/>
    <w:basedOn w:val="Normal"/>
    <w:next w:val="Normal"/>
    <w:autoRedefine/>
    <w:uiPriority w:val="39"/>
    <w:semiHidden/>
    <w:unhideWhenUsed/>
    <w:qFormat/>
    <w:rsid w:val="00D82689"/>
    <w:pPr>
      <w:spacing w:after="100"/>
      <w:ind w:left="220"/>
    </w:pPr>
    <w:rPr>
      <w:rFonts w:eastAsia="MS Mincho"/>
      <w:lang w:val="es-CR" w:eastAsia="es-CR"/>
    </w:rPr>
  </w:style>
  <w:style w:type="paragraph" w:styleId="TDC3">
    <w:name w:val="toc 3"/>
    <w:basedOn w:val="Normal"/>
    <w:next w:val="Normal"/>
    <w:autoRedefine/>
    <w:uiPriority w:val="39"/>
    <w:semiHidden/>
    <w:unhideWhenUsed/>
    <w:qFormat/>
    <w:rsid w:val="00D82689"/>
    <w:pPr>
      <w:spacing w:after="100"/>
      <w:ind w:left="440"/>
    </w:pPr>
    <w:rPr>
      <w:rFonts w:eastAsia="MS Mincho"/>
      <w:lang w:val="es-CR" w:eastAsia="es-CR"/>
    </w:rPr>
  </w:style>
  <w:style w:type="character" w:customStyle="1" w:styleId="Ttulo2Car">
    <w:name w:val="Título 2 Car"/>
    <w:link w:val="Ttulo2"/>
    <w:uiPriority w:val="9"/>
    <w:semiHidden/>
    <w:rsid w:val="00C15BDD"/>
    <w:rPr>
      <w:rFonts w:ascii="Cambria" w:eastAsia="Times New Roman" w:hAnsi="Cambria" w:cs="Times New Roman"/>
      <w:b/>
      <w:bCs/>
      <w:i/>
      <w:iCs/>
      <w:sz w:val="28"/>
      <w:szCs w:val="28"/>
      <w:lang w:val="en-US" w:eastAsia="en-US"/>
    </w:rPr>
  </w:style>
  <w:style w:type="paragraph" w:customStyle="1" w:styleId="Prrafodelista2">
    <w:name w:val="Párrafo de lista2"/>
    <w:basedOn w:val="Normal"/>
    <w:uiPriority w:val="99"/>
    <w:rsid w:val="00C15BDD"/>
    <w:pPr>
      <w:spacing w:after="0" w:line="240" w:lineRule="auto"/>
      <w:ind w:left="720"/>
    </w:pPr>
    <w:rPr>
      <w:rFonts w:ascii="Verdana" w:eastAsia="MS Mincho" w:hAnsi="Verdana"/>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447743180">
      <w:bodyDiv w:val="1"/>
      <w:marLeft w:val="0"/>
      <w:marRight w:val="0"/>
      <w:marTop w:val="0"/>
      <w:marBottom w:val="0"/>
      <w:divBdr>
        <w:top w:val="none" w:sz="0" w:space="0" w:color="auto"/>
        <w:left w:val="none" w:sz="0" w:space="0" w:color="auto"/>
        <w:bottom w:val="none" w:sz="0" w:space="0" w:color="auto"/>
        <w:right w:val="none" w:sz="0" w:space="0" w:color="auto"/>
      </w:divBdr>
    </w:div>
    <w:div w:id="548954266">
      <w:bodyDiv w:val="1"/>
      <w:marLeft w:val="0"/>
      <w:marRight w:val="0"/>
      <w:marTop w:val="0"/>
      <w:marBottom w:val="0"/>
      <w:divBdr>
        <w:top w:val="none" w:sz="0" w:space="0" w:color="auto"/>
        <w:left w:val="none" w:sz="0" w:space="0" w:color="auto"/>
        <w:bottom w:val="none" w:sz="0" w:space="0" w:color="auto"/>
        <w:right w:val="none" w:sz="0" w:space="0" w:color="auto"/>
      </w:divBdr>
    </w:div>
    <w:div w:id="747457480">
      <w:bodyDiv w:val="1"/>
      <w:marLeft w:val="0"/>
      <w:marRight w:val="0"/>
      <w:marTop w:val="0"/>
      <w:marBottom w:val="0"/>
      <w:divBdr>
        <w:top w:val="none" w:sz="0" w:space="0" w:color="auto"/>
        <w:left w:val="none" w:sz="0" w:space="0" w:color="auto"/>
        <w:bottom w:val="none" w:sz="0" w:space="0" w:color="auto"/>
        <w:right w:val="none" w:sz="0" w:space="0" w:color="auto"/>
      </w:divBdr>
    </w:div>
    <w:div w:id="860171253">
      <w:bodyDiv w:val="1"/>
      <w:marLeft w:val="0"/>
      <w:marRight w:val="0"/>
      <w:marTop w:val="0"/>
      <w:marBottom w:val="0"/>
      <w:divBdr>
        <w:top w:val="none" w:sz="0" w:space="0" w:color="auto"/>
        <w:left w:val="none" w:sz="0" w:space="0" w:color="auto"/>
        <w:bottom w:val="none" w:sz="0" w:space="0" w:color="auto"/>
        <w:right w:val="none" w:sz="0" w:space="0" w:color="auto"/>
      </w:divBdr>
    </w:div>
    <w:div w:id="914168796">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689598243">
      <w:bodyDiv w:val="1"/>
      <w:marLeft w:val="0"/>
      <w:marRight w:val="0"/>
      <w:marTop w:val="0"/>
      <w:marBottom w:val="0"/>
      <w:divBdr>
        <w:top w:val="none" w:sz="0" w:space="0" w:color="auto"/>
        <w:left w:val="none" w:sz="0" w:space="0" w:color="auto"/>
        <w:bottom w:val="none" w:sz="0" w:space="0" w:color="auto"/>
        <w:right w:val="none" w:sz="0" w:space="0" w:color="auto"/>
      </w:divBdr>
    </w:div>
    <w:div w:id="1846434636">
      <w:bodyDiv w:val="1"/>
      <w:marLeft w:val="0"/>
      <w:marRight w:val="0"/>
      <w:marTop w:val="0"/>
      <w:marBottom w:val="0"/>
      <w:divBdr>
        <w:top w:val="none" w:sz="0" w:space="0" w:color="auto"/>
        <w:left w:val="none" w:sz="0" w:space="0" w:color="auto"/>
        <w:bottom w:val="none" w:sz="0" w:space="0" w:color="auto"/>
        <w:right w:val="none" w:sz="0" w:space="0" w:color="auto"/>
      </w:divBdr>
    </w:div>
    <w:div w:id="207114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9EE84-5287-4813-A173-E5B327EB8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4000</Words>
  <Characters>22000</Characters>
  <Application>Microsoft Office Word</Application>
  <DocSecurity>0</DocSecurity>
  <Lines>183</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2017-07-27T18:56:00Z</cp:lastPrinted>
  <dcterms:created xsi:type="dcterms:W3CDTF">2017-07-27T18:55:00Z</dcterms:created>
  <dcterms:modified xsi:type="dcterms:W3CDTF">2017-07-27T18:56:00Z</dcterms:modified>
</cp:coreProperties>
</file>