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F18" w:rsidRDefault="00093F18" w:rsidP="00AE2330">
      <w:pPr>
        <w:spacing w:after="0" w:line="240" w:lineRule="auto"/>
        <w:ind w:right="-316"/>
        <w:contextualSpacing/>
        <w:jc w:val="center"/>
        <w:rPr>
          <w:rFonts w:ascii="Verdana" w:hAnsi="Verdana" w:cs="Verdana Bold"/>
          <w:b/>
          <w:bCs/>
          <w:caps/>
          <w:sz w:val="20"/>
          <w:szCs w:val="20"/>
        </w:rPr>
      </w:pPr>
      <w:bookmarkStart w:id="0" w:name="_GoBack"/>
      <w:bookmarkEnd w:id="0"/>
    </w:p>
    <w:p w:rsidR="00093F18" w:rsidRDefault="00093F18" w:rsidP="00AE2330">
      <w:pPr>
        <w:spacing w:after="0" w:line="240" w:lineRule="auto"/>
        <w:ind w:right="-316"/>
        <w:contextualSpacing/>
        <w:jc w:val="center"/>
        <w:rPr>
          <w:rFonts w:ascii="Verdana" w:hAnsi="Verdana" w:cs="Verdana Bold"/>
          <w:b/>
          <w:bCs/>
          <w:caps/>
          <w:sz w:val="20"/>
          <w:szCs w:val="20"/>
        </w:rPr>
      </w:pPr>
    </w:p>
    <w:p w:rsidR="00093F18" w:rsidRDefault="00093F18" w:rsidP="00093F18">
      <w:pPr>
        <w:spacing w:after="0" w:line="240" w:lineRule="auto"/>
        <w:ind w:right="-316"/>
        <w:contextualSpacing/>
        <w:rPr>
          <w:rFonts w:ascii="Verdana" w:hAnsi="Verdana" w:cs="Verdana Bold"/>
          <w:b/>
          <w:bCs/>
          <w:caps/>
          <w:sz w:val="20"/>
          <w:szCs w:val="20"/>
        </w:rPr>
      </w:pPr>
    </w:p>
    <w:p w:rsidR="00897F3C" w:rsidRDefault="00897F3C" w:rsidP="00093F18">
      <w:pPr>
        <w:spacing w:after="0" w:line="240" w:lineRule="auto"/>
        <w:ind w:right="-316"/>
        <w:contextualSpacing/>
        <w:rPr>
          <w:rFonts w:ascii="Verdana" w:hAnsi="Verdana" w:cs="Verdana Bold"/>
          <w:b/>
          <w:bCs/>
          <w:caps/>
          <w:sz w:val="20"/>
          <w:szCs w:val="20"/>
        </w:rPr>
      </w:pPr>
    </w:p>
    <w:p w:rsidR="00897F3C" w:rsidRDefault="00897F3C" w:rsidP="00093F18">
      <w:pPr>
        <w:spacing w:after="0" w:line="240" w:lineRule="auto"/>
        <w:ind w:right="-316"/>
        <w:contextualSpacing/>
        <w:rPr>
          <w:rFonts w:ascii="Verdana" w:hAnsi="Verdana" w:cs="Verdana Bold"/>
          <w:b/>
          <w:bCs/>
          <w:caps/>
          <w:sz w:val="20"/>
          <w:szCs w:val="20"/>
        </w:rPr>
      </w:pPr>
    </w:p>
    <w:p w:rsidR="00093F18" w:rsidRDefault="00093F18" w:rsidP="00AE2330">
      <w:pPr>
        <w:spacing w:after="0" w:line="240" w:lineRule="auto"/>
        <w:ind w:right="-316"/>
        <w:contextualSpacing/>
        <w:jc w:val="center"/>
        <w:rPr>
          <w:rFonts w:ascii="Verdana" w:hAnsi="Verdana" w:cs="Verdana Bold"/>
          <w:b/>
          <w:bCs/>
          <w:caps/>
          <w:sz w:val="20"/>
          <w:szCs w:val="20"/>
        </w:rPr>
      </w:pPr>
    </w:p>
    <w:p w:rsidR="00AE2330" w:rsidRPr="00A523AF" w:rsidRDefault="003B0420" w:rsidP="00AE2330">
      <w:pPr>
        <w:spacing w:after="0" w:line="240" w:lineRule="auto"/>
        <w:ind w:right="-316"/>
        <w:contextualSpacing/>
        <w:jc w:val="center"/>
        <w:rPr>
          <w:rFonts w:ascii="Verdana" w:hAnsi="Verdana" w:cs="Verdana Bold"/>
          <w:b/>
          <w:bCs/>
          <w:caps/>
          <w:sz w:val="20"/>
          <w:szCs w:val="20"/>
        </w:rPr>
      </w:pPr>
      <w:r w:rsidRPr="00A523AF">
        <w:rPr>
          <w:rFonts w:ascii="Verdana" w:hAnsi="Verdana" w:cs="Verdana Bold"/>
          <w:b/>
          <w:bCs/>
          <w:caps/>
          <w:sz w:val="20"/>
          <w:szCs w:val="20"/>
        </w:rPr>
        <w:t>Resolución de la</w:t>
      </w:r>
      <w:r w:rsidR="00AE2330" w:rsidRPr="00A523AF">
        <w:rPr>
          <w:rFonts w:ascii="Verdana" w:hAnsi="Verdana" w:cs="Verdana Bold"/>
          <w:b/>
          <w:bCs/>
          <w:caps/>
          <w:sz w:val="20"/>
          <w:szCs w:val="20"/>
        </w:rPr>
        <w:t xml:space="preserve"> </w:t>
      </w:r>
    </w:p>
    <w:p w:rsidR="003B0420" w:rsidRPr="00A523AF" w:rsidRDefault="003B0420" w:rsidP="00AE2330">
      <w:pPr>
        <w:spacing w:after="0" w:line="240" w:lineRule="auto"/>
        <w:ind w:right="-316"/>
        <w:contextualSpacing/>
        <w:jc w:val="center"/>
        <w:rPr>
          <w:rFonts w:ascii="Verdana" w:hAnsi="Verdana" w:cs="Verdana Bold"/>
          <w:b/>
          <w:bCs/>
          <w:caps/>
          <w:sz w:val="20"/>
          <w:szCs w:val="20"/>
        </w:rPr>
      </w:pPr>
      <w:r w:rsidRPr="00A523AF">
        <w:rPr>
          <w:rFonts w:ascii="Verdana" w:hAnsi="Verdana" w:cs="Verdana Bold"/>
          <w:b/>
          <w:bCs/>
          <w:caps/>
          <w:sz w:val="20"/>
          <w:szCs w:val="20"/>
        </w:rPr>
        <w:t>Corte Interamericana de Derechos Humanos</w:t>
      </w:r>
    </w:p>
    <w:p w:rsidR="003B0420" w:rsidRPr="00A523AF" w:rsidRDefault="003B0420" w:rsidP="00AE2330">
      <w:pPr>
        <w:spacing w:after="0" w:line="240" w:lineRule="auto"/>
        <w:ind w:right="-316"/>
        <w:contextualSpacing/>
        <w:jc w:val="center"/>
        <w:rPr>
          <w:rFonts w:ascii="Verdana" w:hAnsi="Verdana" w:cs="Verdana Bold"/>
          <w:b/>
          <w:bCs/>
          <w:caps/>
          <w:sz w:val="20"/>
          <w:szCs w:val="20"/>
        </w:rPr>
      </w:pPr>
    </w:p>
    <w:p w:rsidR="003B0420" w:rsidRPr="00A523AF" w:rsidRDefault="003B0420" w:rsidP="00AE2330">
      <w:pPr>
        <w:spacing w:after="0" w:line="240" w:lineRule="auto"/>
        <w:ind w:right="-316"/>
        <w:contextualSpacing/>
        <w:jc w:val="center"/>
        <w:rPr>
          <w:rFonts w:ascii="Verdana" w:hAnsi="Verdana" w:cs="Verdana Bold"/>
          <w:b/>
          <w:bCs/>
          <w:caps/>
          <w:sz w:val="20"/>
          <w:szCs w:val="20"/>
        </w:rPr>
      </w:pPr>
      <w:r w:rsidRPr="00A523AF">
        <w:rPr>
          <w:rFonts w:ascii="Verdana" w:hAnsi="Verdana" w:cs="Verdana Bold"/>
          <w:b/>
          <w:bCs/>
          <w:caps/>
          <w:sz w:val="20"/>
          <w:szCs w:val="20"/>
        </w:rPr>
        <w:t xml:space="preserve">de </w:t>
      </w:r>
      <w:r w:rsidR="009579A8" w:rsidRPr="009B0105">
        <w:rPr>
          <w:rFonts w:ascii="Verdana" w:hAnsi="Verdana" w:cs="Verdana Bold"/>
          <w:b/>
          <w:bCs/>
          <w:caps/>
          <w:sz w:val="20"/>
          <w:szCs w:val="20"/>
        </w:rPr>
        <w:t>23</w:t>
      </w:r>
      <w:r w:rsidRPr="00A523AF">
        <w:rPr>
          <w:rFonts w:ascii="Verdana" w:hAnsi="Verdana" w:cs="Verdana Bold"/>
          <w:b/>
          <w:bCs/>
          <w:caps/>
          <w:sz w:val="20"/>
          <w:szCs w:val="20"/>
        </w:rPr>
        <w:t xml:space="preserve"> </w:t>
      </w:r>
      <w:r w:rsidR="00DD00B0" w:rsidRPr="00A523AF">
        <w:rPr>
          <w:rFonts w:ascii="Verdana" w:hAnsi="Verdana" w:cs="Verdana Bold"/>
          <w:b/>
          <w:bCs/>
          <w:caps/>
          <w:sz w:val="20"/>
          <w:szCs w:val="20"/>
        </w:rPr>
        <w:t xml:space="preserve">de Noviembre </w:t>
      </w:r>
      <w:r w:rsidRPr="00A523AF">
        <w:rPr>
          <w:rFonts w:ascii="Verdana" w:hAnsi="Verdana" w:cs="Verdana Bold"/>
          <w:b/>
          <w:bCs/>
          <w:caps/>
          <w:sz w:val="20"/>
          <w:szCs w:val="20"/>
        </w:rPr>
        <w:t>de 2016</w:t>
      </w:r>
    </w:p>
    <w:p w:rsidR="003B0420" w:rsidRPr="00A523AF" w:rsidRDefault="003B0420" w:rsidP="00DD00B0">
      <w:pPr>
        <w:spacing w:after="0" w:line="240" w:lineRule="auto"/>
        <w:ind w:right="-316"/>
        <w:contextualSpacing/>
        <w:jc w:val="center"/>
        <w:rPr>
          <w:rFonts w:ascii="Verdana" w:hAnsi="Verdana" w:cs="Verdana Bold"/>
          <w:b/>
          <w:bCs/>
          <w:caps/>
          <w:sz w:val="20"/>
          <w:szCs w:val="20"/>
        </w:rPr>
      </w:pPr>
    </w:p>
    <w:p w:rsidR="003B0420" w:rsidRPr="00A523AF" w:rsidRDefault="003B0420" w:rsidP="00AE2330">
      <w:pPr>
        <w:spacing w:after="0" w:line="240" w:lineRule="auto"/>
        <w:ind w:right="-316"/>
        <w:contextualSpacing/>
        <w:jc w:val="center"/>
        <w:rPr>
          <w:rFonts w:ascii="Verdana" w:hAnsi="Verdana" w:cs="Verdana Bold"/>
          <w:b/>
          <w:bCs/>
          <w:caps/>
          <w:sz w:val="20"/>
          <w:szCs w:val="20"/>
        </w:rPr>
      </w:pPr>
      <w:r w:rsidRPr="00A523AF">
        <w:rPr>
          <w:rFonts w:ascii="Verdana" w:hAnsi="Verdana" w:cs="Verdana Bold"/>
          <w:b/>
          <w:bCs/>
          <w:caps/>
          <w:sz w:val="20"/>
          <w:szCs w:val="20"/>
        </w:rPr>
        <w:t>Medidas Provisionales</w:t>
      </w:r>
    </w:p>
    <w:p w:rsidR="003B0420" w:rsidRPr="00A523AF" w:rsidRDefault="003B0420" w:rsidP="00DD00B0">
      <w:pPr>
        <w:spacing w:after="0" w:line="240" w:lineRule="auto"/>
        <w:ind w:right="-316"/>
        <w:contextualSpacing/>
        <w:jc w:val="center"/>
        <w:rPr>
          <w:rFonts w:ascii="Verdana" w:hAnsi="Verdana" w:cs="Verdana Bold"/>
          <w:b/>
          <w:bCs/>
          <w:caps/>
          <w:sz w:val="20"/>
          <w:szCs w:val="20"/>
        </w:rPr>
      </w:pPr>
      <w:r w:rsidRPr="00A523AF">
        <w:rPr>
          <w:rFonts w:ascii="Verdana" w:hAnsi="Verdana" w:cs="Verdana Bold"/>
          <w:b/>
          <w:bCs/>
          <w:caps/>
          <w:sz w:val="20"/>
          <w:szCs w:val="20"/>
        </w:rPr>
        <w:t>respecto de Honduras</w:t>
      </w:r>
    </w:p>
    <w:p w:rsidR="003B0420" w:rsidRPr="00A523AF" w:rsidRDefault="003B0420" w:rsidP="00DD00B0">
      <w:pPr>
        <w:tabs>
          <w:tab w:val="left" w:pos="9090"/>
        </w:tabs>
        <w:spacing w:after="0" w:line="240" w:lineRule="auto"/>
        <w:ind w:right="-316"/>
        <w:contextualSpacing/>
        <w:jc w:val="center"/>
        <w:rPr>
          <w:rFonts w:ascii="Verdana" w:hAnsi="Verdana" w:cs="Verdana Bold"/>
          <w:b/>
          <w:bCs/>
          <w:caps/>
          <w:sz w:val="20"/>
          <w:szCs w:val="20"/>
        </w:rPr>
      </w:pPr>
    </w:p>
    <w:p w:rsidR="003B0420" w:rsidRPr="00A523AF" w:rsidRDefault="003B0420" w:rsidP="00AE2330">
      <w:pPr>
        <w:spacing w:after="0" w:line="240" w:lineRule="auto"/>
        <w:contextualSpacing/>
        <w:jc w:val="center"/>
        <w:rPr>
          <w:rFonts w:ascii="Verdana" w:hAnsi="Verdana" w:cs="Verdana Bold"/>
          <w:b/>
          <w:bCs/>
          <w:caps/>
          <w:sz w:val="20"/>
          <w:szCs w:val="20"/>
        </w:rPr>
      </w:pPr>
      <w:r w:rsidRPr="00A523AF">
        <w:rPr>
          <w:rFonts w:ascii="Verdana" w:hAnsi="Verdana" w:cs="Verdana Bold"/>
          <w:b/>
          <w:bCs/>
          <w:caps/>
          <w:sz w:val="20"/>
          <w:szCs w:val="20"/>
        </w:rPr>
        <w:t>Asunto Gladys Lanza Ochoa</w:t>
      </w:r>
    </w:p>
    <w:p w:rsidR="003B0420" w:rsidRPr="00A523AF" w:rsidRDefault="003B0420" w:rsidP="0025350C">
      <w:pPr>
        <w:spacing w:after="0" w:line="240" w:lineRule="auto"/>
        <w:jc w:val="center"/>
        <w:rPr>
          <w:rFonts w:ascii="Verdana" w:hAnsi="Verdana" w:cs="Verdana"/>
          <w:b/>
          <w:bCs/>
          <w:caps/>
          <w:sz w:val="20"/>
          <w:szCs w:val="20"/>
        </w:rPr>
      </w:pPr>
    </w:p>
    <w:p w:rsidR="003B0420" w:rsidRPr="00A523AF" w:rsidRDefault="003B0420" w:rsidP="00DE4B7A">
      <w:pPr>
        <w:spacing w:after="0" w:line="240" w:lineRule="auto"/>
        <w:contextualSpacing/>
        <w:rPr>
          <w:rFonts w:ascii="Verdana" w:hAnsi="Verdana" w:cs="Verdana"/>
          <w:bCs/>
          <w:caps/>
          <w:sz w:val="20"/>
          <w:szCs w:val="20"/>
        </w:rPr>
      </w:pPr>
      <w:r w:rsidRPr="00A523AF">
        <w:rPr>
          <w:rFonts w:ascii="Verdana" w:hAnsi="Verdana" w:cs="Verdana"/>
          <w:b/>
          <w:bCs/>
          <w:caps/>
          <w:sz w:val="20"/>
          <w:szCs w:val="20"/>
        </w:rPr>
        <w:t>VistoS:</w:t>
      </w:r>
    </w:p>
    <w:p w:rsidR="003B0420" w:rsidRPr="00A523AF" w:rsidRDefault="003B0420" w:rsidP="0013043B">
      <w:pPr>
        <w:spacing w:after="0" w:line="240" w:lineRule="auto"/>
        <w:contextualSpacing/>
        <w:rPr>
          <w:rFonts w:ascii="Verdana" w:hAnsi="Verdana" w:cs="Verdana"/>
          <w:bCs/>
          <w:caps/>
          <w:sz w:val="20"/>
          <w:szCs w:val="20"/>
        </w:rPr>
      </w:pPr>
    </w:p>
    <w:p w:rsidR="003B0420" w:rsidRPr="00A523AF" w:rsidRDefault="003B0420" w:rsidP="0013043B">
      <w:pPr>
        <w:numPr>
          <w:ilvl w:val="0"/>
          <w:numId w:val="1"/>
        </w:numPr>
        <w:spacing w:after="0" w:line="240" w:lineRule="auto"/>
        <w:ind w:left="0" w:firstLine="0"/>
        <w:contextualSpacing/>
        <w:jc w:val="both"/>
        <w:rPr>
          <w:rFonts w:ascii="Verdana" w:hAnsi="Verdana" w:cs="Verdana"/>
          <w:bCs/>
          <w:sz w:val="20"/>
          <w:szCs w:val="20"/>
          <w:lang w:val="es-ES_tradnl" w:eastAsia="es-ES"/>
        </w:rPr>
      </w:pPr>
      <w:r w:rsidRPr="00A523AF">
        <w:rPr>
          <w:rFonts w:ascii="Verdana" w:hAnsi="Verdana" w:cs="Verdana"/>
          <w:sz w:val="20"/>
          <w:szCs w:val="20"/>
        </w:rPr>
        <w:t xml:space="preserve">La Resolución </w:t>
      </w:r>
      <w:r w:rsidRPr="00A523AF">
        <w:rPr>
          <w:rFonts w:ascii="Verdana" w:hAnsi="Verdana" w:cs="Verdana"/>
          <w:sz w:val="20"/>
          <w:szCs w:val="20"/>
          <w:lang w:eastAsia="es-MX"/>
        </w:rPr>
        <w:t xml:space="preserve">del </w:t>
      </w:r>
      <w:r w:rsidR="00E0041E" w:rsidRPr="00A523AF">
        <w:rPr>
          <w:rFonts w:ascii="Verdana" w:hAnsi="Verdana" w:cs="Verdana"/>
          <w:sz w:val="20"/>
          <w:szCs w:val="20"/>
          <w:lang w:eastAsia="es-MX"/>
        </w:rPr>
        <w:t xml:space="preserve">entonces </w:t>
      </w:r>
      <w:r w:rsidRPr="00A523AF">
        <w:rPr>
          <w:rFonts w:ascii="Verdana" w:hAnsi="Verdana" w:cs="Verdana"/>
          <w:sz w:val="20"/>
          <w:szCs w:val="20"/>
          <w:lang w:eastAsia="es-MX"/>
        </w:rPr>
        <w:t>Presidente de la Corte Interamericana de Derechos Humanos</w:t>
      </w:r>
      <w:r w:rsidRPr="00A523AF">
        <w:rPr>
          <w:rFonts w:ascii="Verdana" w:hAnsi="Verdana" w:cs="Verdana"/>
          <w:sz w:val="20"/>
          <w:szCs w:val="20"/>
        </w:rPr>
        <w:t xml:space="preserve"> (en adelante “la Corte Interamericana”, “la Corte” o “el Tribunal”)</w:t>
      </w:r>
      <w:r w:rsidR="00BF359A" w:rsidRPr="00A523AF">
        <w:rPr>
          <w:rFonts w:ascii="Verdana" w:hAnsi="Verdana" w:cs="Verdana"/>
          <w:sz w:val="20"/>
          <w:szCs w:val="20"/>
        </w:rPr>
        <w:t xml:space="preserve"> emitida</w:t>
      </w:r>
      <w:r w:rsidRPr="00A523AF">
        <w:rPr>
          <w:rFonts w:ascii="Verdana" w:hAnsi="Verdana" w:cs="Verdana"/>
          <w:sz w:val="20"/>
          <w:szCs w:val="20"/>
        </w:rPr>
        <w:t xml:space="preserve"> el 2 de septiembre de 2010 y</w:t>
      </w:r>
      <w:r w:rsidRPr="00A523AF">
        <w:rPr>
          <w:rFonts w:ascii="Verdana" w:hAnsi="Verdana" w:cs="Verdana"/>
          <w:sz w:val="20"/>
          <w:szCs w:val="20"/>
          <w:lang w:eastAsia="es-MX"/>
        </w:rPr>
        <w:t xml:space="preserve"> la Resolución emitida por la Corte el 28 de junio de 2012, mediante la cual el Tribunal resolvió, </w:t>
      </w:r>
      <w:r w:rsidRPr="00A523AF">
        <w:rPr>
          <w:rFonts w:ascii="Verdana" w:hAnsi="Verdana" w:cs="Verdana"/>
          <w:i/>
          <w:sz w:val="20"/>
          <w:szCs w:val="20"/>
          <w:lang w:eastAsia="es-MX"/>
        </w:rPr>
        <w:t>inter alia</w:t>
      </w:r>
      <w:r w:rsidRPr="00A523AF">
        <w:rPr>
          <w:rFonts w:ascii="Verdana" w:hAnsi="Verdana" w:cs="Verdana"/>
          <w:sz w:val="20"/>
          <w:szCs w:val="20"/>
          <w:lang w:eastAsia="es-MX"/>
        </w:rPr>
        <w:t>:</w:t>
      </w:r>
    </w:p>
    <w:p w:rsidR="003B0420" w:rsidRPr="00A523AF" w:rsidRDefault="003B0420" w:rsidP="0013043B">
      <w:pPr>
        <w:spacing w:after="0" w:line="240" w:lineRule="auto"/>
        <w:contextualSpacing/>
        <w:rPr>
          <w:rFonts w:ascii="Verdana" w:hAnsi="Verdana" w:cs="Verdana"/>
          <w:bCs/>
          <w:sz w:val="20"/>
          <w:szCs w:val="20"/>
        </w:rPr>
      </w:pPr>
    </w:p>
    <w:p w:rsidR="001B5E51" w:rsidRPr="00A523AF" w:rsidRDefault="003B0420" w:rsidP="0013043B">
      <w:pPr>
        <w:numPr>
          <w:ilvl w:val="0"/>
          <w:numId w:val="2"/>
        </w:numPr>
        <w:spacing w:after="0" w:line="240" w:lineRule="auto"/>
        <w:ind w:right="-6" w:firstLine="0"/>
        <w:contextualSpacing/>
        <w:jc w:val="both"/>
        <w:rPr>
          <w:rFonts w:ascii="Verdana" w:hAnsi="Verdana" w:cs="Times"/>
          <w:sz w:val="18"/>
          <w:szCs w:val="18"/>
        </w:rPr>
      </w:pPr>
      <w:r w:rsidRPr="00A523AF">
        <w:rPr>
          <w:rFonts w:ascii="Verdana" w:hAnsi="Verdana"/>
          <w:sz w:val="18"/>
          <w:szCs w:val="18"/>
        </w:rPr>
        <w:t>Reiterar al Estado que continúe adoptando de forma inmediata las medidas que sean necesarias para proteger la vida e integridad personal de la señora Gladys Lanza Ochoa, tomando en consideración las circunstancias particulares de riesgo en que se encuentra, de conformidad con lo establecido en los Considerandos 14 a 26 de la presente Resolución.</w:t>
      </w:r>
    </w:p>
    <w:p w:rsidR="001B5E51" w:rsidRPr="00A523AF" w:rsidRDefault="001B5E51" w:rsidP="0013043B">
      <w:pPr>
        <w:spacing w:after="0" w:line="240" w:lineRule="auto"/>
        <w:ind w:left="720" w:right="-6"/>
        <w:contextualSpacing/>
        <w:jc w:val="both"/>
        <w:rPr>
          <w:rFonts w:ascii="Verdana" w:hAnsi="Verdana" w:cs="Times"/>
          <w:sz w:val="18"/>
          <w:szCs w:val="18"/>
        </w:rPr>
      </w:pPr>
    </w:p>
    <w:p w:rsidR="001B5E51" w:rsidRPr="00A523AF" w:rsidRDefault="001B5E51" w:rsidP="0013043B">
      <w:pPr>
        <w:numPr>
          <w:ilvl w:val="0"/>
          <w:numId w:val="2"/>
        </w:numPr>
        <w:spacing w:after="0" w:line="240" w:lineRule="auto"/>
        <w:ind w:right="-6" w:firstLine="0"/>
        <w:contextualSpacing/>
        <w:jc w:val="both"/>
        <w:rPr>
          <w:rFonts w:ascii="Verdana" w:hAnsi="Verdana" w:cs="Times"/>
          <w:sz w:val="18"/>
          <w:szCs w:val="18"/>
        </w:rPr>
      </w:pPr>
      <w:r w:rsidRPr="00A523AF">
        <w:rPr>
          <w:rFonts w:ascii="Verdana" w:hAnsi="Verdana" w:cs="Times"/>
          <w:sz w:val="18"/>
          <w:szCs w:val="18"/>
        </w:rPr>
        <w:t>R</w:t>
      </w:r>
      <w:r w:rsidRPr="00A523AF">
        <w:rPr>
          <w:rFonts w:ascii="Verdana" w:hAnsi="Verdana"/>
          <w:sz w:val="18"/>
          <w:szCs w:val="18"/>
        </w:rPr>
        <w:t>eiterar al Estado que realice todas las gestiones pertinentes para que las medidas de protección ordenadas en la presente Resolución se planifiquen e implementen con la participación de la beneficiaria de las mismas</w:t>
      </w:r>
      <w:r w:rsidRPr="00A523AF">
        <w:rPr>
          <w:rFonts w:ascii="Verdana" w:hAnsi="Verdana"/>
          <w:b/>
          <w:sz w:val="18"/>
          <w:szCs w:val="18"/>
        </w:rPr>
        <w:t xml:space="preserve"> </w:t>
      </w:r>
      <w:r w:rsidRPr="00A523AF">
        <w:rPr>
          <w:rFonts w:ascii="Verdana" w:hAnsi="Verdana"/>
          <w:sz w:val="18"/>
          <w:szCs w:val="18"/>
        </w:rPr>
        <w:t>o sus representantes, de manera tal que las referidas medidas se brinden de forma diligente y efectiva</w:t>
      </w:r>
      <w:r w:rsidRPr="00A523AF">
        <w:rPr>
          <w:rFonts w:ascii="Verdana" w:hAnsi="Verdana"/>
          <w:b/>
          <w:sz w:val="18"/>
          <w:szCs w:val="18"/>
        </w:rPr>
        <w:t xml:space="preserve"> </w:t>
      </w:r>
      <w:r w:rsidRPr="00A523AF">
        <w:rPr>
          <w:rFonts w:ascii="Verdana" w:hAnsi="Verdana"/>
          <w:sz w:val="18"/>
          <w:szCs w:val="18"/>
        </w:rPr>
        <w:t>y que, en general, les mantenga informados sobre el avance de su ejecución, de conformidad con lo establecido en los Considerandos 14 y 21 a 26 de la presente Resolución.</w:t>
      </w:r>
    </w:p>
    <w:p w:rsidR="00D30269" w:rsidRPr="00A523AF" w:rsidRDefault="00D30269" w:rsidP="0013043B">
      <w:pPr>
        <w:spacing w:after="0" w:line="240" w:lineRule="auto"/>
        <w:ind w:left="720" w:right="-6"/>
        <w:contextualSpacing/>
        <w:jc w:val="both"/>
        <w:rPr>
          <w:rFonts w:ascii="Verdana" w:hAnsi="Verdana" w:cs="Verdana"/>
          <w:sz w:val="18"/>
          <w:szCs w:val="18"/>
        </w:rPr>
      </w:pPr>
    </w:p>
    <w:p w:rsidR="003B0420" w:rsidRPr="00A523AF" w:rsidRDefault="003B0420" w:rsidP="0013043B">
      <w:pPr>
        <w:spacing w:after="0" w:line="240" w:lineRule="auto"/>
        <w:ind w:left="720" w:right="-6"/>
        <w:contextualSpacing/>
        <w:jc w:val="both"/>
        <w:rPr>
          <w:rFonts w:ascii="Verdana" w:hAnsi="Verdana" w:cs="Times"/>
          <w:sz w:val="18"/>
          <w:szCs w:val="18"/>
        </w:rPr>
      </w:pPr>
      <w:r w:rsidRPr="00A523AF">
        <w:rPr>
          <w:rFonts w:ascii="Verdana" w:hAnsi="Verdana" w:cs="Verdana"/>
          <w:sz w:val="18"/>
          <w:szCs w:val="18"/>
        </w:rPr>
        <w:t>[…]</w:t>
      </w:r>
    </w:p>
    <w:p w:rsidR="009843A7" w:rsidRPr="00A523AF" w:rsidRDefault="009843A7" w:rsidP="0013043B">
      <w:pPr>
        <w:tabs>
          <w:tab w:val="left" w:pos="680"/>
        </w:tabs>
        <w:spacing w:after="0" w:line="240" w:lineRule="auto"/>
        <w:ind w:left="720" w:right="18"/>
        <w:jc w:val="both"/>
        <w:rPr>
          <w:rFonts w:ascii="Verdana" w:hAnsi="Verdana" w:cs="Verdana"/>
          <w:sz w:val="20"/>
          <w:szCs w:val="20"/>
          <w:lang w:val="es-ES_tradnl" w:eastAsia="es-ES"/>
        </w:rPr>
      </w:pPr>
    </w:p>
    <w:p w:rsidR="00BD3D6E" w:rsidRPr="0013043B" w:rsidRDefault="00C02B0F" w:rsidP="0013043B">
      <w:pPr>
        <w:numPr>
          <w:ilvl w:val="0"/>
          <w:numId w:val="1"/>
        </w:numPr>
        <w:spacing w:after="0" w:line="240" w:lineRule="auto"/>
        <w:ind w:left="0" w:firstLine="0"/>
        <w:contextualSpacing/>
        <w:jc w:val="both"/>
        <w:rPr>
          <w:rFonts w:ascii="Verdana" w:hAnsi="Verdana" w:cs="Verdana"/>
          <w:bCs/>
          <w:sz w:val="20"/>
          <w:szCs w:val="20"/>
          <w:lang w:val="es-ES_tradnl" w:eastAsia="es-ES"/>
        </w:rPr>
      </w:pPr>
      <w:r w:rsidRPr="00A523AF">
        <w:rPr>
          <w:rFonts w:ascii="Verdana" w:hAnsi="Verdana" w:cs="Verdana"/>
          <w:sz w:val="20"/>
          <w:szCs w:val="20"/>
          <w:lang w:val="es-ES"/>
        </w:rPr>
        <w:t>Los escritos de 21</w:t>
      </w:r>
      <w:r w:rsidR="00BD3D6E" w:rsidRPr="00A523AF">
        <w:rPr>
          <w:rFonts w:ascii="Verdana" w:hAnsi="Verdana" w:cs="Verdana"/>
          <w:sz w:val="20"/>
          <w:szCs w:val="20"/>
          <w:lang w:val="es-ES"/>
        </w:rPr>
        <w:t xml:space="preserve"> de enero, </w:t>
      </w:r>
      <w:r w:rsidR="00032ED9" w:rsidRPr="00A523AF">
        <w:rPr>
          <w:rFonts w:ascii="Verdana" w:hAnsi="Verdana" w:cs="Verdana"/>
          <w:sz w:val="20"/>
          <w:szCs w:val="20"/>
          <w:lang w:val="es-ES"/>
        </w:rPr>
        <w:t xml:space="preserve">20 de junio </w:t>
      </w:r>
      <w:r w:rsidR="00F94E4B" w:rsidRPr="00A523AF">
        <w:rPr>
          <w:rFonts w:ascii="Verdana" w:hAnsi="Verdana" w:cs="Verdana"/>
          <w:sz w:val="20"/>
          <w:szCs w:val="20"/>
          <w:lang w:val="es-ES"/>
        </w:rPr>
        <w:t>y 14</w:t>
      </w:r>
      <w:r w:rsidR="00BD3D6E" w:rsidRPr="00A523AF">
        <w:rPr>
          <w:rFonts w:ascii="Verdana" w:hAnsi="Verdana" w:cs="Verdana"/>
          <w:sz w:val="20"/>
          <w:szCs w:val="20"/>
          <w:lang w:val="es-ES"/>
        </w:rPr>
        <w:t xml:space="preserve"> de noviembre de 2013; </w:t>
      </w:r>
      <w:r w:rsidR="00834ED9" w:rsidRPr="00A523AF">
        <w:rPr>
          <w:rFonts w:ascii="Verdana" w:hAnsi="Verdana" w:cs="Verdana"/>
          <w:sz w:val="20"/>
          <w:szCs w:val="20"/>
          <w:lang w:val="es-ES"/>
        </w:rPr>
        <w:t xml:space="preserve">de </w:t>
      </w:r>
      <w:r w:rsidR="00F94E4B" w:rsidRPr="00A523AF">
        <w:rPr>
          <w:rFonts w:ascii="Verdana" w:hAnsi="Verdana" w:cs="Verdana"/>
          <w:sz w:val="20"/>
          <w:szCs w:val="20"/>
          <w:lang w:val="es-ES"/>
        </w:rPr>
        <w:t>21</w:t>
      </w:r>
      <w:r w:rsidR="00BD3D6E" w:rsidRPr="00A523AF">
        <w:rPr>
          <w:rFonts w:ascii="Verdana" w:hAnsi="Verdana" w:cs="Verdana"/>
          <w:sz w:val="20"/>
          <w:szCs w:val="20"/>
          <w:lang w:val="es-ES"/>
        </w:rPr>
        <w:t xml:space="preserve"> de marzo</w:t>
      </w:r>
      <w:r w:rsidR="00D135D9" w:rsidRPr="00A523AF">
        <w:rPr>
          <w:rFonts w:ascii="Verdana" w:hAnsi="Verdana" w:cs="Verdana"/>
          <w:sz w:val="20"/>
          <w:szCs w:val="20"/>
          <w:lang w:val="es-ES"/>
        </w:rPr>
        <w:t xml:space="preserve"> </w:t>
      </w:r>
      <w:r w:rsidR="00F44C07" w:rsidRPr="004409DD">
        <w:rPr>
          <w:rFonts w:ascii="Verdana" w:hAnsi="Verdana" w:cs="Verdana"/>
          <w:sz w:val="20"/>
          <w:szCs w:val="20"/>
          <w:lang w:val="es-ES"/>
        </w:rPr>
        <w:t>y 4</w:t>
      </w:r>
      <w:r w:rsidR="00BD3D6E" w:rsidRPr="00DE4B7A">
        <w:rPr>
          <w:rFonts w:ascii="Verdana" w:hAnsi="Verdana" w:cs="Verdana"/>
          <w:sz w:val="20"/>
          <w:szCs w:val="20"/>
          <w:lang w:val="es-ES"/>
        </w:rPr>
        <w:t xml:space="preserve"> de septiembre de 2014; </w:t>
      </w:r>
      <w:r w:rsidR="00F44C07" w:rsidRPr="00DE4B7A">
        <w:rPr>
          <w:rFonts w:ascii="Verdana" w:hAnsi="Verdana" w:cs="Verdana"/>
          <w:sz w:val="20"/>
          <w:szCs w:val="20"/>
          <w:lang w:val="es-ES"/>
        </w:rPr>
        <w:t>de 19</w:t>
      </w:r>
      <w:r w:rsidR="00BD3D6E" w:rsidRPr="00DE4B7A">
        <w:rPr>
          <w:rFonts w:ascii="Verdana" w:hAnsi="Verdana" w:cs="Verdana"/>
          <w:sz w:val="20"/>
          <w:szCs w:val="20"/>
          <w:lang w:val="es-ES"/>
        </w:rPr>
        <w:t xml:space="preserve"> de enero</w:t>
      </w:r>
      <w:r w:rsidR="00F44C07" w:rsidRPr="0013043B">
        <w:rPr>
          <w:rFonts w:ascii="Verdana" w:hAnsi="Verdana" w:cs="Verdana"/>
          <w:sz w:val="20"/>
          <w:szCs w:val="20"/>
          <w:lang w:val="es-ES"/>
        </w:rPr>
        <w:t>, 17</w:t>
      </w:r>
      <w:r w:rsidR="00BD3D6E" w:rsidRPr="0013043B">
        <w:rPr>
          <w:rFonts w:ascii="Verdana" w:hAnsi="Verdana" w:cs="Verdana"/>
          <w:sz w:val="20"/>
          <w:szCs w:val="20"/>
          <w:lang w:val="es-ES"/>
        </w:rPr>
        <w:t xml:space="preserve"> de abril, 4 de junio</w:t>
      </w:r>
      <w:r w:rsidR="00BD3D6E" w:rsidRPr="00071B15">
        <w:rPr>
          <w:rFonts w:ascii="Verdana" w:hAnsi="Verdana" w:cs="Verdana"/>
          <w:sz w:val="20"/>
          <w:szCs w:val="20"/>
          <w:lang w:val="es-ES"/>
        </w:rPr>
        <w:t>, 21 de julio</w:t>
      </w:r>
      <w:r w:rsidR="00D135D9" w:rsidRPr="00071B15">
        <w:rPr>
          <w:rFonts w:ascii="Verdana" w:hAnsi="Verdana" w:cs="Verdana"/>
          <w:sz w:val="20"/>
          <w:szCs w:val="20"/>
          <w:lang w:val="es-ES"/>
        </w:rPr>
        <w:t xml:space="preserve"> </w:t>
      </w:r>
      <w:r w:rsidR="00BD3D6E" w:rsidRPr="00071B15">
        <w:rPr>
          <w:rFonts w:ascii="Verdana" w:hAnsi="Verdana" w:cs="Verdana"/>
          <w:sz w:val="20"/>
          <w:szCs w:val="20"/>
          <w:lang w:val="es-ES"/>
        </w:rPr>
        <w:t xml:space="preserve">y </w:t>
      </w:r>
      <w:r w:rsidR="00BD3D6E" w:rsidRPr="007D3AAE">
        <w:rPr>
          <w:rFonts w:ascii="Verdana" w:hAnsi="Verdana" w:cs="Verdana"/>
          <w:sz w:val="20"/>
          <w:szCs w:val="20"/>
          <w:lang w:val="es-ES"/>
        </w:rPr>
        <w:t>19 de octubre de 2015;</w:t>
      </w:r>
      <w:r w:rsidR="00F44C07" w:rsidRPr="007D3AAE">
        <w:rPr>
          <w:rFonts w:ascii="Verdana" w:hAnsi="Verdana" w:cs="Verdana"/>
          <w:sz w:val="20"/>
          <w:szCs w:val="20"/>
          <w:lang w:val="es-ES"/>
        </w:rPr>
        <w:t xml:space="preserve"> </w:t>
      </w:r>
      <w:r w:rsidR="004B00D9" w:rsidRPr="007D3AAE">
        <w:rPr>
          <w:rFonts w:ascii="Verdana" w:hAnsi="Verdana" w:cs="Verdana"/>
          <w:sz w:val="20"/>
          <w:szCs w:val="20"/>
          <w:lang w:val="es-ES"/>
        </w:rPr>
        <w:t xml:space="preserve">de </w:t>
      </w:r>
      <w:r w:rsidR="00F44C07" w:rsidRPr="001A16D2">
        <w:rPr>
          <w:rFonts w:ascii="Verdana" w:hAnsi="Verdana" w:cs="Verdana"/>
          <w:sz w:val="20"/>
          <w:szCs w:val="20"/>
          <w:lang w:val="es-ES"/>
        </w:rPr>
        <w:t>4</w:t>
      </w:r>
      <w:r w:rsidR="00BD3D6E" w:rsidRPr="00E94D96">
        <w:rPr>
          <w:rFonts w:ascii="Verdana" w:hAnsi="Verdana" w:cs="Verdana"/>
          <w:sz w:val="20"/>
          <w:szCs w:val="20"/>
          <w:lang w:val="es-ES"/>
        </w:rPr>
        <w:t xml:space="preserve"> de febrero, 19 de ma</w:t>
      </w:r>
      <w:r w:rsidR="00F44C07" w:rsidRPr="00E94D96">
        <w:rPr>
          <w:rFonts w:ascii="Verdana" w:hAnsi="Verdana" w:cs="Verdana"/>
          <w:sz w:val="20"/>
          <w:szCs w:val="20"/>
          <w:lang w:val="es-ES"/>
        </w:rPr>
        <w:t>y</w:t>
      </w:r>
      <w:r w:rsidR="00834ED9" w:rsidRPr="00E94D96">
        <w:rPr>
          <w:rFonts w:ascii="Verdana" w:hAnsi="Verdana" w:cs="Verdana"/>
          <w:sz w:val="20"/>
          <w:szCs w:val="20"/>
          <w:lang w:val="es-ES"/>
        </w:rPr>
        <w:t>o</w:t>
      </w:r>
      <w:r w:rsidR="00834ED9" w:rsidRPr="009B0105">
        <w:rPr>
          <w:rFonts w:ascii="Verdana" w:hAnsi="Verdana" w:cs="Verdana"/>
          <w:sz w:val="20"/>
          <w:szCs w:val="20"/>
          <w:lang w:val="es-ES"/>
        </w:rPr>
        <w:t>,</w:t>
      </w:r>
      <w:r w:rsidR="00695D7E" w:rsidRPr="009B0105">
        <w:rPr>
          <w:rFonts w:ascii="Verdana" w:hAnsi="Verdana" w:cs="Verdana"/>
          <w:sz w:val="20"/>
          <w:szCs w:val="20"/>
          <w:lang w:val="es-ES"/>
        </w:rPr>
        <w:t xml:space="preserve"> 18</w:t>
      </w:r>
      <w:r w:rsidR="00834ED9" w:rsidRPr="009B0105">
        <w:rPr>
          <w:rFonts w:ascii="Verdana" w:hAnsi="Verdana" w:cs="Verdana"/>
          <w:sz w:val="20"/>
          <w:szCs w:val="20"/>
          <w:lang w:val="es-ES"/>
        </w:rPr>
        <w:t xml:space="preserve"> de julio,</w:t>
      </w:r>
      <w:r w:rsidR="001E6F4F" w:rsidRPr="009B0105">
        <w:rPr>
          <w:rFonts w:ascii="Verdana" w:hAnsi="Verdana" w:cs="Verdana"/>
          <w:sz w:val="20"/>
          <w:szCs w:val="20"/>
          <w:lang w:val="es-ES"/>
        </w:rPr>
        <w:t xml:space="preserve"> y</w:t>
      </w:r>
      <w:r w:rsidR="00834ED9" w:rsidRPr="009B0105">
        <w:rPr>
          <w:rFonts w:ascii="Verdana" w:hAnsi="Verdana" w:cs="Verdana"/>
          <w:sz w:val="20"/>
          <w:szCs w:val="20"/>
          <w:lang w:val="es-ES"/>
        </w:rPr>
        <w:t xml:space="preserve"> </w:t>
      </w:r>
      <w:r w:rsidR="00695D7E" w:rsidRPr="009B0105">
        <w:rPr>
          <w:rFonts w:ascii="Verdana" w:hAnsi="Verdana" w:cs="Verdana"/>
          <w:sz w:val="20"/>
          <w:szCs w:val="20"/>
          <w:lang w:val="es-ES"/>
        </w:rPr>
        <w:t>1 de septiembre</w:t>
      </w:r>
      <w:r w:rsidR="001E6F4F" w:rsidRPr="009B0105">
        <w:rPr>
          <w:rFonts w:ascii="Verdana" w:hAnsi="Verdana" w:cs="Verdana"/>
          <w:b/>
          <w:sz w:val="20"/>
          <w:szCs w:val="20"/>
          <w:lang w:eastAsia="es-MX"/>
        </w:rPr>
        <w:t xml:space="preserve"> </w:t>
      </w:r>
      <w:r w:rsidR="00BD3D6E" w:rsidRPr="009B0105">
        <w:rPr>
          <w:rFonts w:ascii="Verdana" w:hAnsi="Verdana" w:cs="Verdana"/>
          <w:sz w:val="20"/>
          <w:szCs w:val="20"/>
          <w:lang w:val="es-ES"/>
        </w:rPr>
        <w:t>de 2016</w:t>
      </w:r>
      <w:r w:rsidR="000530DE" w:rsidRPr="00A523AF">
        <w:rPr>
          <w:rFonts w:ascii="Verdana" w:hAnsi="Verdana" w:cs="Verdana"/>
          <w:sz w:val="20"/>
          <w:szCs w:val="20"/>
          <w:lang w:eastAsia="es-MX"/>
        </w:rPr>
        <w:t>,</w:t>
      </w:r>
      <w:r w:rsidR="00BD3D6E" w:rsidRPr="004409DD">
        <w:rPr>
          <w:rFonts w:ascii="Verdana" w:hAnsi="Verdana" w:cs="Verdana"/>
          <w:sz w:val="20"/>
          <w:szCs w:val="20"/>
          <w:lang w:val="es-ES"/>
        </w:rPr>
        <w:t xml:space="preserve"> </w:t>
      </w:r>
      <w:r w:rsidR="00BD3D6E" w:rsidRPr="00DE4B7A">
        <w:rPr>
          <w:rFonts w:ascii="Verdana" w:hAnsi="Verdana" w:cs="Verdana"/>
          <w:sz w:val="20"/>
          <w:szCs w:val="20"/>
        </w:rPr>
        <w:t xml:space="preserve">mediante los cuales la República de Honduras (en adelante el </w:t>
      </w:r>
      <w:r w:rsidR="00DE0135" w:rsidRPr="00DE4B7A">
        <w:rPr>
          <w:rFonts w:ascii="Verdana" w:hAnsi="Verdana" w:cs="Verdana"/>
          <w:sz w:val="20"/>
          <w:szCs w:val="20"/>
        </w:rPr>
        <w:t>“</w:t>
      </w:r>
      <w:r w:rsidR="00BD3D6E" w:rsidRPr="00DE4B7A">
        <w:rPr>
          <w:rFonts w:ascii="Verdana" w:hAnsi="Verdana" w:cs="Verdana"/>
          <w:sz w:val="20"/>
          <w:szCs w:val="20"/>
        </w:rPr>
        <w:t xml:space="preserve">Estado” </w:t>
      </w:r>
      <w:r w:rsidR="00C17094" w:rsidRPr="00DE4B7A">
        <w:rPr>
          <w:rFonts w:ascii="Verdana" w:hAnsi="Verdana" w:cs="Verdana"/>
          <w:sz w:val="20"/>
          <w:szCs w:val="20"/>
        </w:rPr>
        <w:t>u</w:t>
      </w:r>
      <w:r w:rsidR="00BD3D6E" w:rsidRPr="00DE4B7A">
        <w:rPr>
          <w:rFonts w:ascii="Verdana" w:hAnsi="Verdana" w:cs="Verdana"/>
          <w:sz w:val="20"/>
          <w:szCs w:val="20"/>
        </w:rPr>
        <w:t xml:space="preserve"> “Honduras”) presentó </w:t>
      </w:r>
      <w:r w:rsidR="009C435E" w:rsidRPr="00DE4B7A">
        <w:rPr>
          <w:rFonts w:ascii="Verdana" w:hAnsi="Verdana" w:cs="Verdana"/>
          <w:sz w:val="20"/>
          <w:szCs w:val="20"/>
        </w:rPr>
        <w:t xml:space="preserve">sus </w:t>
      </w:r>
      <w:r w:rsidR="00BD3D6E" w:rsidRPr="00DE4B7A">
        <w:rPr>
          <w:rFonts w:ascii="Verdana" w:hAnsi="Verdana" w:cs="Verdana"/>
          <w:sz w:val="20"/>
          <w:szCs w:val="20"/>
        </w:rPr>
        <w:t>info</w:t>
      </w:r>
      <w:r w:rsidR="00BD3D6E" w:rsidRPr="0013043B">
        <w:rPr>
          <w:rFonts w:ascii="Verdana" w:hAnsi="Verdana" w:cs="Verdana"/>
          <w:sz w:val="20"/>
          <w:szCs w:val="20"/>
        </w:rPr>
        <w:t>rmes sobre la implementación de las medidas provisionales.</w:t>
      </w:r>
    </w:p>
    <w:p w:rsidR="00BD3D6E" w:rsidRPr="00071B15" w:rsidRDefault="00BD3D6E" w:rsidP="00071B15">
      <w:pPr>
        <w:spacing w:after="0" w:line="240" w:lineRule="auto"/>
        <w:contextualSpacing/>
        <w:jc w:val="both"/>
        <w:rPr>
          <w:rFonts w:ascii="Verdana" w:hAnsi="Verdana" w:cs="Verdana"/>
          <w:bCs/>
          <w:sz w:val="20"/>
          <w:szCs w:val="20"/>
          <w:lang w:val="es-ES_tradnl" w:eastAsia="es-ES"/>
        </w:rPr>
      </w:pPr>
    </w:p>
    <w:p w:rsidR="00BD3D6E" w:rsidRPr="009B0105" w:rsidRDefault="00BD3D6E" w:rsidP="00071B15">
      <w:pPr>
        <w:numPr>
          <w:ilvl w:val="0"/>
          <w:numId w:val="1"/>
        </w:numPr>
        <w:spacing w:after="0" w:line="240" w:lineRule="auto"/>
        <w:ind w:left="0" w:firstLine="0"/>
        <w:contextualSpacing/>
        <w:jc w:val="both"/>
        <w:rPr>
          <w:rFonts w:ascii="Verdana" w:hAnsi="Verdana" w:cs="Verdana"/>
          <w:bCs/>
          <w:sz w:val="20"/>
          <w:szCs w:val="20"/>
          <w:lang w:val="es-ES_tradnl" w:eastAsia="es-ES"/>
        </w:rPr>
      </w:pPr>
      <w:r w:rsidRPr="00071B15">
        <w:rPr>
          <w:rFonts w:ascii="Verdana" w:hAnsi="Verdana" w:cs="Verdana"/>
          <w:sz w:val="20"/>
          <w:szCs w:val="20"/>
        </w:rPr>
        <w:t xml:space="preserve">Los escritos de </w:t>
      </w:r>
      <w:r w:rsidR="00276FCD" w:rsidRPr="00071B15">
        <w:rPr>
          <w:rFonts w:ascii="Verdana" w:hAnsi="Verdana" w:cs="Verdana"/>
          <w:sz w:val="20"/>
          <w:szCs w:val="20"/>
        </w:rPr>
        <w:t>27 de febrero</w:t>
      </w:r>
      <w:r w:rsidRPr="007D3AAE">
        <w:rPr>
          <w:rFonts w:ascii="Verdana" w:hAnsi="Verdana" w:cs="Verdana"/>
          <w:sz w:val="20"/>
          <w:szCs w:val="20"/>
        </w:rPr>
        <w:t>, 1 de agosto y 13 de diciembre 2013</w:t>
      </w:r>
      <w:r w:rsidRPr="00E94D96">
        <w:rPr>
          <w:rFonts w:ascii="Verdana" w:hAnsi="Verdana" w:cs="Verdana"/>
          <w:sz w:val="20"/>
          <w:szCs w:val="20"/>
        </w:rPr>
        <w:t>; de 24 de abril</w:t>
      </w:r>
      <w:r w:rsidR="000162B8" w:rsidRPr="00E94D96">
        <w:rPr>
          <w:rFonts w:ascii="Verdana" w:hAnsi="Verdana" w:cs="Verdana"/>
          <w:b/>
          <w:sz w:val="20"/>
          <w:szCs w:val="20"/>
          <w:lang w:eastAsia="es-MX"/>
        </w:rPr>
        <w:t xml:space="preserve"> </w:t>
      </w:r>
      <w:r w:rsidR="000162B8" w:rsidRPr="00E94D96">
        <w:rPr>
          <w:rFonts w:ascii="Verdana" w:hAnsi="Verdana" w:cs="Verdana"/>
          <w:sz w:val="20"/>
          <w:szCs w:val="20"/>
          <w:lang w:eastAsia="es-MX"/>
        </w:rPr>
        <w:t>y 14 octubre de 2014</w:t>
      </w:r>
      <w:r w:rsidR="000162B8" w:rsidRPr="00587BF9">
        <w:rPr>
          <w:rFonts w:ascii="Verdana" w:hAnsi="Verdana" w:cs="Verdana"/>
          <w:sz w:val="20"/>
          <w:szCs w:val="20"/>
          <w:lang w:eastAsia="es-MX"/>
        </w:rPr>
        <w:t>;</w:t>
      </w:r>
      <w:r w:rsidR="000162B8" w:rsidRPr="009B0105">
        <w:rPr>
          <w:rFonts w:ascii="Verdana" w:hAnsi="Verdana" w:cs="Verdana"/>
          <w:b/>
          <w:sz w:val="20"/>
          <w:szCs w:val="20"/>
          <w:lang w:eastAsia="es-MX"/>
        </w:rPr>
        <w:t xml:space="preserve"> </w:t>
      </w:r>
      <w:r w:rsidR="000162B8" w:rsidRPr="009B0105">
        <w:rPr>
          <w:rFonts w:ascii="Verdana" w:hAnsi="Verdana" w:cs="Verdana"/>
          <w:sz w:val="20"/>
          <w:szCs w:val="20"/>
        </w:rPr>
        <w:t>de</w:t>
      </w:r>
      <w:r w:rsidRPr="009B0105">
        <w:rPr>
          <w:rFonts w:ascii="Verdana" w:hAnsi="Verdana" w:cs="Verdana"/>
          <w:sz w:val="20"/>
          <w:szCs w:val="20"/>
        </w:rPr>
        <w:t xml:space="preserve"> 18 d</w:t>
      </w:r>
      <w:r w:rsidR="000162B8" w:rsidRPr="009B0105">
        <w:rPr>
          <w:rFonts w:ascii="Verdana" w:hAnsi="Verdana" w:cs="Verdana"/>
          <w:sz w:val="20"/>
          <w:szCs w:val="20"/>
        </w:rPr>
        <w:t>e marzo,</w:t>
      </w:r>
      <w:r w:rsidR="00482D8B" w:rsidRPr="009B0105">
        <w:rPr>
          <w:rFonts w:ascii="Verdana" w:hAnsi="Verdana" w:cs="Verdana"/>
          <w:sz w:val="20"/>
          <w:szCs w:val="20"/>
        </w:rPr>
        <w:t xml:space="preserve"> </w:t>
      </w:r>
      <w:r w:rsidRPr="009B0105">
        <w:rPr>
          <w:rFonts w:ascii="Verdana" w:hAnsi="Verdana" w:cs="Verdana"/>
          <w:sz w:val="20"/>
          <w:szCs w:val="20"/>
        </w:rPr>
        <w:t>23 de julio, 24 de agosto</w:t>
      </w:r>
      <w:r w:rsidR="00D135D9" w:rsidRPr="009B0105">
        <w:rPr>
          <w:rFonts w:ascii="Verdana" w:hAnsi="Verdana" w:cs="Verdana"/>
          <w:sz w:val="20"/>
          <w:szCs w:val="20"/>
        </w:rPr>
        <w:t xml:space="preserve"> </w:t>
      </w:r>
      <w:r w:rsidRPr="009B0105">
        <w:rPr>
          <w:rFonts w:ascii="Verdana" w:hAnsi="Verdana" w:cs="Verdana"/>
          <w:sz w:val="20"/>
          <w:szCs w:val="20"/>
        </w:rPr>
        <w:t>y de 20 de noviembre de 2015; 22 de marzo, 27 de junio</w:t>
      </w:r>
      <w:r w:rsidR="00D135D9" w:rsidRPr="009B0105">
        <w:rPr>
          <w:rFonts w:ascii="Verdana" w:hAnsi="Verdana" w:cs="Verdana"/>
          <w:sz w:val="20"/>
          <w:szCs w:val="20"/>
        </w:rPr>
        <w:t xml:space="preserve"> </w:t>
      </w:r>
      <w:r w:rsidR="005139C9" w:rsidRPr="009B0105">
        <w:rPr>
          <w:rFonts w:ascii="Verdana" w:hAnsi="Verdana" w:cs="Verdana"/>
          <w:sz w:val="20"/>
          <w:szCs w:val="20"/>
        </w:rPr>
        <w:t xml:space="preserve">y 6 de </w:t>
      </w:r>
      <w:r w:rsidR="00762C2E" w:rsidRPr="009B0105">
        <w:rPr>
          <w:rFonts w:ascii="Verdana" w:hAnsi="Verdana" w:cs="Verdana"/>
          <w:sz w:val="20"/>
          <w:szCs w:val="20"/>
        </w:rPr>
        <w:t xml:space="preserve">octubre </w:t>
      </w:r>
      <w:r w:rsidRPr="009B0105">
        <w:rPr>
          <w:rFonts w:ascii="Verdana" w:hAnsi="Verdana" w:cs="Verdana"/>
          <w:sz w:val="20"/>
          <w:szCs w:val="20"/>
        </w:rPr>
        <w:t xml:space="preserve">de 2016, mediante los cuales los representantes de la beneficiaria de las medidas provisionales (en adelante “los representantes”) presentaron observaciones a los escritos estatales, </w:t>
      </w:r>
      <w:r w:rsidR="00742E66" w:rsidRPr="009B0105">
        <w:rPr>
          <w:rFonts w:ascii="Verdana" w:hAnsi="Verdana" w:cs="Verdana"/>
          <w:sz w:val="20"/>
          <w:szCs w:val="20"/>
        </w:rPr>
        <w:t>expusieron</w:t>
      </w:r>
      <w:r w:rsidR="00742E66" w:rsidRPr="009B0105">
        <w:rPr>
          <w:rFonts w:ascii="Verdana" w:hAnsi="Verdana" w:cs="Verdana"/>
          <w:b/>
          <w:sz w:val="20"/>
          <w:szCs w:val="20"/>
        </w:rPr>
        <w:t xml:space="preserve"> </w:t>
      </w:r>
      <w:r w:rsidRPr="009B0105">
        <w:rPr>
          <w:rFonts w:ascii="Verdana" w:hAnsi="Verdana" w:cs="Verdana"/>
          <w:sz w:val="20"/>
          <w:szCs w:val="20"/>
        </w:rPr>
        <w:t>información sobre la implementación de las medidas y expresaron su preocupación por la falta de acatamiento efectivo de las medidas ordenadas.</w:t>
      </w:r>
      <w:r w:rsidR="001E230D" w:rsidRPr="009B0105">
        <w:rPr>
          <w:rFonts w:ascii="Verdana" w:hAnsi="Verdana" w:cs="Verdana"/>
          <w:sz w:val="20"/>
          <w:szCs w:val="20"/>
        </w:rPr>
        <w:t xml:space="preserve"> </w:t>
      </w:r>
    </w:p>
    <w:p w:rsidR="00BD3D6E" w:rsidRPr="009B0105" w:rsidRDefault="00BD3D6E" w:rsidP="007D3AAE">
      <w:pPr>
        <w:spacing w:after="0" w:line="240" w:lineRule="auto"/>
        <w:contextualSpacing/>
        <w:jc w:val="both"/>
        <w:rPr>
          <w:rFonts w:ascii="Verdana" w:hAnsi="Verdana" w:cs="Verdana"/>
          <w:bCs/>
          <w:sz w:val="20"/>
          <w:szCs w:val="20"/>
          <w:lang w:val="es-ES_tradnl" w:eastAsia="es-ES"/>
        </w:rPr>
      </w:pPr>
    </w:p>
    <w:p w:rsidR="00476EBF" w:rsidRPr="009B0105" w:rsidRDefault="005B26CE" w:rsidP="007D3AAE">
      <w:pPr>
        <w:numPr>
          <w:ilvl w:val="0"/>
          <w:numId w:val="1"/>
        </w:numPr>
        <w:spacing w:after="0" w:line="240" w:lineRule="auto"/>
        <w:ind w:left="0" w:firstLine="0"/>
        <w:contextualSpacing/>
        <w:jc w:val="both"/>
        <w:rPr>
          <w:rFonts w:ascii="Verdana" w:hAnsi="Verdana" w:cs="Verdana"/>
          <w:bCs/>
          <w:sz w:val="20"/>
          <w:szCs w:val="20"/>
          <w:lang w:val="es-ES_tradnl" w:eastAsia="es-ES"/>
        </w:rPr>
      </w:pPr>
      <w:r w:rsidRPr="009B0105">
        <w:rPr>
          <w:rFonts w:ascii="Verdana" w:hAnsi="Verdana" w:cs="Verdana"/>
          <w:sz w:val="20"/>
          <w:szCs w:val="20"/>
        </w:rPr>
        <w:t>Los escritos de 1</w:t>
      </w:r>
      <w:r w:rsidR="00BD3D6E" w:rsidRPr="009B0105">
        <w:rPr>
          <w:rFonts w:ascii="Verdana" w:hAnsi="Verdana" w:cs="Verdana"/>
          <w:sz w:val="20"/>
          <w:szCs w:val="20"/>
        </w:rPr>
        <w:t xml:space="preserve"> de mayo y de 22 de agosto de 2013; de 17 de enero</w:t>
      </w:r>
      <w:r w:rsidR="00DD3810" w:rsidRPr="009B0105">
        <w:rPr>
          <w:rFonts w:ascii="Verdana" w:hAnsi="Verdana" w:cs="Verdana"/>
          <w:sz w:val="20"/>
          <w:szCs w:val="20"/>
        </w:rPr>
        <w:t>, 10 de junio</w:t>
      </w:r>
      <w:r w:rsidR="00B366C1" w:rsidRPr="009B0105">
        <w:rPr>
          <w:rFonts w:ascii="Verdana" w:hAnsi="Verdana" w:cs="Verdana"/>
          <w:sz w:val="20"/>
          <w:szCs w:val="20"/>
        </w:rPr>
        <w:t xml:space="preserve"> y </w:t>
      </w:r>
      <w:r w:rsidR="00BD3D6E" w:rsidRPr="009B0105">
        <w:rPr>
          <w:rFonts w:ascii="Verdana" w:hAnsi="Verdana" w:cs="Verdana"/>
          <w:sz w:val="20"/>
          <w:szCs w:val="20"/>
        </w:rPr>
        <w:t>de 17 de diciembre</w:t>
      </w:r>
      <w:r w:rsidR="00B366C1" w:rsidRPr="009B0105">
        <w:rPr>
          <w:rFonts w:ascii="Verdana" w:hAnsi="Verdana" w:cs="Verdana"/>
          <w:sz w:val="20"/>
          <w:szCs w:val="20"/>
        </w:rPr>
        <w:t xml:space="preserve"> de 2014; de 22 de septiembre</w:t>
      </w:r>
      <w:r w:rsidR="00D276B2" w:rsidRPr="009B0105">
        <w:rPr>
          <w:rFonts w:ascii="Verdana" w:hAnsi="Verdana" w:cs="Verdana"/>
          <w:sz w:val="20"/>
          <w:szCs w:val="20"/>
        </w:rPr>
        <w:t xml:space="preserve">, </w:t>
      </w:r>
      <w:r w:rsidR="00B366C1" w:rsidRPr="009B0105">
        <w:rPr>
          <w:rFonts w:ascii="Verdana" w:hAnsi="Verdana" w:cs="Verdana"/>
          <w:sz w:val="20"/>
          <w:szCs w:val="20"/>
        </w:rPr>
        <w:t xml:space="preserve">8 de </w:t>
      </w:r>
      <w:r w:rsidR="00BD3D6E" w:rsidRPr="009B0105">
        <w:rPr>
          <w:rFonts w:ascii="Verdana" w:hAnsi="Verdana" w:cs="Verdana"/>
          <w:sz w:val="20"/>
          <w:szCs w:val="20"/>
        </w:rPr>
        <w:t>diciembre de 2015</w:t>
      </w:r>
      <w:r w:rsidR="000530DE" w:rsidRPr="009B0105">
        <w:rPr>
          <w:rFonts w:ascii="Verdana" w:hAnsi="Verdana" w:cs="Verdana"/>
          <w:sz w:val="20"/>
          <w:szCs w:val="20"/>
          <w:lang w:eastAsia="es-MX"/>
        </w:rPr>
        <w:t>,</w:t>
      </w:r>
      <w:r w:rsidR="00BD3D6E" w:rsidRPr="009B0105">
        <w:rPr>
          <w:rFonts w:ascii="Verdana" w:hAnsi="Verdana" w:cs="Verdana"/>
          <w:sz w:val="20"/>
          <w:szCs w:val="20"/>
        </w:rPr>
        <w:t xml:space="preserve"> y </w:t>
      </w:r>
      <w:r w:rsidR="00482D8B" w:rsidRPr="009B0105">
        <w:rPr>
          <w:rFonts w:ascii="Verdana" w:hAnsi="Verdana" w:cs="Verdana"/>
          <w:sz w:val="20"/>
          <w:szCs w:val="20"/>
        </w:rPr>
        <w:t xml:space="preserve">de </w:t>
      </w:r>
      <w:r w:rsidR="00BD3D6E" w:rsidRPr="009B0105">
        <w:rPr>
          <w:rFonts w:ascii="Verdana" w:hAnsi="Verdana" w:cs="Verdana"/>
          <w:sz w:val="20"/>
          <w:szCs w:val="20"/>
        </w:rPr>
        <w:t xml:space="preserve">7 junio de 2016, mediante los cuales la Comisión Interamericana de Derechos Humanos (en adelante </w:t>
      </w:r>
      <w:r w:rsidR="00BD3D6E" w:rsidRPr="009B0105">
        <w:rPr>
          <w:rFonts w:ascii="Verdana" w:hAnsi="Verdana" w:cs="Verdana"/>
          <w:sz w:val="20"/>
          <w:szCs w:val="20"/>
        </w:rPr>
        <w:lastRenderedPageBreak/>
        <w:t xml:space="preserve">“la Comisión” o “la Comisión Interamericana”) </w:t>
      </w:r>
      <w:r w:rsidR="00DE0135" w:rsidRPr="009B0105">
        <w:rPr>
          <w:rFonts w:ascii="Verdana" w:hAnsi="Verdana" w:cs="Verdana"/>
          <w:sz w:val="20"/>
          <w:szCs w:val="20"/>
        </w:rPr>
        <w:t>presentó</w:t>
      </w:r>
      <w:r w:rsidR="000530DE" w:rsidRPr="009B0105">
        <w:rPr>
          <w:rFonts w:ascii="Verdana" w:hAnsi="Verdana" w:cs="Verdana"/>
          <w:sz w:val="20"/>
          <w:szCs w:val="20"/>
        </w:rPr>
        <w:t xml:space="preserve"> sus observaciones </w:t>
      </w:r>
      <w:r w:rsidR="00BD3D6E" w:rsidRPr="009B0105">
        <w:rPr>
          <w:rFonts w:ascii="Verdana" w:hAnsi="Verdana" w:cs="Verdana"/>
          <w:sz w:val="20"/>
          <w:szCs w:val="20"/>
        </w:rPr>
        <w:t>a la implementación de las medidas.</w:t>
      </w:r>
    </w:p>
    <w:p w:rsidR="00B53CE1" w:rsidRPr="009B0105" w:rsidRDefault="00B53CE1" w:rsidP="00E94D96">
      <w:pPr>
        <w:spacing w:after="0" w:line="240" w:lineRule="auto"/>
        <w:contextualSpacing/>
        <w:jc w:val="both"/>
        <w:rPr>
          <w:rFonts w:ascii="Verdana" w:hAnsi="Verdana" w:cs="Verdana"/>
          <w:bCs/>
          <w:sz w:val="20"/>
          <w:szCs w:val="20"/>
          <w:lang w:val="es-ES_tradnl" w:eastAsia="es-ES"/>
        </w:rPr>
      </w:pPr>
    </w:p>
    <w:p w:rsidR="00B53CE1" w:rsidRPr="00093F18" w:rsidRDefault="000530DE" w:rsidP="00587BF9">
      <w:pPr>
        <w:numPr>
          <w:ilvl w:val="0"/>
          <w:numId w:val="1"/>
        </w:numPr>
        <w:spacing w:after="0" w:line="240" w:lineRule="auto"/>
        <w:ind w:left="0" w:firstLine="0"/>
        <w:contextualSpacing/>
        <w:jc w:val="both"/>
        <w:rPr>
          <w:rFonts w:ascii="Verdana" w:hAnsi="Verdana" w:cs="Verdana"/>
          <w:bCs/>
          <w:sz w:val="20"/>
          <w:szCs w:val="20"/>
          <w:lang w:val="es-ES_tradnl" w:eastAsia="es-ES"/>
        </w:rPr>
      </w:pPr>
      <w:r w:rsidRPr="009B0105">
        <w:rPr>
          <w:rFonts w:ascii="Verdana" w:hAnsi="Verdana" w:cs="Verdana"/>
          <w:sz w:val="20"/>
          <w:szCs w:val="20"/>
          <w:lang w:eastAsia="es-MX"/>
        </w:rPr>
        <w:t xml:space="preserve">El escrito de 6 de octubre de 2016, mediante el cual los representantes informaron </w:t>
      </w:r>
      <w:r w:rsidR="00B53CE1" w:rsidRPr="009B0105">
        <w:rPr>
          <w:rFonts w:ascii="Verdana" w:hAnsi="Verdana" w:cs="Verdana"/>
          <w:sz w:val="20"/>
          <w:szCs w:val="20"/>
          <w:lang w:eastAsia="es-MX"/>
        </w:rPr>
        <w:t xml:space="preserve">que la señora </w:t>
      </w:r>
      <w:r w:rsidR="00597F88" w:rsidRPr="009B0105">
        <w:rPr>
          <w:rFonts w:ascii="Verdana" w:hAnsi="Verdana"/>
          <w:sz w:val="20"/>
          <w:szCs w:val="20"/>
        </w:rPr>
        <w:t>Gladys Lanza Ochoa</w:t>
      </w:r>
      <w:r w:rsidR="00597F88" w:rsidRPr="009B0105">
        <w:rPr>
          <w:rFonts w:ascii="Verdana" w:hAnsi="Verdana" w:cs="Verdana"/>
          <w:sz w:val="20"/>
          <w:szCs w:val="20"/>
          <w:lang w:eastAsia="es-MX"/>
        </w:rPr>
        <w:t xml:space="preserve"> </w:t>
      </w:r>
      <w:r w:rsidR="00B53CE1" w:rsidRPr="009B0105">
        <w:rPr>
          <w:rFonts w:ascii="Verdana" w:hAnsi="Verdana" w:cs="Verdana"/>
          <w:sz w:val="20"/>
          <w:szCs w:val="20"/>
          <w:lang w:eastAsia="es-MX"/>
        </w:rPr>
        <w:t xml:space="preserve">falleció </w:t>
      </w:r>
      <w:r w:rsidR="004E70AC" w:rsidRPr="009B0105">
        <w:rPr>
          <w:rFonts w:ascii="Verdana" w:hAnsi="Verdana" w:cs="Verdana"/>
          <w:sz w:val="20"/>
          <w:szCs w:val="20"/>
          <w:lang w:eastAsia="es-MX"/>
        </w:rPr>
        <w:t xml:space="preserve">por causas naturales </w:t>
      </w:r>
      <w:r w:rsidR="00B53CE1" w:rsidRPr="009B0105">
        <w:rPr>
          <w:rFonts w:ascii="Verdana" w:hAnsi="Verdana" w:cs="Verdana"/>
          <w:sz w:val="20"/>
          <w:szCs w:val="20"/>
          <w:lang w:eastAsia="es-MX"/>
        </w:rPr>
        <w:t>el 20 de septiembre de 2016, en Tegucigalpa, Honduras</w:t>
      </w:r>
      <w:r w:rsidR="005B2BC5" w:rsidRPr="009B0105">
        <w:rPr>
          <w:rFonts w:ascii="Verdana" w:hAnsi="Verdana" w:cs="Verdana"/>
          <w:sz w:val="20"/>
          <w:szCs w:val="20"/>
          <w:lang w:eastAsia="es-MX"/>
        </w:rPr>
        <w:t>.</w:t>
      </w:r>
    </w:p>
    <w:p w:rsidR="00093F18" w:rsidRPr="009B0105" w:rsidRDefault="00093F18" w:rsidP="00093F18">
      <w:pPr>
        <w:spacing w:after="0" w:line="240" w:lineRule="auto"/>
        <w:contextualSpacing/>
        <w:jc w:val="both"/>
        <w:rPr>
          <w:rFonts w:ascii="Verdana" w:hAnsi="Verdana" w:cs="Verdana"/>
          <w:bCs/>
          <w:sz w:val="20"/>
          <w:szCs w:val="20"/>
          <w:lang w:val="es-ES_tradnl" w:eastAsia="es-ES"/>
        </w:rPr>
      </w:pPr>
    </w:p>
    <w:p w:rsidR="00115625" w:rsidRPr="009B0105" w:rsidRDefault="003B0420" w:rsidP="00DE4B7A">
      <w:pPr>
        <w:pStyle w:val="Ttulo4"/>
        <w:spacing w:before="0" w:after="0"/>
        <w:contextualSpacing/>
        <w:rPr>
          <w:rFonts w:ascii="Verdana" w:eastAsia="Calibri" w:hAnsi="Verdana" w:cs="Verdana"/>
          <w:caps/>
          <w:sz w:val="20"/>
          <w:szCs w:val="20"/>
        </w:rPr>
      </w:pPr>
      <w:r w:rsidRPr="009B0105">
        <w:rPr>
          <w:rFonts w:ascii="Verdana" w:eastAsia="Calibri" w:hAnsi="Verdana" w:cs="Verdana"/>
          <w:caps/>
          <w:sz w:val="20"/>
          <w:szCs w:val="20"/>
        </w:rPr>
        <w:t>Considerando que:</w:t>
      </w:r>
    </w:p>
    <w:p w:rsidR="00115625" w:rsidRPr="009B0105" w:rsidRDefault="00115625" w:rsidP="00DE4B7A">
      <w:pPr>
        <w:spacing w:after="0" w:line="240" w:lineRule="auto"/>
        <w:rPr>
          <w:rFonts w:ascii="Verdana" w:hAnsi="Verdana"/>
          <w:sz w:val="20"/>
          <w:szCs w:val="20"/>
          <w:lang w:val="es-ES_tradnl" w:eastAsia="es-ES"/>
        </w:rPr>
      </w:pPr>
    </w:p>
    <w:p w:rsidR="003B0420" w:rsidRPr="009B0105" w:rsidRDefault="003B0420" w:rsidP="0013043B">
      <w:pPr>
        <w:numPr>
          <w:ilvl w:val="0"/>
          <w:numId w:val="6"/>
        </w:numPr>
        <w:spacing w:after="0" w:line="240" w:lineRule="auto"/>
        <w:ind w:left="0" w:firstLine="0"/>
        <w:contextualSpacing/>
        <w:jc w:val="both"/>
        <w:rPr>
          <w:rFonts w:ascii="Verdana" w:hAnsi="Verdana" w:cs="Verdana"/>
          <w:bCs/>
          <w:sz w:val="20"/>
          <w:szCs w:val="20"/>
        </w:rPr>
      </w:pPr>
      <w:r w:rsidRPr="009B0105">
        <w:rPr>
          <w:rFonts w:ascii="Verdana" w:hAnsi="Verdana" w:cs="Verdana"/>
          <w:sz w:val="20"/>
          <w:szCs w:val="20"/>
        </w:rPr>
        <w:t xml:space="preserve">Honduras ratificó la Convención Americana sobre Derechos Humanos </w:t>
      </w:r>
      <w:r w:rsidR="00121C7C" w:rsidRPr="009B0105">
        <w:rPr>
          <w:rFonts w:ascii="Verdana" w:hAnsi="Verdana" w:cs="Verdana"/>
          <w:sz w:val="20"/>
          <w:szCs w:val="20"/>
        </w:rPr>
        <w:t xml:space="preserve">(en adelante, </w:t>
      </w:r>
      <w:r w:rsidR="00514AB2" w:rsidRPr="009B0105">
        <w:rPr>
          <w:rFonts w:ascii="Verdana" w:hAnsi="Verdana" w:cs="Verdana"/>
          <w:sz w:val="20"/>
          <w:szCs w:val="20"/>
        </w:rPr>
        <w:t>“</w:t>
      </w:r>
      <w:r w:rsidR="00121C7C" w:rsidRPr="009B0105">
        <w:rPr>
          <w:rFonts w:ascii="Verdana" w:hAnsi="Verdana" w:cs="Verdana"/>
          <w:sz w:val="20"/>
          <w:szCs w:val="20"/>
        </w:rPr>
        <w:t>Convención Americana</w:t>
      </w:r>
      <w:r w:rsidR="00514AB2" w:rsidRPr="009B0105">
        <w:rPr>
          <w:rFonts w:ascii="Verdana" w:hAnsi="Verdana" w:cs="Verdana"/>
          <w:sz w:val="20"/>
          <w:szCs w:val="20"/>
        </w:rPr>
        <w:t>”</w:t>
      </w:r>
      <w:r w:rsidR="00121C7C" w:rsidRPr="009B0105">
        <w:rPr>
          <w:rFonts w:ascii="Verdana" w:hAnsi="Verdana" w:cs="Verdana"/>
          <w:sz w:val="20"/>
          <w:szCs w:val="20"/>
        </w:rPr>
        <w:t xml:space="preserve"> o </w:t>
      </w:r>
      <w:r w:rsidR="00514AB2" w:rsidRPr="009B0105">
        <w:rPr>
          <w:rFonts w:ascii="Verdana" w:hAnsi="Verdana" w:cs="Verdana"/>
          <w:sz w:val="20"/>
          <w:szCs w:val="20"/>
        </w:rPr>
        <w:t>“</w:t>
      </w:r>
      <w:r w:rsidR="00121C7C" w:rsidRPr="009B0105">
        <w:rPr>
          <w:rFonts w:ascii="Verdana" w:hAnsi="Verdana" w:cs="Verdana"/>
          <w:sz w:val="20"/>
          <w:szCs w:val="20"/>
        </w:rPr>
        <w:t>la Convención</w:t>
      </w:r>
      <w:r w:rsidR="00514AB2" w:rsidRPr="009B0105">
        <w:rPr>
          <w:rFonts w:ascii="Verdana" w:hAnsi="Verdana" w:cs="Verdana"/>
          <w:sz w:val="20"/>
          <w:szCs w:val="20"/>
        </w:rPr>
        <w:t>”</w:t>
      </w:r>
      <w:r w:rsidR="00121C7C" w:rsidRPr="009B0105">
        <w:rPr>
          <w:rFonts w:ascii="Verdana" w:hAnsi="Verdana" w:cs="Verdana"/>
          <w:sz w:val="20"/>
          <w:szCs w:val="20"/>
        </w:rPr>
        <w:t xml:space="preserve">) </w:t>
      </w:r>
      <w:r w:rsidRPr="009B0105">
        <w:rPr>
          <w:rFonts w:ascii="Verdana" w:hAnsi="Verdana" w:cs="Verdana"/>
          <w:sz w:val="20"/>
          <w:szCs w:val="20"/>
        </w:rPr>
        <w:t xml:space="preserve">el 8 de septiembre de 1977 y, de acuerdo con el artículo 62 de la misma, reconoció la competencia contenciosa de la Corte el 9 de septiembre de 1981. </w:t>
      </w:r>
    </w:p>
    <w:p w:rsidR="003B0420" w:rsidRPr="009B0105" w:rsidRDefault="003B0420" w:rsidP="00071B15">
      <w:pPr>
        <w:spacing w:after="0" w:line="240" w:lineRule="auto"/>
        <w:contextualSpacing/>
        <w:jc w:val="both"/>
        <w:rPr>
          <w:rFonts w:ascii="Verdana" w:hAnsi="Verdana" w:cs="Verdana"/>
          <w:bCs/>
          <w:sz w:val="20"/>
          <w:szCs w:val="20"/>
        </w:rPr>
      </w:pPr>
    </w:p>
    <w:p w:rsidR="00AE1026" w:rsidRPr="00DE4B7A" w:rsidRDefault="003B0420" w:rsidP="007D3AAE">
      <w:pPr>
        <w:numPr>
          <w:ilvl w:val="0"/>
          <w:numId w:val="6"/>
        </w:numPr>
        <w:spacing w:after="0" w:line="240" w:lineRule="auto"/>
        <w:ind w:left="0" w:firstLine="0"/>
        <w:contextualSpacing/>
        <w:jc w:val="both"/>
        <w:rPr>
          <w:rFonts w:ascii="Verdana" w:hAnsi="Verdana" w:cs="Verdana"/>
          <w:bCs/>
          <w:sz w:val="20"/>
          <w:szCs w:val="20"/>
          <w:lang w:val="es-ES_tradnl"/>
        </w:rPr>
      </w:pPr>
      <w:r w:rsidRPr="009B0105">
        <w:rPr>
          <w:rFonts w:ascii="Verdana" w:hAnsi="Verdana"/>
          <w:sz w:val="20"/>
          <w:szCs w:val="20"/>
        </w:rPr>
        <w:t>El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r w:rsidR="00CA2045" w:rsidRPr="00DE4B7A">
        <w:rPr>
          <w:rStyle w:val="Refdenotaalpie"/>
          <w:rFonts w:ascii="Verdana" w:hAnsi="Verdana" w:cs="Verdana"/>
          <w:sz w:val="20"/>
          <w:szCs w:val="20"/>
          <w:lang w:val="es-ES"/>
        </w:rPr>
        <w:footnoteReference w:id="1"/>
      </w:r>
      <w:r w:rsidRPr="00DE4B7A">
        <w:rPr>
          <w:rFonts w:ascii="Verdana" w:hAnsi="Verdana" w:cs="Verdana"/>
          <w:sz w:val="20"/>
          <w:szCs w:val="20"/>
          <w:lang w:val="es-ES"/>
        </w:rPr>
        <w:t>.</w:t>
      </w:r>
    </w:p>
    <w:p w:rsidR="00E434B4" w:rsidRPr="0013043B" w:rsidRDefault="00E434B4" w:rsidP="00E94D96">
      <w:pPr>
        <w:spacing w:after="0" w:line="240" w:lineRule="auto"/>
        <w:contextualSpacing/>
        <w:jc w:val="both"/>
        <w:rPr>
          <w:rFonts w:ascii="Verdana" w:hAnsi="Verdana" w:cs="Verdana"/>
          <w:bCs/>
          <w:sz w:val="20"/>
          <w:szCs w:val="20"/>
          <w:lang w:val="es-ES_tradnl"/>
        </w:rPr>
      </w:pPr>
    </w:p>
    <w:p w:rsidR="00E111A7" w:rsidRPr="00DE4B7A" w:rsidRDefault="00AE1026" w:rsidP="00587BF9">
      <w:pPr>
        <w:numPr>
          <w:ilvl w:val="0"/>
          <w:numId w:val="6"/>
        </w:numPr>
        <w:spacing w:after="0" w:line="240" w:lineRule="auto"/>
        <w:ind w:left="0" w:firstLine="0"/>
        <w:contextualSpacing/>
        <w:jc w:val="both"/>
        <w:rPr>
          <w:rFonts w:ascii="Verdana" w:hAnsi="Verdana" w:cs="Verdana"/>
          <w:bCs/>
          <w:sz w:val="20"/>
          <w:szCs w:val="20"/>
          <w:lang w:val="es-ES_tradnl"/>
        </w:rPr>
      </w:pPr>
      <w:r w:rsidRPr="00071B15">
        <w:rPr>
          <w:rFonts w:ascii="Verdana" w:hAnsi="Verdana"/>
          <w:sz w:val="20"/>
          <w:szCs w:val="20"/>
        </w:rPr>
        <w:t>Este Tribunal ha señalado que las medidas provisionales tienen un carácter excepcional, y están referidas a una situación específica temporal y, por su propia naturaleza, no pueden perpetuarse indefinidamente</w:t>
      </w:r>
      <w:r w:rsidRPr="00DE4B7A">
        <w:rPr>
          <w:rStyle w:val="Refdenotaalpie"/>
          <w:rFonts w:ascii="Verdana" w:hAnsi="Verdana"/>
          <w:sz w:val="20"/>
          <w:szCs w:val="20"/>
        </w:rPr>
        <w:footnoteReference w:id="2"/>
      </w:r>
      <w:r w:rsidRPr="00DE4B7A">
        <w:rPr>
          <w:rFonts w:ascii="Verdana" w:hAnsi="Verdana"/>
          <w:sz w:val="20"/>
          <w:szCs w:val="20"/>
        </w:rPr>
        <w:t>. En razón de su competencia, en el marco de medidas provisionales la Corte debe considerar únicamente aquellos argumentos que se relacionen estricta</w:t>
      </w:r>
      <w:r w:rsidR="00DE0135" w:rsidRPr="0013043B">
        <w:rPr>
          <w:rFonts w:ascii="Verdana" w:hAnsi="Verdana"/>
          <w:sz w:val="20"/>
          <w:szCs w:val="20"/>
        </w:rPr>
        <w:t xml:space="preserve"> </w:t>
      </w:r>
      <w:r w:rsidRPr="0013043B">
        <w:rPr>
          <w:rFonts w:ascii="Verdana" w:hAnsi="Verdana"/>
          <w:sz w:val="20"/>
          <w:szCs w:val="20"/>
        </w:rPr>
        <w:t>y directamente con la extrema gravedad, urgencia y necesidad de evitar daños irreparables a las personas. Es así que, a efectos d</w:t>
      </w:r>
      <w:r w:rsidRPr="00071B15">
        <w:rPr>
          <w:rFonts w:ascii="Verdana" w:hAnsi="Verdana"/>
          <w:sz w:val="20"/>
          <w:szCs w:val="20"/>
        </w:rPr>
        <w:t>e decidir si se mantiene la vigencia de las medidas provisionales, el Tribunal debe analizar si persiste</w:t>
      </w:r>
      <w:r w:rsidR="00DE0135" w:rsidRPr="007D3AAE">
        <w:rPr>
          <w:rFonts w:ascii="Verdana" w:hAnsi="Verdana"/>
          <w:sz w:val="20"/>
          <w:szCs w:val="20"/>
        </w:rPr>
        <w:t>n</w:t>
      </w:r>
      <w:r w:rsidRPr="007D3AAE">
        <w:rPr>
          <w:rFonts w:ascii="Verdana" w:hAnsi="Verdana"/>
          <w:sz w:val="20"/>
          <w:szCs w:val="20"/>
        </w:rPr>
        <w:t xml:space="preserve"> </w:t>
      </w:r>
      <w:r w:rsidR="00DE0135" w:rsidRPr="007D3AAE">
        <w:rPr>
          <w:rFonts w:ascii="Verdana" w:hAnsi="Verdana"/>
          <w:sz w:val="20"/>
          <w:szCs w:val="20"/>
        </w:rPr>
        <w:t>dichos requisitos que determinaron</w:t>
      </w:r>
      <w:r w:rsidRPr="00E94D96">
        <w:rPr>
          <w:rFonts w:ascii="Verdana" w:hAnsi="Verdana"/>
          <w:sz w:val="20"/>
          <w:szCs w:val="20"/>
        </w:rPr>
        <w:t xml:space="preserve"> su adopción, o bien si nuevas circunstancias igualmente graves y urgentes ameritan su mantenimiento</w:t>
      </w:r>
      <w:r w:rsidRPr="00DE4B7A">
        <w:rPr>
          <w:rStyle w:val="Refdenotaalpie"/>
          <w:rFonts w:ascii="Verdana" w:hAnsi="Verdana"/>
          <w:sz w:val="20"/>
          <w:szCs w:val="20"/>
        </w:rPr>
        <w:footnoteReference w:id="3"/>
      </w:r>
      <w:r w:rsidRPr="00DE4B7A">
        <w:rPr>
          <w:rFonts w:ascii="Verdana" w:hAnsi="Verdana"/>
          <w:sz w:val="20"/>
          <w:szCs w:val="20"/>
        </w:rPr>
        <w:t>.</w:t>
      </w:r>
    </w:p>
    <w:p w:rsidR="00AD42CB" w:rsidRPr="0013043B" w:rsidRDefault="00AD42CB" w:rsidP="009B0105">
      <w:pPr>
        <w:spacing w:after="0" w:line="240" w:lineRule="auto"/>
        <w:contextualSpacing/>
        <w:jc w:val="both"/>
        <w:rPr>
          <w:rFonts w:ascii="Verdana" w:hAnsi="Verdana" w:cs="Verdana"/>
          <w:bCs/>
          <w:color w:val="000000"/>
          <w:sz w:val="20"/>
          <w:szCs w:val="20"/>
          <w:lang w:val="es-ES_tradnl"/>
        </w:rPr>
      </w:pPr>
    </w:p>
    <w:p w:rsidR="00AD42CB" w:rsidRPr="00071B15" w:rsidRDefault="00380E77" w:rsidP="009B0105">
      <w:pPr>
        <w:numPr>
          <w:ilvl w:val="0"/>
          <w:numId w:val="6"/>
        </w:numPr>
        <w:spacing w:after="0" w:line="240" w:lineRule="auto"/>
        <w:ind w:left="0" w:firstLine="0"/>
        <w:contextualSpacing/>
        <w:jc w:val="both"/>
        <w:rPr>
          <w:rFonts w:ascii="Verdana" w:hAnsi="Verdana" w:cs="Verdana"/>
          <w:bCs/>
          <w:color w:val="000000"/>
          <w:sz w:val="20"/>
          <w:szCs w:val="20"/>
          <w:lang w:val="es-ES_tradnl"/>
        </w:rPr>
      </w:pPr>
      <w:r w:rsidRPr="00071B15">
        <w:rPr>
          <w:rFonts w:ascii="Verdana" w:hAnsi="Verdana" w:cs="Verdana"/>
          <w:bCs/>
          <w:color w:val="000000"/>
          <w:sz w:val="20"/>
          <w:szCs w:val="20"/>
          <w:lang w:val="es-ES_tradnl"/>
        </w:rPr>
        <w:t xml:space="preserve">La Corte </w:t>
      </w:r>
      <w:r w:rsidR="007172FB" w:rsidRPr="00071B15">
        <w:rPr>
          <w:rFonts w:ascii="Verdana" w:hAnsi="Verdana" w:cs="Verdana"/>
          <w:bCs/>
          <w:color w:val="000000"/>
          <w:sz w:val="20"/>
          <w:szCs w:val="20"/>
          <w:lang w:val="es-ES_tradnl"/>
        </w:rPr>
        <w:t xml:space="preserve">recuerda que </w:t>
      </w:r>
      <w:r w:rsidR="00D30269" w:rsidRPr="00071B15">
        <w:rPr>
          <w:rFonts w:ascii="Verdana" w:hAnsi="Verdana" w:cs="Verdana"/>
          <w:bCs/>
          <w:color w:val="000000"/>
          <w:sz w:val="20"/>
          <w:szCs w:val="20"/>
          <w:lang w:val="es-ES_tradnl"/>
        </w:rPr>
        <w:t xml:space="preserve">las </w:t>
      </w:r>
      <w:r w:rsidRPr="00071B15">
        <w:rPr>
          <w:rFonts w:ascii="Verdana" w:hAnsi="Verdana" w:cs="Verdana"/>
          <w:bCs/>
          <w:color w:val="000000"/>
          <w:sz w:val="20"/>
          <w:szCs w:val="20"/>
          <w:lang w:val="es-ES_tradnl"/>
        </w:rPr>
        <w:t xml:space="preserve">presentes medidas </w:t>
      </w:r>
      <w:r w:rsidR="00F6424F" w:rsidRPr="00071B15">
        <w:rPr>
          <w:rFonts w:ascii="Verdana" w:hAnsi="Verdana" w:cs="Verdana"/>
          <w:bCs/>
          <w:color w:val="000000"/>
          <w:sz w:val="20"/>
          <w:szCs w:val="20"/>
          <w:lang w:val="es-ES_tradnl"/>
        </w:rPr>
        <w:t xml:space="preserve">fueron adoptadas </w:t>
      </w:r>
      <w:r w:rsidRPr="00071B15">
        <w:rPr>
          <w:rFonts w:ascii="Verdana" w:hAnsi="Verdana" w:cs="Verdana"/>
          <w:color w:val="000000"/>
          <w:sz w:val="20"/>
          <w:szCs w:val="20"/>
        </w:rPr>
        <w:t xml:space="preserve">el 2 de septiembre de 2010, </w:t>
      </w:r>
      <w:r w:rsidR="00AF11E0" w:rsidRPr="007D3AAE">
        <w:rPr>
          <w:rFonts w:ascii="Verdana" w:hAnsi="Verdana"/>
          <w:color w:val="000000"/>
          <w:sz w:val="20"/>
          <w:szCs w:val="20"/>
        </w:rPr>
        <w:t xml:space="preserve">con el fin de </w:t>
      </w:r>
      <w:r w:rsidR="00DC7C7C" w:rsidRPr="007D3AAE">
        <w:rPr>
          <w:rFonts w:ascii="Verdana" w:hAnsi="Verdana"/>
          <w:color w:val="000000"/>
          <w:sz w:val="20"/>
          <w:szCs w:val="20"/>
        </w:rPr>
        <w:t xml:space="preserve">impedir la materialización de </w:t>
      </w:r>
      <w:r w:rsidR="00AF11E0" w:rsidRPr="007D3AAE">
        <w:rPr>
          <w:rFonts w:ascii="Verdana" w:hAnsi="Verdana"/>
          <w:color w:val="000000"/>
          <w:sz w:val="20"/>
          <w:szCs w:val="20"/>
        </w:rPr>
        <w:t xml:space="preserve">las </w:t>
      </w:r>
      <w:r w:rsidR="00DC7C7C" w:rsidRPr="007D3AAE">
        <w:rPr>
          <w:rFonts w:ascii="Verdana" w:hAnsi="Verdana"/>
          <w:color w:val="000000"/>
          <w:sz w:val="20"/>
          <w:szCs w:val="20"/>
        </w:rPr>
        <w:t xml:space="preserve">supuestas </w:t>
      </w:r>
      <w:r w:rsidR="00AF11E0" w:rsidRPr="007D3AAE">
        <w:rPr>
          <w:rFonts w:ascii="Verdana" w:hAnsi="Verdana"/>
          <w:color w:val="000000"/>
          <w:sz w:val="20"/>
          <w:szCs w:val="20"/>
        </w:rPr>
        <w:t xml:space="preserve">amenazas </w:t>
      </w:r>
      <w:r w:rsidR="00DC7C7C" w:rsidRPr="007D3AAE">
        <w:rPr>
          <w:rFonts w:ascii="Verdana" w:hAnsi="Verdana"/>
          <w:color w:val="000000"/>
          <w:sz w:val="20"/>
          <w:szCs w:val="20"/>
        </w:rPr>
        <w:t xml:space="preserve">en contra de la señora </w:t>
      </w:r>
      <w:r w:rsidR="00370BAB" w:rsidRPr="00E94D96">
        <w:rPr>
          <w:rFonts w:ascii="Verdana" w:hAnsi="Verdana"/>
          <w:sz w:val="20"/>
          <w:szCs w:val="20"/>
        </w:rPr>
        <w:t>Gladys</w:t>
      </w:r>
      <w:r w:rsidR="00370BAB" w:rsidRPr="00E94D96">
        <w:rPr>
          <w:rFonts w:ascii="Verdana" w:hAnsi="Verdana"/>
          <w:color w:val="000000"/>
          <w:sz w:val="20"/>
          <w:szCs w:val="20"/>
        </w:rPr>
        <w:t xml:space="preserve"> </w:t>
      </w:r>
      <w:r w:rsidR="00DC7C7C" w:rsidRPr="00E94D96">
        <w:rPr>
          <w:rFonts w:ascii="Verdana" w:hAnsi="Verdana"/>
          <w:color w:val="000000"/>
          <w:sz w:val="20"/>
          <w:szCs w:val="20"/>
        </w:rPr>
        <w:t>Lanza Ochoa</w:t>
      </w:r>
      <w:r w:rsidR="00AF11E0" w:rsidRPr="00E94D96">
        <w:rPr>
          <w:rFonts w:ascii="Verdana" w:hAnsi="Verdana" w:cs="Arial"/>
          <w:color w:val="000000"/>
          <w:sz w:val="20"/>
          <w:szCs w:val="20"/>
          <w:lang w:val="es-EC"/>
        </w:rPr>
        <w:t xml:space="preserve"> qu</w:t>
      </w:r>
      <w:r w:rsidR="00DC7C7C" w:rsidRPr="00E94D96">
        <w:rPr>
          <w:rFonts w:ascii="Verdana" w:hAnsi="Verdana" w:cs="Arial"/>
          <w:color w:val="000000"/>
          <w:sz w:val="20"/>
          <w:szCs w:val="20"/>
          <w:lang w:val="es-EC"/>
        </w:rPr>
        <w:t>e “se originaron</w:t>
      </w:r>
      <w:r w:rsidR="00AF11E0" w:rsidRPr="00587BF9">
        <w:rPr>
          <w:rFonts w:ascii="Verdana" w:hAnsi="Verdana" w:cs="Arial"/>
          <w:color w:val="000000"/>
          <w:sz w:val="20"/>
          <w:szCs w:val="20"/>
          <w:lang w:val="es-EC"/>
        </w:rPr>
        <w:t xml:space="preserve"> presumiblemente como retaliación por su trabajo de </w:t>
      </w:r>
      <w:r w:rsidR="00AF11E0" w:rsidRPr="009B0105">
        <w:rPr>
          <w:rFonts w:ascii="Verdana" w:hAnsi="Verdana" w:cs="Arial"/>
          <w:color w:val="000000"/>
          <w:sz w:val="20"/>
          <w:szCs w:val="20"/>
          <w:lang w:val="es-EC"/>
        </w:rPr>
        <w:t xml:space="preserve">promoción y protección de derechos humanos como Coordinadora del </w:t>
      </w:r>
      <w:r w:rsidR="0097187B" w:rsidRPr="009B0105">
        <w:rPr>
          <w:rFonts w:ascii="Verdana" w:hAnsi="Verdana"/>
          <w:sz w:val="20"/>
          <w:szCs w:val="20"/>
          <w:lang w:val="es-ES_tradnl"/>
        </w:rPr>
        <w:t>‘</w:t>
      </w:r>
      <w:r w:rsidR="00AF11E0" w:rsidRPr="009B0105">
        <w:rPr>
          <w:rFonts w:ascii="Verdana" w:hAnsi="Verdana"/>
          <w:color w:val="000000"/>
          <w:sz w:val="20"/>
          <w:szCs w:val="20"/>
        </w:rPr>
        <w:t>Comité por la Paz Visitación Padilla</w:t>
      </w:r>
      <w:r w:rsidR="0097187B" w:rsidRPr="009B0105">
        <w:rPr>
          <w:rFonts w:ascii="Verdana" w:hAnsi="Verdana"/>
          <w:sz w:val="20"/>
          <w:szCs w:val="20"/>
          <w:lang w:val="es-ES_tradnl"/>
        </w:rPr>
        <w:t>’</w:t>
      </w:r>
      <w:r w:rsidR="00AF11E0" w:rsidRPr="009B0105">
        <w:rPr>
          <w:rFonts w:ascii="Verdana" w:hAnsi="Verdana"/>
          <w:color w:val="000000"/>
          <w:sz w:val="20"/>
          <w:szCs w:val="20"/>
        </w:rPr>
        <w:t>”</w:t>
      </w:r>
      <w:r w:rsidR="00FC3FA8" w:rsidRPr="00DE4B7A">
        <w:rPr>
          <w:rStyle w:val="Refdenotaalpie"/>
          <w:rFonts w:ascii="Verdana" w:hAnsi="Verdana" w:cs="Verdana"/>
          <w:color w:val="000000"/>
          <w:sz w:val="20"/>
          <w:szCs w:val="20"/>
        </w:rPr>
        <w:footnoteReference w:id="4"/>
      </w:r>
      <w:r w:rsidRPr="00DE4B7A">
        <w:rPr>
          <w:rFonts w:ascii="Verdana" w:hAnsi="Verdana" w:cs="Verdana"/>
          <w:color w:val="000000"/>
          <w:sz w:val="20"/>
          <w:szCs w:val="20"/>
        </w:rPr>
        <w:t xml:space="preserve">. </w:t>
      </w:r>
      <w:r w:rsidR="00AD42CB" w:rsidRPr="00DE4B7A">
        <w:rPr>
          <w:rFonts w:ascii="Verdana" w:hAnsi="Verdana" w:cs="Verdana"/>
          <w:bCs/>
          <w:color w:val="000000"/>
          <w:sz w:val="20"/>
          <w:szCs w:val="20"/>
          <w:lang w:val="es-ES_tradnl"/>
        </w:rPr>
        <w:t xml:space="preserve">En vista de la información remitida por las partes, a continuación, la Corte se pronunciará </w:t>
      </w:r>
      <w:r w:rsidR="00AA29DA" w:rsidRPr="0013043B">
        <w:rPr>
          <w:rFonts w:ascii="Verdana" w:hAnsi="Verdana" w:cs="Verdana"/>
          <w:bCs/>
          <w:color w:val="000000"/>
          <w:sz w:val="20"/>
          <w:szCs w:val="20"/>
          <w:lang w:val="es-ES_tradnl"/>
        </w:rPr>
        <w:t xml:space="preserve">sobre </w:t>
      </w:r>
      <w:r w:rsidR="00AD42CB" w:rsidRPr="0013043B">
        <w:rPr>
          <w:rFonts w:ascii="Verdana" w:hAnsi="Verdana" w:cs="Verdana"/>
          <w:bCs/>
          <w:color w:val="000000"/>
          <w:sz w:val="20"/>
          <w:szCs w:val="20"/>
          <w:lang w:val="es-ES_tradnl"/>
        </w:rPr>
        <w:t xml:space="preserve">el </w:t>
      </w:r>
      <w:r w:rsidR="00AD42CB" w:rsidRPr="0013043B">
        <w:rPr>
          <w:rFonts w:ascii="Verdana" w:hAnsi="Verdana"/>
          <w:color w:val="000000"/>
          <w:sz w:val="20"/>
          <w:szCs w:val="20"/>
        </w:rPr>
        <w:t xml:space="preserve">fallecimiento de </w:t>
      </w:r>
      <w:r w:rsidR="00AD42CB" w:rsidRPr="0013043B">
        <w:rPr>
          <w:rFonts w:ascii="Verdana" w:hAnsi="Verdana" w:cs="Verdana"/>
          <w:color w:val="000000"/>
          <w:sz w:val="20"/>
          <w:szCs w:val="20"/>
          <w:lang w:eastAsia="es-MX"/>
        </w:rPr>
        <w:t xml:space="preserve">la señora </w:t>
      </w:r>
      <w:r w:rsidR="00AD42CB" w:rsidRPr="0013043B">
        <w:rPr>
          <w:rFonts w:ascii="Verdana" w:hAnsi="Verdana"/>
          <w:color w:val="000000"/>
          <w:sz w:val="20"/>
          <w:szCs w:val="20"/>
        </w:rPr>
        <w:t>Gladys Lanza Ochoa</w:t>
      </w:r>
      <w:r w:rsidR="00AA29DA" w:rsidRPr="00071B15">
        <w:rPr>
          <w:rFonts w:ascii="Verdana" w:hAnsi="Verdana"/>
          <w:color w:val="000000"/>
          <w:sz w:val="20"/>
          <w:szCs w:val="20"/>
        </w:rPr>
        <w:t xml:space="preserve"> y </w:t>
      </w:r>
      <w:r w:rsidR="00F6424F" w:rsidRPr="00071B15">
        <w:rPr>
          <w:rFonts w:ascii="Verdana" w:hAnsi="Verdana"/>
          <w:color w:val="000000"/>
          <w:sz w:val="20"/>
          <w:szCs w:val="20"/>
        </w:rPr>
        <w:t xml:space="preserve">otras </w:t>
      </w:r>
      <w:r w:rsidR="00AA29DA" w:rsidRPr="00071B15">
        <w:rPr>
          <w:rFonts w:ascii="Verdana" w:hAnsi="Verdana"/>
          <w:color w:val="000000"/>
          <w:sz w:val="20"/>
          <w:szCs w:val="20"/>
        </w:rPr>
        <w:t>solicitudes</w:t>
      </w:r>
      <w:r w:rsidR="007172FB" w:rsidRPr="00071B15">
        <w:rPr>
          <w:rFonts w:ascii="Verdana" w:hAnsi="Verdana"/>
          <w:color w:val="000000"/>
          <w:sz w:val="20"/>
          <w:szCs w:val="20"/>
        </w:rPr>
        <w:t xml:space="preserve"> de los representantes</w:t>
      </w:r>
      <w:r w:rsidR="00AA29DA" w:rsidRPr="00071B15">
        <w:rPr>
          <w:rFonts w:ascii="Verdana" w:hAnsi="Verdana"/>
          <w:color w:val="000000"/>
          <w:sz w:val="20"/>
          <w:szCs w:val="20"/>
        </w:rPr>
        <w:t>.</w:t>
      </w:r>
    </w:p>
    <w:p w:rsidR="00FC6BF9" w:rsidRPr="007D3AAE" w:rsidRDefault="00FC6BF9" w:rsidP="009B0105">
      <w:pPr>
        <w:spacing w:after="0" w:line="240" w:lineRule="auto"/>
        <w:contextualSpacing/>
        <w:jc w:val="both"/>
        <w:rPr>
          <w:rFonts w:ascii="Verdana" w:hAnsi="Verdana" w:cs="Verdana"/>
          <w:bCs/>
          <w:color w:val="000000"/>
          <w:sz w:val="20"/>
          <w:szCs w:val="20"/>
        </w:rPr>
      </w:pPr>
    </w:p>
    <w:p w:rsidR="004E70AC" w:rsidRPr="009B0105" w:rsidRDefault="007165A3" w:rsidP="009B0105">
      <w:pPr>
        <w:numPr>
          <w:ilvl w:val="0"/>
          <w:numId w:val="6"/>
        </w:numPr>
        <w:spacing w:after="0" w:line="240" w:lineRule="auto"/>
        <w:ind w:left="0" w:firstLine="0"/>
        <w:contextualSpacing/>
        <w:jc w:val="both"/>
        <w:rPr>
          <w:rFonts w:ascii="Verdana" w:hAnsi="Verdana" w:cs="Verdana"/>
          <w:bCs/>
          <w:color w:val="000000"/>
          <w:sz w:val="20"/>
          <w:szCs w:val="20"/>
          <w:lang w:val="es-ES_tradnl"/>
        </w:rPr>
      </w:pPr>
      <w:r w:rsidRPr="00E94D96">
        <w:rPr>
          <w:rFonts w:ascii="Verdana" w:hAnsi="Verdana" w:cs="Verdana"/>
          <w:bCs/>
          <w:i/>
          <w:color w:val="000000"/>
          <w:sz w:val="20"/>
          <w:szCs w:val="20"/>
          <w:lang w:val="es-ES_tradnl"/>
        </w:rPr>
        <w:t xml:space="preserve">Los </w:t>
      </w:r>
      <w:r w:rsidRPr="00E94D96">
        <w:rPr>
          <w:rFonts w:ascii="Verdana" w:hAnsi="Verdana" w:cs="Verdana"/>
          <w:b/>
          <w:bCs/>
          <w:i/>
          <w:color w:val="000000"/>
          <w:sz w:val="20"/>
          <w:szCs w:val="20"/>
          <w:lang w:val="es-ES_tradnl"/>
        </w:rPr>
        <w:t>representantes</w:t>
      </w:r>
      <w:r w:rsidR="000C3776" w:rsidRPr="00E94D96">
        <w:rPr>
          <w:rFonts w:ascii="Verdana" w:hAnsi="Verdana" w:cs="Verdana"/>
          <w:bCs/>
          <w:color w:val="000000"/>
          <w:sz w:val="20"/>
          <w:szCs w:val="20"/>
          <w:lang w:val="es-ES_tradnl"/>
        </w:rPr>
        <w:t xml:space="preserve"> informaron </w:t>
      </w:r>
      <w:r w:rsidR="004E70AC" w:rsidRPr="00E94D96">
        <w:rPr>
          <w:rFonts w:ascii="Verdana" w:hAnsi="Verdana" w:cs="Verdana"/>
          <w:bCs/>
          <w:color w:val="000000"/>
          <w:sz w:val="20"/>
          <w:szCs w:val="20"/>
          <w:lang w:val="es-ES_tradnl"/>
        </w:rPr>
        <w:t xml:space="preserve">a </w:t>
      </w:r>
      <w:r w:rsidR="004916A8" w:rsidRPr="00E94D96">
        <w:rPr>
          <w:rFonts w:ascii="Verdana" w:hAnsi="Verdana" w:cs="Verdana"/>
          <w:bCs/>
          <w:color w:val="000000"/>
          <w:sz w:val="20"/>
          <w:szCs w:val="20"/>
          <w:lang w:val="es-ES_tradnl"/>
        </w:rPr>
        <w:t xml:space="preserve">la Corte sobre el fallecimiento </w:t>
      </w:r>
      <w:r w:rsidR="000530DE" w:rsidRPr="00587BF9">
        <w:rPr>
          <w:rFonts w:ascii="Verdana" w:hAnsi="Verdana" w:cs="Verdana"/>
          <w:bCs/>
          <w:color w:val="000000"/>
          <w:sz w:val="20"/>
          <w:szCs w:val="20"/>
          <w:lang w:val="es-ES_tradnl"/>
        </w:rPr>
        <w:t xml:space="preserve">de la defensora Gladys Lanza Ochoa </w:t>
      </w:r>
      <w:r w:rsidR="004916A8" w:rsidRPr="009B0105">
        <w:rPr>
          <w:rFonts w:ascii="Verdana" w:hAnsi="Verdana" w:cs="Verdana"/>
          <w:bCs/>
          <w:color w:val="000000"/>
          <w:sz w:val="20"/>
          <w:szCs w:val="20"/>
          <w:lang w:val="es-ES_tradnl"/>
        </w:rPr>
        <w:t xml:space="preserve">el 20 de septiembre de 2016, quien a sus 74 años de edad, fue </w:t>
      </w:r>
      <w:r w:rsidR="004916A8" w:rsidRPr="009B0105">
        <w:rPr>
          <w:rFonts w:ascii="Verdana" w:hAnsi="Verdana" w:cs="Verdana"/>
          <w:bCs/>
          <w:color w:val="000000"/>
          <w:sz w:val="20"/>
          <w:szCs w:val="20"/>
          <w:lang w:val="es-ES_tradnl"/>
        </w:rPr>
        <w:lastRenderedPageBreak/>
        <w:t xml:space="preserve">diagnosticada de una enfermedad </w:t>
      </w:r>
      <w:r w:rsidR="004916A8" w:rsidRPr="009B0105">
        <w:rPr>
          <w:rFonts w:ascii="Verdana" w:hAnsi="Verdana" w:cs="Verdana"/>
          <w:color w:val="000000"/>
          <w:sz w:val="20"/>
          <w:szCs w:val="20"/>
          <w:lang w:eastAsia="es-MX"/>
        </w:rPr>
        <w:t>y hospitalizada por 10 semanas</w:t>
      </w:r>
      <w:r w:rsidR="003465B3" w:rsidRPr="009B0105">
        <w:rPr>
          <w:rFonts w:ascii="Verdana" w:hAnsi="Verdana" w:cs="Verdana"/>
          <w:color w:val="000000"/>
          <w:sz w:val="20"/>
          <w:szCs w:val="20"/>
          <w:lang w:eastAsia="es-MX"/>
        </w:rPr>
        <w:t xml:space="preserve"> en el Hospital y Centro de Diagnóstico Dime</w:t>
      </w:r>
      <w:r w:rsidR="004916A8" w:rsidRPr="009B0105">
        <w:rPr>
          <w:rFonts w:ascii="Verdana" w:hAnsi="Verdana" w:cs="Verdana"/>
          <w:bCs/>
          <w:color w:val="000000"/>
          <w:sz w:val="20"/>
          <w:szCs w:val="20"/>
          <w:lang w:val="es-ES_tradnl"/>
        </w:rPr>
        <w:t xml:space="preserve">. </w:t>
      </w:r>
      <w:r w:rsidR="004E70AC" w:rsidRPr="009B0105">
        <w:rPr>
          <w:rFonts w:ascii="Verdana" w:hAnsi="Verdana" w:cs="Helvetica"/>
          <w:color w:val="000000"/>
          <w:sz w:val="20"/>
          <w:szCs w:val="20"/>
        </w:rPr>
        <w:t xml:space="preserve">Al respecto, en su escrito de </w:t>
      </w:r>
      <w:r w:rsidR="004E70AC" w:rsidRPr="009B0105">
        <w:rPr>
          <w:rFonts w:ascii="Verdana" w:hAnsi="Verdana" w:cs="Verdana"/>
          <w:color w:val="000000"/>
          <w:sz w:val="20"/>
          <w:szCs w:val="20"/>
        </w:rPr>
        <w:t xml:space="preserve">6 de </w:t>
      </w:r>
      <w:r w:rsidR="00762C2E" w:rsidRPr="009B0105">
        <w:rPr>
          <w:rFonts w:ascii="Verdana" w:hAnsi="Verdana" w:cs="Verdana"/>
          <w:color w:val="000000"/>
          <w:sz w:val="20"/>
          <w:szCs w:val="20"/>
        </w:rPr>
        <w:t xml:space="preserve">octubre </w:t>
      </w:r>
      <w:r w:rsidR="004E70AC" w:rsidRPr="009B0105">
        <w:rPr>
          <w:rFonts w:ascii="Verdana" w:hAnsi="Verdana" w:cs="Verdana"/>
          <w:color w:val="000000"/>
          <w:sz w:val="20"/>
          <w:szCs w:val="20"/>
        </w:rPr>
        <w:t>de 2016</w:t>
      </w:r>
      <w:r w:rsidR="004E70AC" w:rsidRPr="009B0105">
        <w:rPr>
          <w:rFonts w:ascii="Verdana" w:hAnsi="Verdana" w:cs="Helvetica"/>
          <w:color w:val="000000"/>
          <w:sz w:val="20"/>
          <w:szCs w:val="20"/>
        </w:rPr>
        <w:t xml:space="preserve">, los representantes señalaron que, pese al fallecimiento de la señora </w:t>
      </w:r>
      <w:r w:rsidR="004E70AC" w:rsidRPr="009B0105">
        <w:rPr>
          <w:rFonts w:ascii="Verdana" w:hAnsi="Verdana"/>
          <w:color w:val="000000"/>
          <w:sz w:val="20"/>
          <w:szCs w:val="20"/>
        </w:rPr>
        <w:t>Gladys Lanza Ochoa</w:t>
      </w:r>
      <w:r w:rsidR="004E70AC" w:rsidRPr="009B0105">
        <w:rPr>
          <w:rFonts w:ascii="Verdana" w:hAnsi="Verdana" w:cs="Helvetica"/>
          <w:color w:val="000000"/>
          <w:sz w:val="20"/>
          <w:szCs w:val="20"/>
        </w:rPr>
        <w:t xml:space="preserve">, </w:t>
      </w:r>
      <w:r w:rsidR="000530DE" w:rsidRPr="009B0105">
        <w:rPr>
          <w:rFonts w:ascii="Verdana" w:hAnsi="Verdana" w:cs="Helvetica"/>
          <w:color w:val="000000"/>
          <w:sz w:val="20"/>
          <w:szCs w:val="20"/>
        </w:rPr>
        <w:t>solicitaban</w:t>
      </w:r>
      <w:r w:rsidR="004E70AC" w:rsidRPr="009B0105">
        <w:rPr>
          <w:rFonts w:ascii="Verdana" w:hAnsi="Verdana" w:cs="Helvetica"/>
          <w:color w:val="000000"/>
          <w:sz w:val="20"/>
          <w:szCs w:val="20"/>
        </w:rPr>
        <w:t xml:space="preserve"> que l</w:t>
      </w:r>
      <w:r w:rsidR="0097187B" w:rsidRPr="009B0105">
        <w:rPr>
          <w:rFonts w:ascii="Verdana" w:hAnsi="Verdana" w:cs="Helvetica"/>
          <w:color w:val="000000"/>
          <w:sz w:val="20"/>
          <w:szCs w:val="20"/>
        </w:rPr>
        <w:t>a</w:t>
      </w:r>
      <w:r w:rsidR="004E70AC" w:rsidRPr="009B0105">
        <w:rPr>
          <w:rFonts w:ascii="Verdana" w:hAnsi="Verdana" w:cs="Helvetica"/>
          <w:color w:val="000000"/>
          <w:sz w:val="20"/>
          <w:szCs w:val="20"/>
        </w:rPr>
        <w:t xml:space="preserve"> Corte </w:t>
      </w:r>
      <w:r w:rsidR="004E70AC" w:rsidRPr="009B0105">
        <w:rPr>
          <w:rFonts w:ascii="Verdana" w:hAnsi="Verdana"/>
          <w:color w:val="000000"/>
          <w:sz w:val="20"/>
          <w:szCs w:val="20"/>
        </w:rPr>
        <w:t>requiera</w:t>
      </w:r>
      <w:r w:rsidR="000530DE" w:rsidRPr="009B0105">
        <w:rPr>
          <w:rFonts w:ascii="Verdana" w:hAnsi="Verdana"/>
          <w:color w:val="000000"/>
          <w:sz w:val="20"/>
          <w:szCs w:val="20"/>
        </w:rPr>
        <w:t xml:space="preserve"> </w:t>
      </w:r>
      <w:r w:rsidR="004E70AC" w:rsidRPr="009B0105">
        <w:rPr>
          <w:rFonts w:ascii="Verdana" w:hAnsi="Verdana"/>
          <w:color w:val="000000"/>
          <w:sz w:val="20"/>
          <w:szCs w:val="20"/>
        </w:rPr>
        <w:t>al Estado</w:t>
      </w:r>
      <w:r w:rsidR="009C435E" w:rsidRPr="009B0105">
        <w:rPr>
          <w:rFonts w:ascii="Verdana" w:hAnsi="Verdana"/>
          <w:color w:val="000000"/>
          <w:sz w:val="20"/>
          <w:szCs w:val="20"/>
        </w:rPr>
        <w:t>:</w:t>
      </w:r>
      <w:r w:rsidR="004E70AC" w:rsidRPr="009B0105">
        <w:rPr>
          <w:rFonts w:ascii="Verdana" w:hAnsi="Verdana"/>
          <w:color w:val="000000"/>
          <w:sz w:val="20"/>
          <w:szCs w:val="20"/>
        </w:rPr>
        <w:t xml:space="preserve"> (i) realizar</w:t>
      </w:r>
      <w:r w:rsidR="001B3751" w:rsidRPr="009B0105">
        <w:rPr>
          <w:rFonts w:ascii="Verdana" w:hAnsi="Verdana"/>
          <w:color w:val="000000"/>
          <w:sz w:val="20"/>
          <w:szCs w:val="20"/>
        </w:rPr>
        <w:t xml:space="preserve"> </w:t>
      </w:r>
      <w:r w:rsidR="004E70AC" w:rsidRPr="009B0105">
        <w:rPr>
          <w:rFonts w:ascii="Verdana" w:hAnsi="Verdana"/>
          <w:color w:val="000000"/>
          <w:sz w:val="20"/>
          <w:szCs w:val="20"/>
        </w:rPr>
        <w:t>una investigación seria y efectiva sobre los hechos que originaron las presentes medidas y aquellos que se han presentado con posterioridad</w:t>
      </w:r>
      <w:r w:rsidR="0097187B" w:rsidRPr="009B0105">
        <w:rPr>
          <w:rFonts w:ascii="Verdana" w:hAnsi="Verdana"/>
          <w:color w:val="000000"/>
          <w:sz w:val="20"/>
          <w:szCs w:val="20"/>
        </w:rPr>
        <w:t>,</w:t>
      </w:r>
      <w:r w:rsidR="004E70AC" w:rsidRPr="009B0105">
        <w:rPr>
          <w:rFonts w:ascii="Verdana" w:hAnsi="Verdana"/>
          <w:color w:val="000000"/>
          <w:sz w:val="20"/>
          <w:szCs w:val="20"/>
        </w:rPr>
        <w:t xml:space="preserve"> </w:t>
      </w:r>
      <w:r w:rsidR="009C435E" w:rsidRPr="009B0105">
        <w:rPr>
          <w:rFonts w:ascii="Verdana" w:hAnsi="Verdana"/>
          <w:color w:val="000000"/>
          <w:sz w:val="20"/>
          <w:szCs w:val="20"/>
        </w:rPr>
        <w:t xml:space="preserve">y asismo </w:t>
      </w:r>
      <w:r w:rsidR="004E70AC" w:rsidRPr="009B0105">
        <w:rPr>
          <w:rFonts w:ascii="Verdana" w:hAnsi="Verdana"/>
          <w:color w:val="000000"/>
          <w:sz w:val="20"/>
          <w:szCs w:val="20"/>
        </w:rPr>
        <w:t xml:space="preserve">(ii) revocar la condena por difamación e injuria contra la </w:t>
      </w:r>
      <w:r w:rsidR="004E70AC" w:rsidRPr="009B0105">
        <w:rPr>
          <w:rFonts w:ascii="Verdana" w:hAnsi="Verdana" w:cs="Helvetica"/>
          <w:color w:val="000000"/>
          <w:sz w:val="20"/>
          <w:szCs w:val="20"/>
        </w:rPr>
        <w:t xml:space="preserve">señora </w:t>
      </w:r>
      <w:r w:rsidR="004E70AC" w:rsidRPr="009B0105">
        <w:rPr>
          <w:rFonts w:ascii="Verdana" w:hAnsi="Verdana"/>
          <w:color w:val="000000"/>
          <w:sz w:val="20"/>
          <w:szCs w:val="20"/>
        </w:rPr>
        <w:t xml:space="preserve">Gladys Lanza Ochoa. </w:t>
      </w:r>
    </w:p>
    <w:p w:rsidR="00906935" w:rsidRPr="009B0105" w:rsidRDefault="00906935" w:rsidP="009B0105">
      <w:pPr>
        <w:spacing w:after="0" w:line="240" w:lineRule="auto"/>
        <w:contextualSpacing/>
        <w:jc w:val="both"/>
        <w:rPr>
          <w:rFonts w:ascii="Verdana" w:hAnsi="Verdana" w:cs="Verdana"/>
          <w:bCs/>
          <w:color w:val="000000"/>
          <w:sz w:val="20"/>
          <w:szCs w:val="20"/>
          <w:lang w:val="es-ES_tradnl"/>
        </w:rPr>
      </w:pPr>
    </w:p>
    <w:p w:rsidR="00906935" w:rsidRPr="007D3AAE" w:rsidRDefault="00906935" w:rsidP="009B0105">
      <w:pPr>
        <w:numPr>
          <w:ilvl w:val="0"/>
          <w:numId w:val="6"/>
        </w:numPr>
        <w:spacing w:after="0" w:line="240" w:lineRule="auto"/>
        <w:ind w:left="0" w:firstLine="0"/>
        <w:contextualSpacing/>
        <w:jc w:val="both"/>
        <w:rPr>
          <w:rFonts w:ascii="Verdana" w:hAnsi="Verdana" w:cs="Verdana"/>
          <w:bCs/>
          <w:color w:val="000000"/>
          <w:sz w:val="20"/>
          <w:szCs w:val="20"/>
          <w:lang w:val="es-ES_tradnl"/>
        </w:rPr>
      </w:pPr>
      <w:r w:rsidRPr="009B0105">
        <w:rPr>
          <w:rFonts w:ascii="Verdana" w:hAnsi="Verdana" w:cs="Verdana"/>
          <w:bCs/>
          <w:color w:val="000000"/>
          <w:sz w:val="20"/>
          <w:szCs w:val="20"/>
          <w:lang w:val="es-ES_tradnl"/>
        </w:rPr>
        <w:t xml:space="preserve">La </w:t>
      </w:r>
      <w:r w:rsidRPr="009B0105">
        <w:rPr>
          <w:rFonts w:ascii="Verdana" w:hAnsi="Verdana" w:cs="Verdana"/>
          <w:b/>
          <w:i/>
          <w:sz w:val="20"/>
          <w:szCs w:val="20"/>
        </w:rPr>
        <w:t>Comisión</w:t>
      </w:r>
      <w:r w:rsidRPr="00DE4B7A">
        <w:rPr>
          <w:rFonts w:ascii="Verdana" w:hAnsi="Verdana" w:cs="Verdana"/>
          <w:bCs/>
          <w:i/>
          <w:color w:val="000000"/>
          <w:sz w:val="20"/>
          <w:szCs w:val="20"/>
          <w:lang w:val="es-ES_tradnl"/>
        </w:rPr>
        <w:t xml:space="preserve"> </w:t>
      </w:r>
      <w:r w:rsidRPr="00DE4B7A">
        <w:rPr>
          <w:rFonts w:ascii="Verdana" w:hAnsi="Verdana" w:cs="Verdana"/>
          <w:bCs/>
          <w:color w:val="000000"/>
          <w:sz w:val="20"/>
          <w:szCs w:val="20"/>
          <w:lang w:val="es-ES_tradnl"/>
        </w:rPr>
        <w:t xml:space="preserve">no remetio observaciones respecto </w:t>
      </w:r>
      <w:r w:rsidR="007172FB" w:rsidRPr="0013043B">
        <w:rPr>
          <w:rFonts w:ascii="Verdana" w:hAnsi="Verdana" w:cs="Verdana"/>
          <w:bCs/>
          <w:color w:val="000000"/>
          <w:sz w:val="20"/>
          <w:szCs w:val="20"/>
          <w:lang w:val="es-ES_tradnl"/>
        </w:rPr>
        <w:t>de</w:t>
      </w:r>
      <w:r w:rsidRPr="0013043B">
        <w:rPr>
          <w:rFonts w:ascii="Verdana" w:hAnsi="Verdana" w:cs="Verdana"/>
          <w:bCs/>
          <w:color w:val="000000"/>
          <w:sz w:val="20"/>
          <w:szCs w:val="20"/>
          <w:lang w:val="es-ES_tradnl"/>
        </w:rPr>
        <w:t xml:space="preserve"> la mu</w:t>
      </w:r>
      <w:r w:rsidR="00AA29DA" w:rsidRPr="0013043B">
        <w:rPr>
          <w:rFonts w:ascii="Verdana" w:hAnsi="Verdana" w:cs="Verdana"/>
          <w:bCs/>
          <w:color w:val="000000"/>
          <w:sz w:val="20"/>
          <w:szCs w:val="20"/>
          <w:lang w:val="es-ES_tradnl"/>
        </w:rPr>
        <w:t>e</w:t>
      </w:r>
      <w:r w:rsidRPr="00071B15">
        <w:rPr>
          <w:rFonts w:ascii="Verdana" w:hAnsi="Verdana" w:cs="Verdana"/>
          <w:bCs/>
          <w:color w:val="000000"/>
          <w:sz w:val="20"/>
          <w:szCs w:val="20"/>
          <w:lang w:val="es-ES_tradnl"/>
        </w:rPr>
        <w:t xml:space="preserve">rte de </w:t>
      </w:r>
      <w:r w:rsidR="00687665" w:rsidRPr="00071B15">
        <w:rPr>
          <w:rFonts w:ascii="Verdana" w:hAnsi="Verdana" w:cs="Verdana"/>
          <w:bCs/>
          <w:color w:val="000000"/>
          <w:sz w:val="20"/>
          <w:szCs w:val="20"/>
          <w:lang w:val="es-ES_tradnl"/>
        </w:rPr>
        <w:t xml:space="preserve">la </w:t>
      </w:r>
      <w:r w:rsidR="007172FB" w:rsidRPr="00071B15">
        <w:rPr>
          <w:rFonts w:ascii="Verdana" w:hAnsi="Verdana" w:cs="Verdana"/>
          <w:bCs/>
          <w:color w:val="000000"/>
          <w:sz w:val="20"/>
          <w:szCs w:val="20"/>
          <w:lang w:val="es-ES_tradnl"/>
        </w:rPr>
        <w:t xml:space="preserve">entonces </w:t>
      </w:r>
      <w:r w:rsidR="00687665" w:rsidRPr="007D3AAE">
        <w:rPr>
          <w:rFonts w:ascii="Verdana" w:hAnsi="Verdana" w:cs="Verdana"/>
          <w:bCs/>
          <w:color w:val="000000"/>
          <w:sz w:val="20"/>
          <w:szCs w:val="20"/>
          <w:lang w:val="es-ES_tradnl"/>
        </w:rPr>
        <w:t>beneficiaria</w:t>
      </w:r>
      <w:r w:rsidRPr="007D3AAE">
        <w:rPr>
          <w:rFonts w:ascii="Verdana" w:hAnsi="Verdana" w:cs="Verdana"/>
          <w:bCs/>
          <w:color w:val="000000"/>
          <w:sz w:val="20"/>
          <w:szCs w:val="20"/>
          <w:lang w:val="es-ES_tradnl"/>
        </w:rPr>
        <w:t xml:space="preserve">. </w:t>
      </w:r>
    </w:p>
    <w:p w:rsidR="009C435E" w:rsidRPr="00E94D96" w:rsidRDefault="009C435E" w:rsidP="009B0105">
      <w:pPr>
        <w:pStyle w:val="Prrafodelista1"/>
        <w:widowControl w:val="0"/>
        <w:autoSpaceDE w:val="0"/>
        <w:autoSpaceDN w:val="0"/>
        <w:adjustRightInd w:val="0"/>
        <w:ind w:left="0"/>
        <w:jc w:val="both"/>
        <w:rPr>
          <w:rFonts w:ascii="Verdana" w:hAnsi="Verdana" w:cs="Verdana"/>
          <w:b/>
          <w:sz w:val="20"/>
          <w:szCs w:val="20"/>
          <w:lang w:val="es-MX"/>
        </w:rPr>
      </w:pPr>
    </w:p>
    <w:p w:rsidR="00AD42CB" w:rsidRPr="00DE4B7A" w:rsidRDefault="00AD42CB" w:rsidP="009B0105">
      <w:pPr>
        <w:numPr>
          <w:ilvl w:val="0"/>
          <w:numId w:val="6"/>
        </w:numPr>
        <w:spacing w:after="0" w:line="240" w:lineRule="auto"/>
        <w:ind w:left="0" w:firstLine="0"/>
        <w:contextualSpacing/>
        <w:jc w:val="both"/>
        <w:rPr>
          <w:rFonts w:ascii="Verdana" w:hAnsi="Verdana" w:cs="Verdana"/>
          <w:bCs/>
          <w:sz w:val="20"/>
          <w:szCs w:val="20"/>
          <w:lang w:val="es-ES_tradnl"/>
        </w:rPr>
      </w:pPr>
      <w:r w:rsidRPr="00587BF9">
        <w:rPr>
          <w:rFonts w:ascii="Verdana" w:hAnsi="Verdana" w:cs="Helvetica"/>
          <w:sz w:val="20"/>
          <w:szCs w:val="20"/>
        </w:rPr>
        <w:t xml:space="preserve">La Corte lamenta el fallecimiento de la señora </w:t>
      </w:r>
      <w:r w:rsidRPr="00587BF9">
        <w:rPr>
          <w:rFonts w:ascii="Verdana" w:hAnsi="Verdana"/>
          <w:sz w:val="20"/>
          <w:szCs w:val="20"/>
        </w:rPr>
        <w:t>Gladys Lanza Ochoa, defensora de derechos humanos, quien era beneficiaria de las presentes medidas</w:t>
      </w:r>
      <w:r w:rsidR="000530DE" w:rsidRPr="009B0105">
        <w:rPr>
          <w:rFonts w:ascii="Verdana" w:hAnsi="Verdana"/>
          <w:sz w:val="20"/>
          <w:szCs w:val="20"/>
        </w:rPr>
        <w:t>. En virtud de</w:t>
      </w:r>
      <w:r w:rsidR="007172FB" w:rsidRPr="009B0105">
        <w:rPr>
          <w:rFonts w:ascii="Verdana" w:hAnsi="Verdana"/>
          <w:sz w:val="20"/>
          <w:szCs w:val="20"/>
        </w:rPr>
        <w:t xml:space="preserve"> este cambio de circunstancias</w:t>
      </w:r>
      <w:r w:rsidR="000530DE" w:rsidRPr="009B0105">
        <w:rPr>
          <w:rFonts w:ascii="Verdana" w:hAnsi="Verdana"/>
          <w:sz w:val="20"/>
          <w:szCs w:val="20"/>
        </w:rPr>
        <w:t xml:space="preserve">, dichas medidas han quedado sin </w:t>
      </w:r>
      <w:r w:rsidR="009579A8" w:rsidRPr="009B0105">
        <w:rPr>
          <w:rFonts w:ascii="Verdana" w:hAnsi="Verdana"/>
          <w:sz w:val="20"/>
          <w:szCs w:val="20"/>
        </w:rPr>
        <w:t>materia</w:t>
      </w:r>
      <w:r w:rsidR="007172FB" w:rsidRPr="00DE4B7A">
        <w:rPr>
          <w:rStyle w:val="Refdenotaalpie"/>
          <w:rFonts w:ascii="Verdana" w:hAnsi="Verdana" w:cs="Helvetica"/>
          <w:sz w:val="20"/>
          <w:szCs w:val="20"/>
        </w:rPr>
        <w:footnoteReference w:id="5"/>
      </w:r>
      <w:r w:rsidRPr="00DE4B7A">
        <w:rPr>
          <w:rFonts w:ascii="Verdana" w:hAnsi="Verdana" w:cs="Helvetica"/>
          <w:sz w:val="20"/>
          <w:szCs w:val="20"/>
        </w:rPr>
        <w:t>.</w:t>
      </w:r>
      <w:r w:rsidR="007172FB" w:rsidRPr="00DE4B7A">
        <w:rPr>
          <w:rFonts w:ascii="Verdana" w:hAnsi="Verdana" w:cs="Helvetica"/>
          <w:sz w:val="20"/>
          <w:szCs w:val="20"/>
        </w:rPr>
        <w:t xml:space="preserve"> No obstante, </w:t>
      </w:r>
      <w:r w:rsidR="007172FB" w:rsidRPr="0013043B">
        <w:rPr>
          <w:rFonts w:ascii="Verdana" w:hAnsi="Verdana"/>
          <w:sz w:val="20"/>
          <w:szCs w:val="20"/>
        </w:rPr>
        <w:t>el levantamiento de las mismas no implica considerar que el Estado quede relevado de sus obligaciones convencionales de proteger a las personas que se encuentran en su territor</w:t>
      </w:r>
      <w:r w:rsidR="007172FB" w:rsidRPr="00071B15">
        <w:rPr>
          <w:rFonts w:ascii="Verdana" w:hAnsi="Verdana"/>
          <w:sz w:val="20"/>
          <w:szCs w:val="20"/>
        </w:rPr>
        <w:t>io</w:t>
      </w:r>
      <w:r w:rsidR="007172FB" w:rsidRPr="00DE4B7A">
        <w:rPr>
          <w:rStyle w:val="Refdenotaalpie"/>
          <w:rFonts w:ascii="Verdana" w:hAnsi="Verdana"/>
          <w:sz w:val="20"/>
          <w:szCs w:val="20"/>
        </w:rPr>
        <w:footnoteReference w:id="6"/>
      </w:r>
      <w:r w:rsidR="007172FB" w:rsidRPr="00DE4B7A">
        <w:rPr>
          <w:rFonts w:ascii="Verdana" w:hAnsi="Verdana"/>
          <w:sz w:val="20"/>
          <w:szCs w:val="20"/>
        </w:rPr>
        <w:t>.</w:t>
      </w:r>
    </w:p>
    <w:p w:rsidR="00AD42CB" w:rsidRPr="0013043B" w:rsidRDefault="00AD42CB" w:rsidP="009B0105">
      <w:pPr>
        <w:spacing w:after="0" w:line="240" w:lineRule="auto"/>
        <w:contextualSpacing/>
        <w:jc w:val="both"/>
        <w:rPr>
          <w:rFonts w:ascii="Verdana" w:hAnsi="Verdana" w:cs="Verdana"/>
          <w:bCs/>
          <w:sz w:val="20"/>
          <w:szCs w:val="20"/>
          <w:lang w:val="es-ES_tradnl"/>
        </w:rPr>
      </w:pPr>
    </w:p>
    <w:p w:rsidR="00D276B2" w:rsidRPr="00DE4B7A" w:rsidRDefault="00D276B2" w:rsidP="009B0105">
      <w:pPr>
        <w:numPr>
          <w:ilvl w:val="0"/>
          <w:numId w:val="6"/>
        </w:numPr>
        <w:spacing w:after="0" w:line="240" w:lineRule="auto"/>
        <w:ind w:left="0" w:firstLine="0"/>
        <w:contextualSpacing/>
        <w:jc w:val="both"/>
        <w:rPr>
          <w:rFonts w:ascii="Verdana" w:hAnsi="Verdana" w:cs="Verdana"/>
          <w:bCs/>
          <w:sz w:val="20"/>
          <w:szCs w:val="20"/>
        </w:rPr>
      </w:pPr>
      <w:r w:rsidRPr="00071B15">
        <w:rPr>
          <w:rFonts w:ascii="Verdana" w:hAnsi="Verdana"/>
          <w:sz w:val="20"/>
          <w:szCs w:val="20"/>
          <w:lang w:val="es-ES_tradnl"/>
        </w:rPr>
        <w:t xml:space="preserve">En cuanto </w:t>
      </w:r>
      <w:r w:rsidR="00DE0135" w:rsidRPr="00071B15">
        <w:rPr>
          <w:rFonts w:ascii="Verdana" w:hAnsi="Verdana"/>
          <w:sz w:val="20"/>
          <w:szCs w:val="20"/>
          <w:lang w:val="es-ES_tradnl"/>
        </w:rPr>
        <w:t>a</w:t>
      </w:r>
      <w:r w:rsidRPr="00071B15">
        <w:rPr>
          <w:rFonts w:ascii="Verdana" w:hAnsi="Verdana"/>
          <w:sz w:val="20"/>
          <w:szCs w:val="20"/>
          <w:lang w:val="es-ES_tradnl"/>
        </w:rPr>
        <w:t xml:space="preserve"> las </w:t>
      </w:r>
      <w:r w:rsidR="006434B3" w:rsidRPr="00071B15">
        <w:rPr>
          <w:rFonts w:ascii="Verdana" w:hAnsi="Verdana"/>
          <w:sz w:val="20"/>
          <w:szCs w:val="20"/>
          <w:lang w:val="es-ES_tradnl"/>
        </w:rPr>
        <w:t xml:space="preserve">solicitudes </w:t>
      </w:r>
      <w:r w:rsidR="00AD42CB" w:rsidRPr="00071B15">
        <w:rPr>
          <w:rFonts w:ascii="Verdana" w:hAnsi="Verdana"/>
          <w:sz w:val="20"/>
          <w:szCs w:val="20"/>
          <w:lang w:val="es-ES_tradnl"/>
        </w:rPr>
        <w:t xml:space="preserve">de los representantes </w:t>
      </w:r>
      <w:r w:rsidR="00AD42CB" w:rsidRPr="00071B15">
        <w:rPr>
          <w:rFonts w:ascii="Verdana" w:hAnsi="Verdana"/>
          <w:sz w:val="20"/>
          <w:szCs w:val="20"/>
        </w:rPr>
        <w:t>respe</w:t>
      </w:r>
      <w:r w:rsidR="0097187B" w:rsidRPr="00071B15">
        <w:rPr>
          <w:rFonts w:ascii="Verdana" w:hAnsi="Verdana"/>
          <w:sz w:val="20"/>
          <w:szCs w:val="20"/>
        </w:rPr>
        <w:t>c</w:t>
      </w:r>
      <w:r w:rsidR="00AD42CB" w:rsidRPr="00071B15">
        <w:rPr>
          <w:rFonts w:ascii="Verdana" w:hAnsi="Verdana"/>
          <w:sz w:val="20"/>
          <w:szCs w:val="20"/>
        </w:rPr>
        <w:t xml:space="preserve">to </w:t>
      </w:r>
      <w:r w:rsidR="00071B15">
        <w:rPr>
          <w:rFonts w:ascii="Verdana" w:hAnsi="Verdana"/>
          <w:sz w:val="20"/>
          <w:szCs w:val="20"/>
        </w:rPr>
        <w:t xml:space="preserve">de </w:t>
      </w:r>
      <w:r w:rsidR="00AD42CB" w:rsidRPr="00071B15">
        <w:rPr>
          <w:rFonts w:ascii="Verdana" w:hAnsi="Verdana"/>
          <w:sz w:val="20"/>
          <w:szCs w:val="20"/>
        </w:rPr>
        <w:t xml:space="preserve">la condena por difamación e injuria contra la </w:t>
      </w:r>
      <w:r w:rsidR="00AD42CB" w:rsidRPr="00071B15">
        <w:rPr>
          <w:rFonts w:ascii="Verdana" w:hAnsi="Verdana" w:cs="Helvetica"/>
          <w:sz w:val="20"/>
          <w:szCs w:val="20"/>
        </w:rPr>
        <w:t xml:space="preserve">señora </w:t>
      </w:r>
      <w:r w:rsidR="00AD42CB" w:rsidRPr="00071B15">
        <w:rPr>
          <w:rFonts w:ascii="Verdana" w:hAnsi="Verdana"/>
          <w:sz w:val="20"/>
          <w:szCs w:val="20"/>
        </w:rPr>
        <w:t xml:space="preserve">Gladys Lanza Ochoa, </w:t>
      </w:r>
      <w:r w:rsidR="00DC7C7C" w:rsidRPr="00071B15">
        <w:rPr>
          <w:rFonts w:ascii="Verdana" w:hAnsi="Verdana"/>
          <w:sz w:val="20"/>
          <w:szCs w:val="20"/>
        </w:rPr>
        <w:t>así como</w:t>
      </w:r>
      <w:r w:rsidR="006434B3" w:rsidRPr="00071B15">
        <w:rPr>
          <w:rFonts w:ascii="Verdana" w:hAnsi="Verdana"/>
          <w:sz w:val="20"/>
          <w:szCs w:val="20"/>
        </w:rPr>
        <w:t xml:space="preserve"> de </w:t>
      </w:r>
      <w:r w:rsidR="006434B3" w:rsidRPr="00071B15">
        <w:rPr>
          <w:rFonts w:ascii="Verdana" w:hAnsi="Verdana"/>
          <w:bCs/>
          <w:sz w:val="20"/>
          <w:szCs w:val="20"/>
        </w:rPr>
        <w:t>las investigaciones sobre los actos de hostigamiento y amenazas cometidos en contra de la beneficiaria</w:t>
      </w:r>
      <w:r w:rsidR="00AD42CB" w:rsidRPr="00DE4B7A">
        <w:rPr>
          <w:rFonts w:ascii="Verdana" w:hAnsi="Verdana"/>
          <w:sz w:val="20"/>
          <w:szCs w:val="20"/>
          <w:lang w:val="es-ES_tradnl"/>
        </w:rPr>
        <w:t xml:space="preserve">, </w:t>
      </w:r>
      <w:r w:rsidR="00AD42CB" w:rsidRPr="0013043B">
        <w:rPr>
          <w:rFonts w:ascii="Verdana" w:hAnsi="Verdana"/>
          <w:sz w:val="20"/>
          <w:szCs w:val="20"/>
        </w:rPr>
        <w:t>la Corte recuerda que, en una medida provisional, no corresponde considerar el fondo de ningún argumento</w:t>
      </w:r>
      <w:r w:rsidR="00AA29DA" w:rsidRPr="00071B15">
        <w:rPr>
          <w:rFonts w:ascii="Verdana" w:hAnsi="Verdana"/>
          <w:sz w:val="20"/>
          <w:szCs w:val="20"/>
        </w:rPr>
        <w:t xml:space="preserve"> distinto a</w:t>
      </w:r>
      <w:r w:rsidR="0097187B" w:rsidRPr="00071B15">
        <w:rPr>
          <w:rFonts w:ascii="Verdana" w:hAnsi="Verdana"/>
          <w:sz w:val="20"/>
          <w:szCs w:val="20"/>
        </w:rPr>
        <w:t xml:space="preserve"> </w:t>
      </w:r>
      <w:r w:rsidR="00AD42CB" w:rsidRPr="00071B15">
        <w:rPr>
          <w:rFonts w:ascii="Verdana" w:hAnsi="Verdana"/>
          <w:sz w:val="20"/>
          <w:szCs w:val="20"/>
        </w:rPr>
        <w:t>aquellos que se relacionan estrictamente con la extrema gravedad, urgencia y necesidad de evitar daños irreparables a personas. Cualquier otro asunto sólo puede ser puesto en conocimiento de la Corte en los casos contenciosos</w:t>
      </w:r>
      <w:r w:rsidR="00AD42CB" w:rsidRPr="00DE4B7A">
        <w:rPr>
          <w:rStyle w:val="Refdenotaalpie"/>
          <w:rFonts w:ascii="Verdana" w:hAnsi="Verdana"/>
          <w:sz w:val="20"/>
          <w:szCs w:val="20"/>
        </w:rPr>
        <w:footnoteReference w:id="7"/>
      </w:r>
      <w:r w:rsidR="00AD42CB" w:rsidRPr="00DE4B7A">
        <w:rPr>
          <w:rFonts w:ascii="Verdana" w:hAnsi="Verdana"/>
          <w:sz w:val="20"/>
          <w:szCs w:val="20"/>
        </w:rPr>
        <w:t xml:space="preserve">. </w:t>
      </w:r>
    </w:p>
    <w:p w:rsidR="00834ED9" w:rsidRPr="0013043B" w:rsidRDefault="00834ED9" w:rsidP="009B0105">
      <w:pPr>
        <w:spacing w:after="0" w:line="240" w:lineRule="auto"/>
        <w:contextualSpacing/>
        <w:jc w:val="both"/>
        <w:rPr>
          <w:rFonts w:ascii="Verdana" w:hAnsi="Verdana"/>
          <w:sz w:val="20"/>
          <w:szCs w:val="20"/>
        </w:rPr>
      </w:pPr>
    </w:p>
    <w:p w:rsidR="003B0420" w:rsidRPr="00071B15" w:rsidRDefault="003B0420" w:rsidP="009B0105">
      <w:pPr>
        <w:spacing w:after="0" w:line="240" w:lineRule="auto"/>
        <w:contextualSpacing/>
        <w:jc w:val="both"/>
        <w:rPr>
          <w:rFonts w:ascii="Verdana" w:hAnsi="Verdana" w:cs="Verdana"/>
          <w:b/>
          <w:bCs/>
          <w:caps/>
          <w:sz w:val="20"/>
          <w:szCs w:val="20"/>
        </w:rPr>
      </w:pPr>
      <w:r w:rsidRPr="00071B15">
        <w:rPr>
          <w:rFonts w:ascii="Verdana" w:hAnsi="Verdana" w:cs="Verdana"/>
          <w:b/>
          <w:bCs/>
          <w:caps/>
          <w:sz w:val="20"/>
          <w:szCs w:val="20"/>
        </w:rPr>
        <w:t>Por Tanto:</w:t>
      </w:r>
    </w:p>
    <w:p w:rsidR="003B0420" w:rsidRPr="00071B15" w:rsidRDefault="003B0420" w:rsidP="009B0105">
      <w:pPr>
        <w:spacing w:after="0" w:line="240" w:lineRule="auto"/>
        <w:contextualSpacing/>
        <w:jc w:val="both"/>
        <w:rPr>
          <w:rFonts w:ascii="Verdana" w:hAnsi="Verdana" w:cs="Verdana"/>
          <w:b/>
          <w:bCs/>
          <w:caps/>
          <w:sz w:val="20"/>
          <w:szCs w:val="20"/>
        </w:rPr>
      </w:pPr>
    </w:p>
    <w:p w:rsidR="003B0420" w:rsidRPr="00071B15" w:rsidRDefault="003B0420" w:rsidP="009B0105">
      <w:pPr>
        <w:spacing w:after="0" w:line="240" w:lineRule="auto"/>
        <w:contextualSpacing/>
        <w:jc w:val="both"/>
        <w:rPr>
          <w:rFonts w:ascii="Verdana" w:hAnsi="Verdana" w:cs="Verdana"/>
          <w:b/>
          <w:bCs/>
          <w:caps/>
          <w:sz w:val="20"/>
          <w:szCs w:val="20"/>
        </w:rPr>
      </w:pPr>
      <w:r w:rsidRPr="00071B15">
        <w:rPr>
          <w:rFonts w:ascii="Verdana" w:hAnsi="Verdana" w:cs="Verdana"/>
          <w:b/>
          <w:bCs/>
          <w:caps/>
          <w:sz w:val="20"/>
          <w:szCs w:val="20"/>
        </w:rPr>
        <w:t xml:space="preserve">la Corte Interamericana de Derechos Humanos, </w:t>
      </w:r>
    </w:p>
    <w:p w:rsidR="003B0420" w:rsidRPr="009D077B" w:rsidRDefault="003B0420" w:rsidP="009B0105">
      <w:pPr>
        <w:spacing w:after="0" w:line="240" w:lineRule="auto"/>
        <w:contextualSpacing/>
        <w:rPr>
          <w:rFonts w:ascii="Verdana" w:hAnsi="Verdana"/>
          <w:sz w:val="16"/>
          <w:szCs w:val="16"/>
        </w:rPr>
      </w:pPr>
    </w:p>
    <w:p w:rsidR="001D4D73" w:rsidRPr="007D3AAE" w:rsidRDefault="001D4D73" w:rsidP="009B0105">
      <w:pPr>
        <w:pStyle w:val="Sinespaciado"/>
        <w:jc w:val="both"/>
        <w:rPr>
          <w:rFonts w:ascii="Verdana" w:eastAsia="Times New Roman" w:hAnsi="Verdana"/>
          <w:sz w:val="20"/>
          <w:szCs w:val="20"/>
          <w:lang w:val="es-ES_tradnl" w:eastAsia="es-ES"/>
        </w:rPr>
      </w:pPr>
      <w:r w:rsidRPr="007D3AAE">
        <w:rPr>
          <w:rFonts w:ascii="Verdana" w:eastAsia="Times New Roman" w:hAnsi="Verdana"/>
          <w:sz w:val="20"/>
          <w:szCs w:val="20"/>
          <w:lang w:val="es-ES_tradnl" w:eastAsia="es-ES"/>
        </w:rPr>
        <w:t xml:space="preserve">En uso de las atribuciones que le confieren el artículo 63.2 de la Convención Americana sobre Derechos Humanos, y el artículo 27 de su Reglamento, </w:t>
      </w:r>
    </w:p>
    <w:p w:rsidR="001D4D73" w:rsidRPr="009D077B" w:rsidRDefault="001D4D73" w:rsidP="009B0105">
      <w:pPr>
        <w:spacing w:after="0" w:line="240" w:lineRule="auto"/>
        <w:contextualSpacing/>
        <w:rPr>
          <w:rFonts w:ascii="Verdana" w:hAnsi="Verdana"/>
          <w:sz w:val="16"/>
          <w:szCs w:val="16"/>
          <w:lang w:val="es-ES_tradnl"/>
        </w:rPr>
      </w:pPr>
    </w:p>
    <w:p w:rsidR="003B0420" w:rsidRPr="007D3AAE" w:rsidRDefault="003B0420" w:rsidP="009B0105">
      <w:pPr>
        <w:spacing w:after="0" w:line="240" w:lineRule="auto"/>
        <w:ind w:right="22"/>
        <w:contextualSpacing/>
        <w:jc w:val="both"/>
        <w:rPr>
          <w:rFonts w:ascii="Verdana" w:hAnsi="Verdana" w:cs="Verdana"/>
          <w:b/>
          <w:bCs/>
          <w:caps/>
          <w:sz w:val="20"/>
          <w:szCs w:val="20"/>
        </w:rPr>
      </w:pPr>
      <w:r w:rsidRPr="007D3AAE">
        <w:rPr>
          <w:rFonts w:ascii="Verdana" w:hAnsi="Verdana" w:cs="Verdana"/>
          <w:b/>
          <w:bCs/>
          <w:caps/>
          <w:sz w:val="20"/>
          <w:szCs w:val="20"/>
        </w:rPr>
        <w:t>Resuelve:</w:t>
      </w:r>
    </w:p>
    <w:p w:rsidR="008A30A1" w:rsidRPr="00897F3C" w:rsidRDefault="008A30A1" w:rsidP="009B0105">
      <w:pPr>
        <w:autoSpaceDE w:val="0"/>
        <w:autoSpaceDN w:val="0"/>
        <w:adjustRightInd w:val="0"/>
        <w:spacing w:after="0" w:line="240" w:lineRule="auto"/>
        <w:jc w:val="both"/>
        <w:rPr>
          <w:rFonts w:ascii="Verdana" w:hAnsi="Verdana" w:cs="Verdana"/>
          <w:sz w:val="16"/>
          <w:szCs w:val="16"/>
          <w:lang w:eastAsia="es-MX"/>
        </w:rPr>
      </w:pPr>
    </w:p>
    <w:p w:rsidR="006C78AD" w:rsidRPr="00071B15" w:rsidRDefault="006C78AD" w:rsidP="009B0105">
      <w:pPr>
        <w:pStyle w:val="ListParagraph"/>
        <w:numPr>
          <w:ilvl w:val="1"/>
          <w:numId w:val="11"/>
        </w:numPr>
        <w:autoSpaceDE w:val="0"/>
        <w:autoSpaceDN w:val="0"/>
        <w:ind w:left="0" w:firstLine="0"/>
        <w:jc w:val="both"/>
        <w:rPr>
          <w:rFonts w:ascii="Verdana" w:hAnsi="Verdana"/>
          <w:spacing w:val="-4"/>
          <w:lang w:val="es-PR"/>
        </w:rPr>
      </w:pPr>
      <w:r w:rsidRPr="00587BF9">
        <w:rPr>
          <w:rFonts w:ascii="Verdana" w:hAnsi="Verdana"/>
          <w:spacing w:val="-4"/>
          <w:lang w:val="es-PR"/>
        </w:rPr>
        <w:t xml:space="preserve">Levantar y dar por concluidas las medidas provisionales ordenadas </w:t>
      </w:r>
      <w:r w:rsidRPr="00587BF9">
        <w:rPr>
          <w:rFonts w:ascii="Verdana" w:hAnsi="Verdana"/>
          <w:lang w:val="es-PR"/>
        </w:rPr>
        <w:t xml:space="preserve">por la Corte Interamericana de Derechos Humanos desde </w:t>
      </w:r>
      <w:r w:rsidRPr="009B0105">
        <w:rPr>
          <w:rFonts w:ascii="Verdana" w:hAnsi="Verdana"/>
          <w:spacing w:val="-4"/>
          <w:lang w:val="es-PR"/>
        </w:rPr>
        <w:t xml:space="preserve">su Resolución de 28 de junio de 2010 en favor de </w:t>
      </w:r>
      <w:r w:rsidRPr="009B0105">
        <w:rPr>
          <w:rFonts w:ascii="Verdana" w:hAnsi="Verdana"/>
        </w:rPr>
        <w:t>Gladys Lanza Ochoa</w:t>
      </w:r>
      <w:r w:rsidRPr="009B0105">
        <w:rPr>
          <w:rFonts w:ascii="Verdana" w:hAnsi="Verdana"/>
          <w:spacing w:val="-4"/>
          <w:lang w:val="es-PR"/>
        </w:rPr>
        <w:t xml:space="preserve">, </w:t>
      </w:r>
      <w:r w:rsidRPr="009B0105">
        <w:rPr>
          <w:rFonts w:ascii="Verdana" w:hAnsi="Verdana" w:cs="Verdana"/>
          <w:lang w:eastAsia="es-MX"/>
        </w:rPr>
        <w:t xml:space="preserve">en vista de que </w:t>
      </w:r>
      <w:r w:rsidRPr="009B0105">
        <w:rPr>
          <w:rFonts w:ascii="Verdana" w:hAnsi="Verdana"/>
        </w:rPr>
        <w:t xml:space="preserve">han quedado sin </w:t>
      </w:r>
      <w:r w:rsidR="009579A8" w:rsidRPr="009B0105">
        <w:rPr>
          <w:rFonts w:ascii="Verdana" w:hAnsi="Verdana"/>
        </w:rPr>
        <w:t>materia</w:t>
      </w:r>
      <w:r w:rsidRPr="00DE4B7A">
        <w:rPr>
          <w:rFonts w:ascii="Verdana" w:hAnsi="Verdana"/>
        </w:rPr>
        <w:t xml:space="preserve">, de conformidad con el Considerando </w:t>
      </w:r>
      <w:r w:rsidR="00370BAB" w:rsidRPr="00DE4B7A">
        <w:rPr>
          <w:rFonts w:ascii="Verdana" w:hAnsi="Verdana"/>
        </w:rPr>
        <w:t>7</w:t>
      </w:r>
      <w:r w:rsidRPr="0013043B">
        <w:rPr>
          <w:rFonts w:ascii="Verdana" w:hAnsi="Verdana"/>
        </w:rPr>
        <w:t xml:space="preserve"> de la presente Resolución</w:t>
      </w:r>
      <w:r w:rsidRPr="0013043B">
        <w:rPr>
          <w:rFonts w:ascii="Verdana" w:hAnsi="Verdana" w:cs="Verdana"/>
          <w:lang w:eastAsia="es-MX"/>
        </w:rPr>
        <w:t>.</w:t>
      </w:r>
    </w:p>
    <w:p w:rsidR="006C78AD" w:rsidRPr="00897F3C" w:rsidRDefault="006C78AD" w:rsidP="009B0105">
      <w:pPr>
        <w:autoSpaceDE w:val="0"/>
        <w:autoSpaceDN w:val="0"/>
        <w:adjustRightInd w:val="0"/>
        <w:spacing w:after="0" w:line="240" w:lineRule="auto"/>
        <w:jc w:val="both"/>
        <w:rPr>
          <w:rFonts w:ascii="Verdana" w:hAnsi="Verdana" w:cs="Verdana"/>
          <w:sz w:val="16"/>
          <w:szCs w:val="16"/>
          <w:lang w:eastAsia="es-MX"/>
        </w:rPr>
      </w:pPr>
    </w:p>
    <w:p w:rsidR="008B39FA" w:rsidRPr="007D3AAE" w:rsidRDefault="00687665" w:rsidP="009B0105">
      <w:pPr>
        <w:pStyle w:val="ListParagraph"/>
        <w:numPr>
          <w:ilvl w:val="1"/>
          <w:numId w:val="11"/>
        </w:numPr>
        <w:autoSpaceDE w:val="0"/>
        <w:autoSpaceDN w:val="0"/>
        <w:ind w:left="0" w:firstLine="0"/>
        <w:jc w:val="both"/>
        <w:rPr>
          <w:rFonts w:ascii="Verdana" w:hAnsi="Verdana" w:cs="Verdana"/>
          <w:lang w:eastAsia="es-MX"/>
        </w:rPr>
      </w:pPr>
      <w:r w:rsidRPr="00071B15">
        <w:rPr>
          <w:rFonts w:ascii="Verdana" w:hAnsi="Verdana" w:cs="Verdana"/>
          <w:lang w:eastAsia="es-MX"/>
        </w:rPr>
        <w:t>R</w:t>
      </w:r>
      <w:r w:rsidR="00370BAB" w:rsidRPr="00071B15">
        <w:rPr>
          <w:rFonts w:ascii="Verdana" w:hAnsi="Verdana" w:cs="Verdana"/>
          <w:lang w:eastAsia="es-MX"/>
        </w:rPr>
        <w:t>e</w:t>
      </w:r>
      <w:r w:rsidRPr="00071B15">
        <w:rPr>
          <w:rFonts w:ascii="Verdana" w:hAnsi="Verdana" w:cs="Verdana"/>
          <w:lang w:eastAsia="es-MX"/>
        </w:rPr>
        <w:t>querir a</w:t>
      </w:r>
      <w:r w:rsidR="005B67E5" w:rsidRPr="00071B15">
        <w:rPr>
          <w:rFonts w:ascii="Verdana" w:hAnsi="Verdana" w:cs="Verdana"/>
          <w:lang w:eastAsia="es-MX"/>
        </w:rPr>
        <w:t xml:space="preserve"> la Secretaria </w:t>
      </w:r>
      <w:r w:rsidRPr="00071B15">
        <w:rPr>
          <w:rFonts w:ascii="Verdana" w:hAnsi="Verdana" w:cs="Verdana"/>
          <w:lang w:eastAsia="es-MX"/>
        </w:rPr>
        <w:t xml:space="preserve">de la Corte </w:t>
      </w:r>
      <w:r w:rsidR="005B67E5" w:rsidRPr="00071B15">
        <w:rPr>
          <w:rFonts w:ascii="Verdana" w:hAnsi="Verdana" w:cs="Verdana"/>
          <w:lang w:eastAsia="es-MX"/>
        </w:rPr>
        <w:t xml:space="preserve">notifique </w:t>
      </w:r>
      <w:r w:rsidR="003B0420" w:rsidRPr="00071B15">
        <w:rPr>
          <w:rFonts w:ascii="Verdana" w:hAnsi="Verdana" w:cs="Verdana"/>
          <w:lang w:eastAsia="es-MX"/>
        </w:rPr>
        <w:t>l</w:t>
      </w:r>
      <w:r w:rsidR="00503780" w:rsidRPr="00071B15">
        <w:rPr>
          <w:rFonts w:ascii="Verdana" w:hAnsi="Verdana" w:cs="Verdana"/>
          <w:lang w:eastAsia="es-MX"/>
        </w:rPr>
        <w:t xml:space="preserve">a presente </w:t>
      </w:r>
      <w:r w:rsidR="006C78AD" w:rsidRPr="00071B15">
        <w:rPr>
          <w:rFonts w:ascii="Verdana" w:hAnsi="Verdana" w:cs="Verdana"/>
          <w:lang w:eastAsia="es-MX"/>
        </w:rPr>
        <w:t>R</w:t>
      </w:r>
      <w:r w:rsidR="00503780" w:rsidRPr="00071B15">
        <w:rPr>
          <w:rFonts w:ascii="Verdana" w:hAnsi="Verdana" w:cs="Verdana"/>
          <w:lang w:eastAsia="es-MX"/>
        </w:rPr>
        <w:t>esolución al Estado</w:t>
      </w:r>
      <w:r w:rsidR="006C78AD" w:rsidRPr="00071B15">
        <w:rPr>
          <w:rFonts w:ascii="Verdana" w:hAnsi="Verdana" w:cs="Verdana"/>
          <w:lang w:eastAsia="es-MX"/>
        </w:rPr>
        <w:t xml:space="preserve"> de Honduras</w:t>
      </w:r>
      <w:r w:rsidR="00503780" w:rsidRPr="00071B15">
        <w:rPr>
          <w:rFonts w:ascii="Verdana" w:hAnsi="Verdana" w:cs="Verdana"/>
          <w:lang w:eastAsia="es-MX"/>
        </w:rPr>
        <w:t xml:space="preserve">, </w:t>
      </w:r>
      <w:r w:rsidR="006C78AD" w:rsidRPr="00071B15">
        <w:rPr>
          <w:rFonts w:ascii="Verdana" w:hAnsi="Verdana" w:cs="Verdana"/>
          <w:lang w:eastAsia="es-MX"/>
        </w:rPr>
        <w:t>a la Comisión Interamericana de Derechos Humanos</w:t>
      </w:r>
      <w:r w:rsidR="006C78AD" w:rsidRPr="00071B15">
        <w:rPr>
          <w:rFonts w:ascii="Verdana" w:hAnsi="Verdana"/>
        </w:rPr>
        <w:t xml:space="preserve"> y </w:t>
      </w:r>
      <w:r w:rsidR="00503780" w:rsidRPr="00071B15">
        <w:rPr>
          <w:rFonts w:ascii="Verdana" w:hAnsi="Verdana"/>
        </w:rPr>
        <w:t xml:space="preserve">a </w:t>
      </w:r>
      <w:r w:rsidR="006C78AD" w:rsidRPr="00071B15">
        <w:rPr>
          <w:rFonts w:ascii="Verdana" w:hAnsi="Verdana"/>
        </w:rPr>
        <w:t>la</w:t>
      </w:r>
      <w:r w:rsidR="00503780" w:rsidRPr="00071B15">
        <w:rPr>
          <w:rFonts w:ascii="Verdana" w:hAnsi="Verdana"/>
        </w:rPr>
        <w:t xml:space="preserve"> representa</w:t>
      </w:r>
      <w:r w:rsidR="006C78AD" w:rsidRPr="00071B15">
        <w:rPr>
          <w:rFonts w:ascii="Verdana" w:hAnsi="Verdana"/>
        </w:rPr>
        <w:t>ción</w:t>
      </w:r>
      <w:r w:rsidR="00503780" w:rsidRPr="00071B15">
        <w:rPr>
          <w:rFonts w:ascii="Verdana" w:hAnsi="Verdana"/>
        </w:rPr>
        <w:t xml:space="preserve"> </w:t>
      </w:r>
      <w:r w:rsidR="00503780" w:rsidRPr="00071B15">
        <w:rPr>
          <w:rFonts w:ascii="Verdana" w:hAnsi="Verdana" w:cs="Verdana"/>
          <w:lang w:eastAsia="es-MX"/>
        </w:rPr>
        <w:t xml:space="preserve">de </w:t>
      </w:r>
      <w:r w:rsidR="00503780" w:rsidRPr="00071B15">
        <w:rPr>
          <w:rFonts w:ascii="Verdana" w:hAnsi="Verdana"/>
        </w:rPr>
        <w:t xml:space="preserve">la </w:t>
      </w:r>
      <w:r w:rsidR="006C78AD" w:rsidRPr="007D3AAE">
        <w:rPr>
          <w:rFonts w:ascii="Verdana" w:hAnsi="Verdana"/>
        </w:rPr>
        <w:t>entonces benefici</w:t>
      </w:r>
      <w:r w:rsidR="007172FB" w:rsidRPr="007D3AAE">
        <w:rPr>
          <w:rFonts w:ascii="Verdana" w:hAnsi="Verdana"/>
        </w:rPr>
        <w:t>a</w:t>
      </w:r>
      <w:r w:rsidR="006C78AD" w:rsidRPr="007D3AAE">
        <w:rPr>
          <w:rFonts w:ascii="Verdana" w:hAnsi="Verdana"/>
        </w:rPr>
        <w:t>ria</w:t>
      </w:r>
      <w:r w:rsidR="003B0420" w:rsidRPr="007D3AAE">
        <w:rPr>
          <w:rFonts w:ascii="Verdana" w:hAnsi="Verdana" w:cs="Verdana"/>
          <w:lang w:eastAsia="es-MX"/>
        </w:rPr>
        <w:t>.</w:t>
      </w:r>
    </w:p>
    <w:p w:rsidR="008A30A1" w:rsidRPr="00897F3C" w:rsidRDefault="008A30A1" w:rsidP="009B0105">
      <w:pPr>
        <w:autoSpaceDE w:val="0"/>
        <w:autoSpaceDN w:val="0"/>
        <w:adjustRightInd w:val="0"/>
        <w:spacing w:after="0" w:line="240" w:lineRule="auto"/>
        <w:jc w:val="both"/>
        <w:rPr>
          <w:rFonts w:ascii="Verdana" w:hAnsi="Verdana" w:cs="Verdana"/>
          <w:sz w:val="16"/>
          <w:szCs w:val="16"/>
          <w:lang w:eastAsia="es-MX"/>
        </w:rPr>
      </w:pPr>
    </w:p>
    <w:p w:rsidR="00F95793" w:rsidRDefault="00131A22" w:rsidP="0025350C">
      <w:pPr>
        <w:pStyle w:val="ListParagraph"/>
        <w:numPr>
          <w:ilvl w:val="1"/>
          <w:numId w:val="11"/>
        </w:numPr>
        <w:autoSpaceDE w:val="0"/>
        <w:autoSpaceDN w:val="0"/>
        <w:ind w:left="0" w:firstLine="0"/>
        <w:jc w:val="both"/>
        <w:rPr>
          <w:rFonts w:ascii="Verdana" w:hAnsi="Verdana" w:cs="Verdana"/>
          <w:lang w:eastAsia="es-MX"/>
        </w:rPr>
      </w:pPr>
      <w:r>
        <w:rPr>
          <w:rFonts w:ascii="Verdana" w:hAnsi="Verdana" w:cs="Verdana"/>
          <w:lang w:eastAsia="es-MX"/>
        </w:rPr>
        <w:t xml:space="preserve">Archivar el expediente. </w:t>
      </w:r>
    </w:p>
    <w:p w:rsidR="00BE012B" w:rsidRDefault="00BE012B" w:rsidP="00BE012B">
      <w:pPr>
        <w:pStyle w:val="Prrafodelista"/>
        <w:rPr>
          <w:rFonts w:ascii="Verdana" w:hAnsi="Verdana" w:cs="Verdana"/>
          <w:lang w:eastAsia="es-MX"/>
        </w:rPr>
      </w:pPr>
    </w:p>
    <w:p w:rsidR="00BE012B" w:rsidRDefault="00BE012B" w:rsidP="00BE012B">
      <w:pPr>
        <w:spacing w:after="0" w:line="240" w:lineRule="auto"/>
        <w:jc w:val="both"/>
        <w:rPr>
          <w:rFonts w:ascii="Verdana" w:hAnsi="Verdana"/>
          <w:sz w:val="20"/>
        </w:rPr>
      </w:pPr>
      <w:r w:rsidRPr="007170C5">
        <w:rPr>
          <w:rFonts w:ascii="Verdana" w:hAnsi="Verdana"/>
          <w:sz w:val="20"/>
          <w:lang w:val="es-CR"/>
        </w:rPr>
        <w:t>Resolución de la Corte Interamericana de Derechos Humanos. Medidas Pro</w:t>
      </w:r>
      <w:r>
        <w:rPr>
          <w:rFonts w:ascii="Verdana" w:hAnsi="Verdana"/>
          <w:sz w:val="20"/>
          <w:lang w:val="es-CR"/>
        </w:rPr>
        <w:t>visionales respecto de Honduras</w:t>
      </w:r>
      <w:r w:rsidRPr="007170C5">
        <w:rPr>
          <w:rFonts w:ascii="Verdana" w:hAnsi="Verdana"/>
          <w:sz w:val="20"/>
          <w:lang w:val="es-CR"/>
        </w:rPr>
        <w:t xml:space="preserve">. Asunto </w:t>
      </w:r>
      <w:r>
        <w:rPr>
          <w:rFonts w:ascii="Verdana" w:hAnsi="Verdana"/>
          <w:sz w:val="20"/>
          <w:lang w:val="es-CR"/>
        </w:rPr>
        <w:t>Gladys Lanza Ochoa.</w:t>
      </w:r>
    </w:p>
    <w:p w:rsidR="00BE012B" w:rsidRDefault="00BE012B" w:rsidP="00BE012B">
      <w:pPr>
        <w:spacing w:after="0" w:line="240" w:lineRule="auto"/>
        <w:rPr>
          <w:rFonts w:ascii="Verdana" w:hAnsi="Verdana"/>
          <w:sz w:val="20"/>
        </w:rPr>
      </w:pPr>
    </w:p>
    <w:p w:rsidR="00BE012B" w:rsidRDefault="00BE012B" w:rsidP="00BE012B">
      <w:pPr>
        <w:spacing w:after="0" w:line="240" w:lineRule="auto"/>
        <w:jc w:val="center"/>
        <w:rPr>
          <w:rFonts w:ascii="Verdana" w:hAnsi="Verdana"/>
          <w:sz w:val="20"/>
        </w:rPr>
      </w:pPr>
      <w:r>
        <w:rPr>
          <w:rFonts w:ascii="Verdana" w:hAnsi="Verdana"/>
          <w:sz w:val="20"/>
          <w:lang w:val="es-CR"/>
        </w:rPr>
        <w:t>Roberto F. Caldas</w:t>
      </w:r>
    </w:p>
    <w:p w:rsidR="00BE012B" w:rsidRDefault="00BE012B" w:rsidP="00BE012B">
      <w:pPr>
        <w:spacing w:after="0" w:line="240" w:lineRule="auto"/>
        <w:jc w:val="center"/>
        <w:rPr>
          <w:rFonts w:ascii="Verdana" w:hAnsi="Verdana"/>
          <w:sz w:val="20"/>
        </w:rPr>
      </w:pPr>
      <w:r>
        <w:rPr>
          <w:rFonts w:ascii="Verdana" w:hAnsi="Verdana"/>
          <w:sz w:val="20"/>
        </w:rPr>
        <w:t xml:space="preserve">Presidente </w:t>
      </w:r>
    </w:p>
    <w:p w:rsidR="00BE012B" w:rsidRDefault="00BE012B" w:rsidP="00BE012B">
      <w:pPr>
        <w:spacing w:after="0" w:line="240" w:lineRule="auto"/>
        <w:jc w:val="both"/>
        <w:rPr>
          <w:rFonts w:ascii="Verdana" w:hAnsi="Verdana"/>
          <w:sz w:val="20"/>
        </w:rPr>
      </w:pPr>
    </w:p>
    <w:p w:rsidR="00BE012B" w:rsidRDefault="00BE012B" w:rsidP="00BE012B">
      <w:pPr>
        <w:spacing w:after="0" w:line="240" w:lineRule="auto"/>
        <w:jc w:val="both"/>
        <w:rPr>
          <w:rFonts w:ascii="Verdana" w:hAnsi="Verdana"/>
          <w:sz w:val="20"/>
        </w:rPr>
      </w:pPr>
    </w:p>
    <w:p w:rsidR="00BE012B" w:rsidRDefault="00BE012B" w:rsidP="00BE012B">
      <w:pPr>
        <w:spacing w:after="0" w:line="240" w:lineRule="auto"/>
        <w:jc w:val="both"/>
        <w:rPr>
          <w:rFonts w:ascii="Verdana" w:hAnsi="Verdana"/>
          <w:sz w:val="20"/>
        </w:rPr>
      </w:pPr>
    </w:p>
    <w:p w:rsidR="00BE012B" w:rsidRDefault="00BE012B" w:rsidP="00BE012B">
      <w:pPr>
        <w:spacing w:after="0" w:line="240" w:lineRule="auto"/>
        <w:jc w:val="both"/>
        <w:rPr>
          <w:rFonts w:ascii="Verdana" w:hAnsi="Verdana"/>
          <w:sz w:val="20"/>
        </w:rPr>
      </w:pPr>
    </w:p>
    <w:p w:rsidR="00BE012B" w:rsidRDefault="00BE012B" w:rsidP="00BE012B">
      <w:pPr>
        <w:spacing w:after="0" w:line="240" w:lineRule="auto"/>
        <w:jc w:val="both"/>
        <w:rPr>
          <w:rFonts w:ascii="Verdana" w:hAnsi="Verdana"/>
          <w:sz w:val="20"/>
          <w:lang w:val="es-CR"/>
        </w:rPr>
      </w:pPr>
      <w:r>
        <w:rPr>
          <w:rFonts w:ascii="Verdana" w:hAnsi="Verdana"/>
          <w:sz w:val="20"/>
          <w:lang w:val="es-CR"/>
        </w:rPr>
        <w:t>Eduardo Ferrer Mac-Gregor Poisot</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Eduardo Vio Grossi</w:t>
      </w:r>
    </w:p>
    <w:p w:rsidR="00BE012B" w:rsidRDefault="00BE012B" w:rsidP="00BE012B">
      <w:pPr>
        <w:spacing w:after="0" w:line="240" w:lineRule="auto"/>
        <w:jc w:val="both"/>
        <w:rPr>
          <w:rFonts w:ascii="Verdana" w:hAnsi="Verdana"/>
          <w:sz w:val="20"/>
          <w:lang w:val="es-CR"/>
        </w:rPr>
      </w:pPr>
    </w:p>
    <w:p w:rsidR="00BE012B" w:rsidRDefault="00BE012B" w:rsidP="00BE012B">
      <w:pPr>
        <w:spacing w:after="0" w:line="240" w:lineRule="auto"/>
        <w:jc w:val="both"/>
        <w:rPr>
          <w:rFonts w:ascii="Verdana" w:hAnsi="Verdana"/>
          <w:sz w:val="20"/>
          <w:lang w:val="es-CR"/>
        </w:rPr>
      </w:pPr>
    </w:p>
    <w:p w:rsidR="00BE012B" w:rsidRDefault="00BE012B" w:rsidP="00BE012B">
      <w:pPr>
        <w:spacing w:after="0" w:line="240" w:lineRule="auto"/>
        <w:jc w:val="both"/>
        <w:rPr>
          <w:rFonts w:ascii="Verdana" w:hAnsi="Verdana"/>
          <w:sz w:val="20"/>
          <w:lang w:val="es-CR"/>
        </w:rPr>
      </w:pPr>
    </w:p>
    <w:p w:rsidR="00BE012B" w:rsidRPr="003D7CEE" w:rsidRDefault="00BE012B" w:rsidP="00BE012B">
      <w:pPr>
        <w:spacing w:after="0" w:line="240" w:lineRule="auto"/>
        <w:jc w:val="both"/>
        <w:rPr>
          <w:rFonts w:ascii="Verdana" w:hAnsi="Verdana"/>
          <w:sz w:val="20"/>
          <w:lang w:val="es-CR"/>
        </w:rPr>
      </w:pPr>
      <w:r>
        <w:rPr>
          <w:rFonts w:ascii="Verdana" w:hAnsi="Verdana"/>
          <w:sz w:val="20"/>
          <w:lang w:val="es-CR"/>
        </w:rPr>
        <w:t>Humberto Antonio Sierra Porto</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Elizabeth Odio Benito</w:t>
      </w:r>
    </w:p>
    <w:p w:rsidR="00BE012B" w:rsidRDefault="00BE012B" w:rsidP="00BE012B">
      <w:pPr>
        <w:spacing w:after="0" w:line="240" w:lineRule="auto"/>
        <w:jc w:val="center"/>
        <w:rPr>
          <w:rFonts w:ascii="Verdana" w:hAnsi="Verdana"/>
          <w:sz w:val="20"/>
        </w:rPr>
      </w:pPr>
    </w:p>
    <w:p w:rsidR="00BE012B" w:rsidRDefault="00BE012B" w:rsidP="00BE012B">
      <w:pPr>
        <w:spacing w:after="0" w:line="240" w:lineRule="auto"/>
        <w:jc w:val="center"/>
        <w:rPr>
          <w:rFonts w:ascii="Verdana" w:hAnsi="Verdana"/>
          <w:sz w:val="20"/>
        </w:rPr>
      </w:pPr>
    </w:p>
    <w:p w:rsidR="00BE012B" w:rsidRDefault="00BE012B" w:rsidP="00BE012B">
      <w:pPr>
        <w:spacing w:after="0" w:line="240" w:lineRule="auto"/>
        <w:jc w:val="center"/>
        <w:rPr>
          <w:rFonts w:ascii="Verdana" w:hAnsi="Verdana"/>
          <w:sz w:val="20"/>
        </w:rPr>
      </w:pPr>
    </w:p>
    <w:p w:rsidR="00BE012B" w:rsidRDefault="00BE012B" w:rsidP="00BE012B">
      <w:pPr>
        <w:spacing w:after="0" w:line="240" w:lineRule="auto"/>
        <w:jc w:val="center"/>
        <w:rPr>
          <w:rFonts w:ascii="Verdana" w:hAnsi="Verdana"/>
          <w:sz w:val="20"/>
        </w:rPr>
      </w:pPr>
    </w:p>
    <w:p w:rsidR="00BE012B" w:rsidRDefault="00BE012B" w:rsidP="00BE012B">
      <w:pPr>
        <w:spacing w:after="0" w:line="240" w:lineRule="auto"/>
        <w:rPr>
          <w:rFonts w:ascii="Verdana" w:hAnsi="Verdana"/>
          <w:sz w:val="20"/>
          <w:lang w:val="es-CR"/>
        </w:rPr>
      </w:pPr>
      <w:r>
        <w:rPr>
          <w:rFonts w:ascii="Verdana" w:hAnsi="Verdana"/>
          <w:sz w:val="20"/>
          <w:lang w:val="es-CR"/>
        </w:rPr>
        <w:tab/>
      </w:r>
      <w:r>
        <w:rPr>
          <w:rFonts w:ascii="Verdana" w:hAnsi="Verdana"/>
          <w:sz w:val="20"/>
          <w:lang w:val="es-CR"/>
        </w:rPr>
        <w:tab/>
      </w:r>
    </w:p>
    <w:p w:rsidR="00BE012B" w:rsidRDefault="00BE012B" w:rsidP="00BE012B">
      <w:pPr>
        <w:spacing w:after="0" w:line="240" w:lineRule="auto"/>
        <w:rPr>
          <w:rFonts w:ascii="Verdana" w:hAnsi="Verdana"/>
          <w:sz w:val="20"/>
          <w:lang w:val="es-CR"/>
        </w:rPr>
      </w:pPr>
      <w:r>
        <w:rPr>
          <w:rFonts w:ascii="Verdana" w:hAnsi="Verdana"/>
          <w:sz w:val="20"/>
          <w:lang w:val="es-CR"/>
        </w:rPr>
        <w:t>Eugenio Raúl Zaffaroni</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L. Patricio Pazmiño Freire</w:t>
      </w:r>
    </w:p>
    <w:p w:rsidR="00BE012B" w:rsidRDefault="00BE012B" w:rsidP="00BE012B">
      <w:pPr>
        <w:spacing w:after="0" w:line="240" w:lineRule="auto"/>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p>
    <w:p w:rsidR="00BE012B" w:rsidRDefault="00BE012B" w:rsidP="00BE012B">
      <w:pPr>
        <w:spacing w:after="0" w:line="240" w:lineRule="auto"/>
        <w:rPr>
          <w:rFonts w:ascii="Verdana" w:hAnsi="Verdana"/>
          <w:sz w:val="20"/>
          <w:lang w:val="es-CR"/>
        </w:rPr>
      </w:pPr>
    </w:p>
    <w:p w:rsidR="00BE012B" w:rsidRDefault="00BE012B" w:rsidP="00BE012B">
      <w:pPr>
        <w:tabs>
          <w:tab w:val="left" w:pos="8460"/>
          <w:tab w:val="left" w:pos="8640"/>
        </w:tabs>
        <w:spacing w:after="0" w:line="240" w:lineRule="auto"/>
        <w:jc w:val="both"/>
        <w:rPr>
          <w:rFonts w:ascii="Verdana" w:hAnsi="Verdana"/>
          <w:sz w:val="20"/>
          <w:lang w:val="es-CR"/>
        </w:rPr>
      </w:pPr>
    </w:p>
    <w:p w:rsidR="00BE012B" w:rsidRPr="00274D2F" w:rsidRDefault="00BE012B" w:rsidP="00BE012B">
      <w:pPr>
        <w:tabs>
          <w:tab w:val="left" w:pos="8460"/>
          <w:tab w:val="left" w:pos="8640"/>
        </w:tabs>
        <w:spacing w:after="0" w:line="240" w:lineRule="auto"/>
        <w:jc w:val="both"/>
        <w:rPr>
          <w:rFonts w:ascii="Verdana" w:hAnsi="Verdana"/>
          <w:sz w:val="20"/>
          <w:lang w:val="es-CR"/>
        </w:rPr>
      </w:pPr>
    </w:p>
    <w:p w:rsidR="00BE012B" w:rsidRDefault="00BE012B" w:rsidP="00BE012B">
      <w:pPr>
        <w:tabs>
          <w:tab w:val="left" w:pos="8460"/>
          <w:tab w:val="left" w:pos="8640"/>
        </w:tabs>
        <w:spacing w:after="0" w:line="240" w:lineRule="auto"/>
        <w:jc w:val="center"/>
        <w:rPr>
          <w:rFonts w:ascii="Verdana" w:hAnsi="Verdana"/>
          <w:sz w:val="20"/>
        </w:rPr>
      </w:pPr>
      <w:r>
        <w:rPr>
          <w:rFonts w:ascii="Verdana" w:hAnsi="Verdana"/>
          <w:sz w:val="20"/>
        </w:rPr>
        <w:t>Pablo Saavedra Alessandri</w:t>
      </w:r>
    </w:p>
    <w:p w:rsidR="00BE012B" w:rsidRDefault="00BE012B" w:rsidP="00BE012B">
      <w:pPr>
        <w:tabs>
          <w:tab w:val="left" w:pos="8460"/>
          <w:tab w:val="left" w:pos="8640"/>
        </w:tabs>
        <w:spacing w:after="0" w:line="240" w:lineRule="auto"/>
        <w:jc w:val="center"/>
        <w:rPr>
          <w:rFonts w:ascii="Verdana" w:hAnsi="Verdana"/>
          <w:sz w:val="20"/>
        </w:rPr>
      </w:pPr>
      <w:r>
        <w:rPr>
          <w:rFonts w:ascii="Verdana" w:hAnsi="Verdana"/>
          <w:sz w:val="20"/>
        </w:rPr>
        <w:t>Secretario</w:t>
      </w:r>
    </w:p>
    <w:p w:rsidR="00BE012B" w:rsidRDefault="00BE012B" w:rsidP="00BE012B">
      <w:pPr>
        <w:tabs>
          <w:tab w:val="left" w:pos="8460"/>
          <w:tab w:val="left" w:pos="8640"/>
        </w:tabs>
        <w:spacing w:after="0" w:line="240" w:lineRule="auto"/>
        <w:jc w:val="both"/>
        <w:rPr>
          <w:rFonts w:ascii="Verdana" w:hAnsi="Verdana"/>
          <w:sz w:val="20"/>
        </w:rPr>
      </w:pPr>
    </w:p>
    <w:p w:rsidR="00BE012B" w:rsidRDefault="00BE012B" w:rsidP="00BE012B">
      <w:pPr>
        <w:spacing w:after="0" w:line="240" w:lineRule="auto"/>
        <w:jc w:val="both"/>
        <w:rPr>
          <w:rFonts w:ascii="Verdana" w:hAnsi="Verdana"/>
          <w:sz w:val="20"/>
        </w:rPr>
      </w:pPr>
    </w:p>
    <w:p w:rsidR="00BE012B" w:rsidRDefault="00BE012B" w:rsidP="00BE012B">
      <w:pPr>
        <w:tabs>
          <w:tab w:val="left" w:pos="8460"/>
          <w:tab w:val="left" w:pos="8640"/>
        </w:tabs>
        <w:spacing w:after="0" w:line="240" w:lineRule="auto"/>
        <w:jc w:val="both"/>
        <w:rPr>
          <w:rFonts w:ascii="Verdana" w:hAnsi="Verdana"/>
          <w:sz w:val="20"/>
        </w:rPr>
      </w:pPr>
      <w:r>
        <w:rPr>
          <w:rFonts w:ascii="Verdana" w:hAnsi="Verdana"/>
          <w:sz w:val="20"/>
        </w:rPr>
        <w:t>Comuníquese y ejecútese,</w:t>
      </w:r>
    </w:p>
    <w:p w:rsidR="00BE012B" w:rsidRDefault="00BE012B" w:rsidP="00BE012B">
      <w:pPr>
        <w:tabs>
          <w:tab w:val="left" w:pos="8460"/>
          <w:tab w:val="left" w:pos="8640"/>
        </w:tabs>
        <w:spacing w:after="0" w:line="240" w:lineRule="auto"/>
        <w:jc w:val="both"/>
        <w:rPr>
          <w:rFonts w:ascii="Verdana" w:hAnsi="Verdana"/>
          <w:sz w:val="20"/>
        </w:rPr>
      </w:pPr>
    </w:p>
    <w:p w:rsidR="00BE012B" w:rsidRDefault="00BE012B" w:rsidP="00BE012B">
      <w:pPr>
        <w:tabs>
          <w:tab w:val="left" w:pos="8460"/>
          <w:tab w:val="left" w:pos="8640"/>
        </w:tabs>
        <w:spacing w:after="0" w:line="240" w:lineRule="auto"/>
        <w:jc w:val="both"/>
        <w:rPr>
          <w:rFonts w:ascii="Verdana" w:hAnsi="Verdana"/>
          <w:sz w:val="20"/>
        </w:rPr>
      </w:pPr>
    </w:p>
    <w:p w:rsidR="00BE012B" w:rsidRDefault="00BE012B" w:rsidP="00BE012B">
      <w:pPr>
        <w:tabs>
          <w:tab w:val="left" w:pos="8460"/>
          <w:tab w:val="left" w:pos="8640"/>
        </w:tabs>
        <w:spacing w:after="0" w:line="240" w:lineRule="auto"/>
        <w:jc w:val="both"/>
        <w:rPr>
          <w:rFonts w:ascii="Verdana" w:hAnsi="Verdana"/>
          <w:sz w:val="20"/>
        </w:rPr>
      </w:pPr>
    </w:p>
    <w:p w:rsidR="00BE012B" w:rsidRDefault="00BE012B" w:rsidP="00BE012B">
      <w:pPr>
        <w:tabs>
          <w:tab w:val="left" w:pos="8460"/>
          <w:tab w:val="left" w:pos="8640"/>
        </w:tabs>
        <w:spacing w:after="0" w:line="240" w:lineRule="auto"/>
        <w:jc w:val="both"/>
        <w:rPr>
          <w:rFonts w:ascii="Verdana" w:hAnsi="Verdana"/>
          <w:sz w:val="20"/>
        </w:rPr>
      </w:pPr>
    </w:p>
    <w:p w:rsidR="00BE012B" w:rsidRDefault="00BE012B" w:rsidP="00BE012B">
      <w:pPr>
        <w:spacing w:after="0" w:line="240" w:lineRule="auto"/>
        <w:ind w:firstLine="720"/>
        <w:jc w:val="right"/>
        <w:rPr>
          <w:rFonts w:ascii="Verdana" w:hAnsi="Verdana"/>
          <w:sz w:val="20"/>
        </w:rPr>
      </w:pPr>
      <w:r>
        <w:rPr>
          <w:rFonts w:ascii="Verdana" w:hAnsi="Verdana"/>
          <w:sz w:val="20"/>
          <w:lang w:val="es-CR"/>
        </w:rPr>
        <w:t xml:space="preserve">                  Roberto F. Caldas</w:t>
      </w:r>
    </w:p>
    <w:p w:rsidR="00BE012B" w:rsidRDefault="00BE012B" w:rsidP="00BE012B">
      <w:pPr>
        <w:spacing w:after="0" w:line="240" w:lineRule="auto"/>
        <w:ind w:right="360"/>
        <w:jc w:val="right"/>
        <w:rPr>
          <w:rFonts w:ascii="Verdana" w:hAnsi="Verdana"/>
          <w:sz w:val="20"/>
        </w:rPr>
      </w:pPr>
      <w:r>
        <w:rPr>
          <w:rFonts w:ascii="Verdana" w:hAnsi="Verdana"/>
          <w:sz w:val="20"/>
        </w:rPr>
        <w:t xml:space="preserve">Presidente </w:t>
      </w:r>
    </w:p>
    <w:p w:rsidR="00BE012B" w:rsidRDefault="00BE012B" w:rsidP="00BE012B">
      <w:pPr>
        <w:tabs>
          <w:tab w:val="left" w:pos="8460"/>
          <w:tab w:val="left" w:pos="8640"/>
        </w:tabs>
        <w:spacing w:after="0" w:line="240" w:lineRule="auto"/>
        <w:jc w:val="both"/>
        <w:rPr>
          <w:rFonts w:ascii="Verdana" w:hAnsi="Verdana"/>
          <w:sz w:val="20"/>
        </w:rPr>
      </w:pPr>
    </w:p>
    <w:p w:rsidR="00BE012B" w:rsidRDefault="00BE012B" w:rsidP="00BE012B">
      <w:pPr>
        <w:tabs>
          <w:tab w:val="left" w:pos="8460"/>
          <w:tab w:val="left" w:pos="8640"/>
        </w:tabs>
        <w:spacing w:after="0" w:line="240" w:lineRule="auto"/>
        <w:jc w:val="both"/>
        <w:rPr>
          <w:rFonts w:ascii="Verdana" w:hAnsi="Verdana"/>
          <w:sz w:val="20"/>
        </w:rPr>
      </w:pPr>
    </w:p>
    <w:p w:rsidR="00BE012B" w:rsidRDefault="00BE012B" w:rsidP="00BE012B">
      <w:pPr>
        <w:tabs>
          <w:tab w:val="left" w:pos="8460"/>
          <w:tab w:val="left" w:pos="8640"/>
        </w:tabs>
        <w:spacing w:after="0" w:line="240" w:lineRule="auto"/>
        <w:jc w:val="both"/>
        <w:rPr>
          <w:rFonts w:ascii="Verdana" w:hAnsi="Verdana"/>
          <w:sz w:val="20"/>
        </w:rPr>
      </w:pPr>
      <w:r>
        <w:rPr>
          <w:rFonts w:ascii="Verdana" w:hAnsi="Verdana"/>
          <w:sz w:val="20"/>
        </w:rPr>
        <w:t>Pablo Saavedra Alessandri</w:t>
      </w:r>
    </w:p>
    <w:p w:rsidR="00BE012B" w:rsidRDefault="00BE012B" w:rsidP="00BE012B">
      <w:pPr>
        <w:tabs>
          <w:tab w:val="left" w:pos="8640"/>
        </w:tabs>
        <w:spacing w:after="0" w:line="240" w:lineRule="auto"/>
        <w:ind w:left="720"/>
        <w:rPr>
          <w:rFonts w:ascii="Verdana" w:hAnsi="Verdana"/>
          <w:sz w:val="20"/>
        </w:rPr>
      </w:pPr>
      <w:r>
        <w:rPr>
          <w:rFonts w:ascii="Verdana" w:hAnsi="Verdana"/>
          <w:sz w:val="20"/>
        </w:rPr>
        <w:t xml:space="preserve">  Secretario</w:t>
      </w:r>
    </w:p>
    <w:p w:rsidR="00BE012B" w:rsidRDefault="00BE012B" w:rsidP="007E4738">
      <w:pPr>
        <w:pStyle w:val="ListParagraph"/>
        <w:autoSpaceDE w:val="0"/>
        <w:autoSpaceDN w:val="0"/>
        <w:ind w:left="1080"/>
        <w:jc w:val="both"/>
        <w:rPr>
          <w:rFonts w:ascii="Verdana" w:hAnsi="Verdana" w:cs="Verdana"/>
          <w:lang w:eastAsia="es-MX"/>
        </w:rPr>
      </w:pPr>
    </w:p>
    <w:p w:rsidR="007E4738" w:rsidRPr="00131A22" w:rsidRDefault="007E4738" w:rsidP="007E4738">
      <w:pPr>
        <w:pStyle w:val="ListParagraph"/>
        <w:autoSpaceDE w:val="0"/>
        <w:autoSpaceDN w:val="0"/>
        <w:ind w:left="1080"/>
        <w:jc w:val="both"/>
        <w:rPr>
          <w:rFonts w:ascii="Verdana" w:hAnsi="Verdana" w:cs="Verdana"/>
          <w:lang w:eastAsia="es-MX"/>
        </w:rPr>
      </w:pPr>
    </w:p>
    <w:sectPr w:rsidR="007E4738" w:rsidRPr="00131A22" w:rsidSect="009B010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7E5" w:rsidRDefault="008A37E5" w:rsidP="007C3C32">
      <w:pPr>
        <w:spacing w:after="0" w:line="240" w:lineRule="auto"/>
      </w:pPr>
      <w:r>
        <w:separator/>
      </w:r>
    </w:p>
  </w:endnote>
  <w:endnote w:type="continuationSeparator" w:id="0">
    <w:p w:rsidR="008A37E5" w:rsidRDefault="008A37E5" w:rsidP="007C3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Verdana Bold">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7E5" w:rsidRDefault="008A37E5" w:rsidP="007C3C32">
      <w:pPr>
        <w:spacing w:after="0" w:line="240" w:lineRule="auto"/>
      </w:pPr>
      <w:r>
        <w:separator/>
      </w:r>
    </w:p>
  </w:footnote>
  <w:footnote w:type="continuationSeparator" w:id="0">
    <w:p w:rsidR="008A37E5" w:rsidRDefault="008A37E5" w:rsidP="007C3C32">
      <w:pPr>
        <w:spacing w:after="0" w:line="240" w:lineRule="auto"/>
      </w:pPr>
      <w:r>
        <w:continuationSeparator/>
      </w:r>
    </w:p>
  </w:footnote>
  <w:footnote w:id="1">
    <w:p w:rsidR="007D3AAE" w:rsidRPr="004409DD" w:rsidRDefault="007D3AAE" w:rsidP="00A523AF">
      <w:pPr>
        <w:pStyle w:val="Textonotapie"/>
        <w:spacing w:after="0" w:line="240" w:lineRule="auto"/>
        <w:contextualSpacing/>
        <w:jc w:val="both"/>
        <w:rPr>
          <w:rFonts w:ascii="Verdana" w:hAnsi="Verdana" w:cs="Arial"/>
          <w:sz w:val="16"/>
          <w:szCs w:val="16"/>
          <w:lang w:val="es-CR"/>
        </w:rPr>
      </w:pPr>
      <w:r w:rsidRPr="00A523AF">
        <w:rPr>
          <w:rStyle w:val="Refdenotaalpie"/>
          <w:rFonts w:ascii="Verdana" w:hAnsi="Verdana" w:cs="Arial"/>
          <w:sz w:val="16"/>
          <w:szCs w:val="16"/>
        </w:rPr>
        <w:footnoteRef/>
      </w:r>
      <w:r w:rsidRPr="00A523AF">
        <w:rPr>
          <w:rFonts w:ascii="Verdana" w:hAnsi="Verdana" w:cs="Arial"/>
          <w:sz w:val="16"/>
          <w:szCs w:val="16"/>
        </w:rPr>
        <w:t xml:space="preserve"> </w:t>
      </w:r>
      <w:r w:rsidRPr="00A523AF">
        <w:rPr>
          <w:rFonts w:ascii="Verdana" w:hAnsi="Verdana" w:cs="Arial"/>
          <w:sz w:val="16"/>
          <w:szCs w:val="16"/>
        </w:rPr>
        <w:tab/>
      </w:r>
      <w:r w:rsidRPr="00A523AF">
        <w:rPr>
          <w:rFonts w:ascii="Verdana" w:hAnsi="Verdana" w:cs="Arial"/>
          <w:i/>
          <w:iCs/>
          <w:sz w:val="16"/>
          <w:szCs w:val="16"/>
          <w:lang w:val="es-ES"/>
        </w:rPr>
        <w:t xml:space="preserve">Cfr. Asunto James y otros. </w:t>
      </w:r>
      <w:r w:rsidRPr="00A523AF">
        <w:rPr>
          <w:rFonts w:ascii="Verdana" w:hAnsi="Verdana" w:cs="Arial"/>
          <w:sz w:val="16"/>
          <w:szCs w:val="16"/>
          <w:lang w:val="es-ES"/>
        </w:rPr>
        <w:t xml:space="preserve">Medidas Provisionales respecto de Trinidad y Tobago. </w:t>
      </w:r>
      <w:r w:rsidRPr="00A523AF">
        <w:rPr>
          <w:rFonts w:ascii="Verdana" w:hAnsi="Verdana" w:cs="Arial"/>
          <w:color w:val="000000"/>
          <w:sz w:val="16"/>
          <w:szCs w:val="16"/>
        </w:rPr>
        <w:t>Resolución de la Corte Interamericana de Derechos Humanos</w:t>
      </w:r>
      <w:r w:rsidRPr="00A523AF">
        <w:rPr>
          <w:rFonts w:ascii="Verdana" w:hAnsi="Verdana" w:cs="Arial"/>
          <w:sz w:val="16"/>
          <w:szCs w:val="16"/>
          <w:lang w:val="es-ES"/>
        </w:rPr>
        <w:t xml:space="preserve"> de 14 de junio de 1998, considerando 6, y </w:t>
      </w:r>
      <w:r w:rsidRPr="00A523AF">
        <w:rPr>
          <w:rFonts w:ascii="Verdana" w:hAnsi="Verdana" w:cs="Arial"/>
          <w:i/>
          <w:sz w:val="16"/>
          <w:szCs w:val="16"/>
          <w:lang w:val="es-ES"/>
        </w:rPr>
        <w:t>Asunto Pobladores de las Com</w:t>
      </w:r>
      <w:r>
        <w:rPr>
          <w:rFonts w:ascii="Verdana" w:hAnsi="Verdana" w:cs="Arial"/>
          <w:i/>
          <w:sz w:val="16"/>
          <w:szCs w:val="16"/>
          <w:lang w:val="es-ES"/>
        </w:rPr>
        <w:t>unidades del Pueblo Indígena Miskitu</w:t>
      </w:r>
      <w:r w:rsidRPr="00A523AF">
        <w:rPr>
          <w:rFonts w:ascii="Verdana" w:hAnsi="Verdana" w:cs="Arial"/>
          <w:i/>
          <w:sz w:val="16"/>
          <w:szCs w:val="16"/>
          <w:lang w:val="es-ES"/>
        </w:rPr>
        <w:t xml:space="preserve"> de la Región Costa Caribe Norte</w:t>
      </w:r>
      <w:r w:rsidRPr="00A523AF">
        <w:rPr>
          <w:rFonts w:ascii="Verdana" w:hAnsi="Verdana" w:cs="Arial"/>
          <w:sz w:val="16"/>
          <w:szCs w:val="16"/>
          <w:lang w:val="es-ES"/>
        </w:rPr>
        <w:t>.</w:t>
      </w:r>
      <w:r w:rsidRPr="004409DD">
        <w:rPr>
          <w:rFonts w:ascii="Verdana" w:hAnsi="Verdana" w:cs="Arial"/>
          <w:sz w:val="16"/>
          <w:szCs w:val="16"/>
          <w:lang w:val="es-ES"/>
        </w:rPr>
        <w:t xml:space="preserve"> </w:t>
      </w:r>
      <w:r w:rsidRPr="00BF56FB">
        <w:rPr>
          <w:rFonts w:ascii="Verdana" w:hAnsi="Verdana" w:cs="Arial"/>
          <w:i/>
          <w:sz w:val="16"/>
          <w:szCs w:val="16"/>
          <w:lang w:val="es-ES"/>
        </w:rPr>
        <w:t>Medidas Provisionales respecto de Nicaragua.</w:t>
      </w:r>
      <w:r w:rsidRPr="00A523AF">
        <w:rPr>
          <w:rFonts w:ascii="Verdana" w:hAnsi="Verdana" w:cs="Arial"/>
          <w:sz w:val="16"/>
          <w:szCs w:val="16"/>
          <w:lang w:val="es-ES"/>
        </w:rPr>
        <w:t xml:space="preserve"> Resolución de la Corte Interam</w:t>
      </w:r>
      <w:r>
        <w:rPr>
          <w:rFonts w:ascii="Verdana" w:hAnsi="Verdana" w:cs="Arial"/>
          <w:sz w:val="16"/>
          <w:szCs w:val="16"/>
          <w:lang w:val="es-ES"/>
        </w:rPr>
        <w:t>ericana de Derechos Humanos de 23 de noviembre</w:t>
      </w:r>
      <w:r w:rsidRPr="00A523AF">
        <w:rPr>
          <w:rFonts w:ascii="Verdana" w:hAnsi="Verdana" w:cs="Arial"/>
          <w:sz w:val="16"/>
          <w:szCs w:val="16"/>
          <w:lang w:val="es-ES"/>
        </w:rPr>
        <w:t xml:space="preserve"> de 2016, Consideran</w:t>
      </w:r>
      <w:r>
        <w:rPr>
          <w:rFonts w:ascii="Verdana" w:hAnsi="Verdana" w:cs="Arial"/>
          <w:sz w:val="16"/>
          <w:szCs w:val="16"/>
          <w:lang w:val="es-ES"/>
        </w:rPr>
        <w:t>do 2.</w:t>
      </w:r>
    </w:p>
  </w:footnote>
  <w:footnote w:id="2">
    <w:p w:rsidR="007D3AAE" w:rsidRPr="00A523AF" w:rsidRDefault="007D3AAE" w:rsidP="00A523AF">
      <w:pPr>
        <w:pStyle w:val="Textonotapie"/>
        <w:spacing w:after="0" w:line="240" w:lineRule="auto"/>
        <w:jc w:val="both"/>
        <w:rPr>
          <w:rFonts w:ascii="Verdana" w:hAnsi="Verdana" w:cs="Arial"/>
          <w:sz w:val="16"/>
          <w:szCs w:val="16"/>
          <w:lang w:val="es-CR"/>
        </w:rPr>
      </w:pPr>
      <w:r w:rsidRPr="00A523AF">
        <w:rPr>
          <w:rStyle w:val="Refdenotaalpie"/>
          <w:rFonts w:ascii="Verdana" w:hAnsi="Verdana" w:cs="Arial"/>
          <w:sz w:val="16"/>
          <w:szCs w:val="16"/>
        </w:rPr>
        <w:footnoteRef/>
      </w:r>
      <w:r w:rsidRPr="00A523AF">
        <w:rPr>
          <w:rFonts w:ascii="Verdana" w:hAnsi="Verdana" w:cs="Arial"/>
          <w:sz w:val="16"/>
          <w:szCs w:val="16"/>
        </w:rPr>
        <w:t xml:space="preserve"> </w:t>
      </w:r>
      <w:r w:rsidRPr="00A523AF">
        <w:rPr>
          <w:rFonts w:ascii="Verdana" w:hAnsi="Verdana" w:cs="Arial"/>
          <w:sz w:val="16"/>
          <w:szCs w:val="16"/>
        </w:rPr>
        <w:tab/>
      </w:r>
      <w:r w:rsidRPr="00A523AF">
        <w:rPr>
          <w:rFonts w:ascii="Verdana" w:hAnsi="Verdana" w:cs="Arial"/>
          <w:i/>
          <w:iCs/>
          <w:sz w:val="16"/>
          <w:szCs w:val="16"/>
        </w:rPr>
        <w:t xml:space="preserve">Cfr. Asunto Clemente Teherán y otros (Comunidad Indígena Zenú). Medidas Provisionales respecto de Colombia. </w:t>
      </w:r>
      <w:r w:rsidRPr="00A523AF">
        <w:rPr>
          <w:rFonts w:ascii="Verdana" w:hAnsi="Verdana" w:cs="Arial"/>
          <w:sz w:val="16"/>
          <w:szCs w:val="16"/>
        </w:rPr>
        <w:t>Resolución de la Corte Interamericana de Derechos Humanos de 1 de diciembre de 2003, C</w:t>
      </w:r>
      <w:r w:rsidRPr="004409DD">
        <w:rPr>
          <w:rFonts w:ascii="Verdana" w:hAnsi="Verdana" w:cs="Arial"/>
          <w:sz w:val="16"/>
          <w:szCs w:val="16"/>
        </w:rPr>
        <w:t xml:space="preserve">onsiderando 3, y </w:t>
      </w:r>
      <w:r w:rsidRPr="009B0105">
        <w:rPr>
          <w:rFonts w:ascii="Verdana" w:hAnsi="Verdana"/>
          <w:i/>
          <w:iCs/>
          <w:sz w:val="16"/>
          <w:szCs w:val="16"/>
        </w:rPr>
        <w:t>Caso Rosendo Cantú y otra. Medidas Provisionales respecto de México</w:t>
      </w:r>
      <w:r w:rsidRPr="009B0105">
        <w:rPr>
          <w:rFonts w:ascii="Verdana" w:hAnsi="Verdana"/>
          <w:sz w:val="16"/>
          <w:szCs w:val="16"/>
        </w:rPr>
        <w:t>. Resolución de la Corte del 23 de junio de 2015, Considerando 30.</w:t>
      </w:r>
    </w:p>
  </w:footnote>
  <w:footnote w:id="3">
    <w:p w:rsidR="007D3AAE" w:rsidRPr="00A523AF" w:rsidRDefault="007D3AAE" w:rsidP="009B0105">
      <w:pPr>
        <w:pStyle w:val="Textonotapie"/>
        <w:spacing w:after="0" w:line="240" w:lineRule="auto"/>
        <w:contextualSpacing/>
        <w:jc w:val="both"/>
        <w:rPr>
          <w:rFonts w:ascii="Verdana" w:hAnsi="Verdana" w:cs="Arial"/>
          <w:sz w:val="16"/>
          <w:szCs w:val="16"/>
          <w:lang w:val="es-CR"/>
        </w:rPr>
      </w:pPr>
      <w:r w:rsidRPr="00A523AF">
        <w:rPr>
          <w:rStyle w:val="Refdenotaalpie"/>
          <w:rFonts w:ascii="Verdana" w:hAnsi="Verdana" w:cs="Arial"/>
          <w:sz w:val="16"/>
          <w:szCs w:val="16"/>
        </w:rPr>
        <w:footnoteRef/>
      </w:r>
      <w:r w:rsidRPr="00A523AF">
        <w:rPr>
          <w:rFonts w:ascii="Verdana" w:hAnsi="Verdana" w:cs="Arial"/>
          <w:sz w:val="16"/>
          <w:szCs w:val="16"/>
        </w:rPr>
        <w:t xml:space="preserve"> </w:t>
      </w:r>
      <w:r w:rsidRPr="00A523AF">
        <w:rPr>
          <w:rFonts w:ascii="Verdana" w:hAnsi="Verdana" w:cs="Arial"/>
          <w:sz w:val="16"/>
          <w:szCs w:val="16"/>
        </w:rPr>
        <w:tab/>
      </w:r>
      <w:r w:rsidRPr="00A523AF">
        <w:rPr>
          <w:rFonts w:ascii="Verdana" w:hAnsi="Verdana" w:cs="Arial"/>
          <w:i/>
          <w:iCs/>
          <w:sz w:val="16"/>
          <w:szCs w:val="16"/>
        </w:rPr>
        <w:t xml:space="preserve">Cfr. Asunto James y otros. Medidas Provisionales respecto de Trinidad y Tobago. </w:t>
      </w:r>
      <w:r w:rsidRPr="00A523AF">
        <w:rPr>
          <w:rFonts w:ascii="Verdana" w:hAnsi="Verdana" w:cs="Arial"/>
          <w:sz w:val="16"/>
          <w:szCs w:val="16"/>
        </w:rPr>
        <w:t xml:space="preserve">Resolución de la Corte Interamericana de Derechos Humanos de 29 de agosto de 1998, Considerando </w:t>
      </w:r>
      <w:r w:rsidRPr="004409DD">
        <w:rPr>
          <w:rFonts w:ascii="Verdana" w:hAnsi="Verdana" w:cs="Arial"/>
          <w:sz w:val="16"/>
          <w:szCs w:val="16"/>
        </w:rPr>
        <w:t>6</w:t>
      </w:r>
      <w:r w:rsidRPr="004409DD">
        <w:rPr>
          <w:rFonts w:ascii="Verdana" w:hAnsi="Verdana" w:cs="Arial"/>
          <w:i/>
          <w:iCs/>
          <w:sz w:val="16"/>
          <w:szCs w:val="16"/>
        </w:rPr>
        <w:t xml:space="preserve">, </w:t>
      </w:r>
      <w:r w:rsidRPr="004409DD">
        <w:rPr>
          <w:rFonts w:ascii="Verdana" w:hAnsi="Verdana" w:cs="Arial"/>
          <w:sz w:val="16"/>
          <w:szCs w:val="16"/>
        </w:rPr>
        <w:t xml:space="preserve">y </w:t>
      </w:r>
      <w:r w:rsidRPr="004409DD">
        <w:rPr>
          <w:rFonts w:ascii="Verdana" w:hAnsi="Verdana" w:cs="Arial"/>
          <w:i/>
          <w:iCs/>
          <w:sz w:val="16"/>
          <w:szCs w:val="16"/>
        </w:rPr>
        <w:t>Asunto</w:t>
      </w:r>
      <w:r w:rsidRPr="009B0105">
        <w:rPr>
          <w:rFonts w:ascii="Verdana" w:hAnsi="Verdana" w:cs="Arial"/>
          <w:i/>
          <w:iCs/>
          <w:sz w:val="16"/>
          <w:szCs w:val="16"/>
        </w:rPr>
        <w:t xml:space="preserve"> </w:t>
      </w:r>
      <w:r w:rsidRPr="009B0105">
        <w:rPr>
          <w:rFonts w:ascii="Verdana" w:hAnsi="Verdana"/>
          <w:i/>
          <w:sz w:val="16"/>
          <w:szCs w:val="16"/>
        </w:rPr>
        <w:t>Fernández Ortega y otros. Medidas Provisionales respecto de México</w:t>
      </w:r>
      <w:r w:rsidRPr="009B0105">
        <w:rPr>
          <w:rFonts w:ascii="Verdana" w:hAnsi="Verdana"/>
          <w:sz w:val="16"/>
          <w:szCs w:val="16"/>
        </w:rPr>
        <w:t xml:space="preserve"> </w:t>
      </w:r>
      <w:r w:rsidRPr="00A523AF">
        <w:rPr>
          <w:rFonts w:ascii="Verdana" w:hAnsi="Verdana" w:cs="Arial"/>
          <w:sz w:val="16"/>
          <w:szCs w:val="16"/>
        </w:rPr>
        <w:t xml:space="preserve">Resolución de la Corte Interamericana de Derechos Humanos de </w:t>
      </w:r>
      <w:r w:rsidRPr="009B0105">
        <w:rPr>
          <w:rFonts w:ascii="Verdana" w:hAnsi="Verdana" w:cs="Arial"/>
          <w:sz w:val="16"/>
          <w:szCs w:val="16"/>
        </w:rPr>
        <w:t>23</w:t>
      </w:r>
      <w:r w:rsidRPr="00A523AF">
        <w:rPr>
          <w:rFonts w:ascii="Verdana" w:hAnsi="Verdana" w:cs="Arial"/>
          <w:sz w:val="16"/>
          <w:szCs w:val="16"/>
        </w:rPr>
        <w:t xml:space="preserve"> de febrero de 201</w:t>
      </w:r>
      <w:r w:rsidRPr="009B0105">
        <w:rPr>
          <w:rFonts w:ascii="Verdana" w:hAnsi="Verdana" w:cs="Arial"/>
          <w:sz w:val="16"/>
          <w:szCs w:val="16"/>
        </w:rPr>
        <w:t>6</w:t>
      </w:r>
      <w:r w:rsidRPr="00A523AF">
        <w:rPr>
          <w:rFonts w:ascii="Verdana" w:hAnsi="Verdana" w:cs="Arial"/>
          <w:sz w:val="16"/>
          <w:szCs w:val="16"/>
        </w:rPr>
        <w:t xml:space="preserve">, Considerando </w:t>
      </w:r>
      <w:r w:rsidRPr="009B0105">
        <w:rPr>
          <w:rFonts w:ascii="Verdana" w:hAnsi="Verdana" w:cs="Arial"/>
          <w:sz w:val="16"/>
          <w:szCs w:val="16"/>
        </w:rPr>
        <w:t>2</w:t>
      </w:r>
      <w:r w:rsidR="002F1C58">
        <w:rPr>
          <w:rFonts w:ascii="Verdana" w:hAnsi="Verdana" w:cs="Arial"/>
          <w:sz w:val="16"/>
          <w:szCs w:val="16"/>
        </w:rPr>
        <w:t>.</w:t>
      </w:r>
    </w:p>
  </w:footnote>
  <w:footnote w:id="4">
    <w:p w:rsidR="007D3AAE" w:rsidRPr="004409DD" w:rsidRDefault="007D3AAE" w:rsidP="00A523AF">
      <w:pPr>
        <w:pStyle w:val="Textonotapie"/>
        <w:spacing w:after="0" w:line="240" w:lineRule="auto"/>
        <w:jc w:val="both"/>
        <w:rPr>
          <w:rFonts w:ascii="Verdana" w:hAnsi="Verdana" w:cs="Arial"/>
          <w:sz w:val="16"/>
          <w:szCs w:val="16"/>
          <w:lang w:val="es-CR"/>
        </w:rPr>
      </w:pPr>
      <w:r w:rsidRPr="00A523AF">
        <w:rPr>
          <w:rStyle w:val="Refdenotaalpie"/>
          <w:rFonts w:ascii="Verdana" w:hAnsi="Verdana" w:cs="Arial"/>
          <w:sz w:val="16"/>
          <w:szCs w:val="16"/>
        </w:rPr>
        <w:footnoteRef/>
      </w:r>
      <w:r w:rsidRPr="00A523AF">
        <w:rPr>
          <w:rFonts w:ascii="Verdana" w:hAnsi="Verdana" w:cs="Arial"/>
          <w:sz w:val="16"/>
          <w:szCs w:val="16"/>
        </w:rPr>
        <w:t xml:space="preserve"> </w:t>
      </w:r>
      <w:r w:rsidRPr="00A523AF">
        <w:rPr>
          <w:rFonts w:ascii="Verdana" w:hAnsi="Verdana" w:cs="Arial"/>
          <w:sz w:val="16"/>
          <w:szCs w:val="16"/>
        </w:rPr>
        <w:tab/>
        <w:t xml:space="preserve">Cfr. </w:t>
      </w:r>
      <w:r w:rsidRPr="00A523AF">
        <w:rPr>
          <w:rFonts w:ascii="Verdana" w:hAnsi="Verdana" w:cs="Arial"/>
          <w:i/>
          <w:sz w:val="16"/>
          <w:szCs w:val="16"/>
        </w:rPr>
        <w:t>Asunto Gladys Lanza Ochoa. Medidas Provisionales respecto de Honduras.</w:t>
      </w:r>
      <w:r w:rsidRPr="00A523AF">
        <w:rPr>
          <w:rFonts w:ascii="Verdana" w:hAnsi="Verdana" w:cs="Arial"/>
          <w:sz w:val="16"/>
          <w:szCs w:val="16"/>
        </w:rPr>
        <w:t xml:space="preserve"> Resolución de la Corte Interamericana de Derechos Humanos de 2 de septiembre de 2010, Considerando 15</w:t>
      </w:r>
      <w:r w:rsidRPr="004409DD">
        <w:rPr>
          <w:rFonts w:ascii="Verdana" w:hAnsi="Verdana" w:cs="Arial"/>
          <w:sz w:val="16"/>
          <w:szCs w:val="16"/>
        </w:rPr>
        <w:t xml:space="preserve">. </w:t>
      </w:r>
    </w:p>
  </w:footnote>
  <w:footnote w:id="5">
    <w:p w:rsidR="007D3AAE" w:rsidRPr="001A16D2" w:rsidRDefault="007D3AAE" w:rsidP="00A523AF">
      <w:pPr>
        <w:pStyle w:val="Textonotapie"/>
        <w:spacing w:after="0" w:line="240" w:lineRule="auto"/>
        <w:contextualSpacing/>
        <w:jc w:val="both"/>
        <w:rPr>
          <w:rFonts w:ascii="Verdana" w:hAnsi="Verdana" w:cs="Arial"/>
          <w:sz w:val="16"/>
          <w:szCs w:val="16"/>
          <w:lang w:val="es-CR"/>
        </w:rPr>
      </w:pPr>
      <w:r w:rsidRPr="00A523AF">
        <w:rPr>
          <w:rStyle w:val="Refdenotaalpie"/>
          <w:rFonts w:ascii="Verdana" w:hAnsi="Verdana" w:cs="Arial"/>
          <w:sz w:val="16"/>
          <w:szCs w:val="16"/>
        </w:rPr>
        <w:footnoteRef/>
      </w:r>
      <w:r w:rsidRPr="00A523AF">
        <w:rPr>
          <w:rFonts w:ascii="Verdana" w:hAnsi="Verdana" w:cs="Arial"/>
          <w:sz w:val="16"/>
          <w:szCs w:val="16"/>
        </w:rPr>
        <w:t xml:space="preserve"> </w:t>
      </w:r>
      <w:r w:rsidRPr="00A523AF">
        <w:rPr>
          <w:rFonts w:ascii="Verdana" w:hAnsi="Verdana" w:cs="Arial"/>
          <w:sz w:val="16"/>
          <w:szCs w:val="16"/>
        </w:rPr>
        <w:tab/>
      </w:r>
      <w:r w:rsidRPr="00A523AF">
        <w:rPr>
          <w:rFonts w:ascii="Verdana" w:hAnsi="Verdana" w:cs="Arial"/>
          <w:i/>
          <w:sz w:val="16"/>
          <w:szCs w:val="16"/>
        </w:rPr>
        <w:t xml:space="preserve">Cfr. </w:t>
      </w:r>
      <w:r w:rsidRPr="00A523AF">
        <w:rPr>
          <w:rStyle w:val="Textoennegrita"/>
          <w:rFonts w:ascii="Verdana" w:hAnsi="Verdana" w:cs="Arial"/>
          <w:b w:val="0"/>
          <w:i/>
          <w:sz w:val="16"/>
          <w:szCs w:val="16"/>
        </w:rPr>
        <w:t xml:space="preserve">Asunto Haitianos y </w:t>
      </w:r>
      <w:proofErr w:type="gramStart"/>
      <w:r w:rsidRPr="00A523AF">
        <w:rPr>
          <w:rStyle w:val="Textoennegrita"/>
          <w:rFonts w:ascii="Verdana" w:hAnsi="Verdana" w:cs="Arial"/>
          <w:b w:val="0"/>
          <w:i/>
          <w:sz w:val="16"/>
          <w:szCs w:val="16"/>
        </w:rPr>
        <w:t>Dominicanos</w:t>
      </w:r>
      <w:proofErr w:type="gramEnd"/>
      <w:r w:rsidRPr="00A523AF">
        <w:rPr>
          <w:rStyle w:val="Textoennegrita"/>
          <w:rFonts w:ascii="Verdana" w:hAnsi="Verdana" w:cs="Arial"/>
          <w:b w:val="0"/>
          <w:i/>
          <w:sz w:val="16"/>
          <w:szCs w:val="16"/>
        </w:rPr>
        <w:t xml:space="preserve"> de origen haitiano en la República Dominicana. Medidas Provisionales respecto de República Dominicana</w:t>
      </w:r>
      <w:r w:rsidRPr="00DE4B7A">
        <w:rPr>
          <w:rStyle w:val="Textoennegrita"/>
          <w:rFonts w:ascii="Verdana" w:hAnsi="Verdana" w:cs="Arial"/>
          <w:b w:val="0"/>
          <w:sz w:val="16"/>
          <w:szCs w:val="16"/>
        </w:rPr>
        <w:t>. Resolución de la Corte Interamericana de Derechos Humanos de 29 de febrero de 2012</w:t>
      </w:r>
      <w:r w:rsidRPr="001A16D2">
        <w:rPr>
          <w:rStyle w:val="Textoennegrita"/>
          <w:rFonts w:ascii="Verdana" w:hAnsi="Verdana" w:cs="Arial"/>
          <w:b w:val="0"/>
          <w:sz w:val="16"/>
          <w:szCs w:val="16"/>
        </w:rPr>
        <w:t>, Considerando 24.</w:t>
      </w:r>
    </w:p>
  </w:footnote>
  <w:footnote w:id="6">
    <w:p w:rsidR="007D3AAE" w:rsidRPr="009B0105" w:rsidRDefault="007D3AAE" w:rsidP="009B0105">
      <w:pPr>
        <w:pStyle w:val="Textonotapie"/>
        <w:spacing w:after="0" w:line="240" w:lineRule="auto"/>
        <w:jc w:val="both"/>
        <w:rPr>
          <w:rFonts w:ascii="Verdana" w:hAnsi="Verdana"/>
          <w:sz w:val="16"/>
          <w:szCs w:val="16"/>
          <w:lang w:val="es-CR"/>
        </w:rPr>
      </w:pPr>
      <w:r w:rsidRPr="001A16D2">
        <w:rPr>
          <w:rStyle w:val="Refdenotaalpie"/>
          <w:rFonts w:ascii="Verdana" w:hAnsi="Verdana"/>
          <w:sz w:val="16"/>
          <w:szCs w:val="16"/>
        </w:rPr>
        <w:footnoteRef/>
      </w:r>
      <w:r w:rsidRPr="001A16D2">
        <w:rPr>
          <w:rFonts w:ascii="Verdana" w:hAnsi="Verdana"/>
          <w:sz w:val="16"/>
          <w:szCs w:val="16"/>
        </w:rPr>
        <w:t xml:space="preserve"> </w:t>
      </w:r>
      <w:r w:rsidRPr="001A16D2">
        <w:rPr>
          <w:rFonts w:ascii="Verdana" w:hAnsi="Verdana"/>
          <w:sz w:val="16"/>
          <w:szCs w:val="16"/>
        </w:rPr>
        <w:tab/>
      </w:r>
      <w:r w:rsidRPr="001A16D2">
        <w:rPr>
          <w:rFonts w:ascii="Verdana" w:hAnsi="Verdana"/>
          <w:i/>
          <w:sz w:val="16"/>
          <w:szCs w:val="16"/>
        </w:rPr>
        <w:t>Cfr. Caso Carpio Nicolle y otros</w:t>
      </w:r>
      <w:r w:rsidRPr="001A16D2">
        <w:rPr>
          <w:rFonts w:ascii="Verdana" w:hAnsi="Verdana"/>
          <w:sz w:val="16"/>
          <w:szCs w:val="16"/>
        </w:rPr>
        <w:t xml:space="preserve">. </w:t>
      </w:r>
      <w:r w:rsidRPr="00E94D96">
        <w:rPr>
          <w:rFonts w:ascii="Verdana" w:hAnsi="Verdana"/>
          <w:sz w:val="16"/>
          <w:szCs w:val="16"/>
        </w:rPr>
        <w:t>Medidas Provisionales respecto de Guatemala.  Resolución de la Corte de 6 de julio de 2009, C</w:t>
      </w:r>
      <w:r w:rsidRPr="00587BF9">
        <w:rPr>
          <w:rFonts w:ascii="Verdana" w:hAnsi="Verdana"/>
          <w:sz w:val="16"/>
          <w:szCs w:val="16"/>
        </w:rPr>
        <w:t xml:space="preserve">onsiderando 24, y </w:t>
      </w:r>
      <w:r w:rsidRPr="00587BF9">
        <w:rPr>
          <w:rFonts w:ascii="Verdana" w:hAnsi="Verdana" w:cs="Arial"/>
          <w:i/>
          <w:sz w:val="16"/>
          <w:szCs w:val="16"/>
          <w:lang w:val="es-ES"/>
        </w:rPr>
        <w:t xml:space="preserve">Asunto </w:t>
      </w:r>
      <w:r w:rsidRPr="009B0105">
        <w:rPr>
          <w:rFonts w:ascii="Verdana" w:hAnsi="Verdana"/>
          <w:i/>
          <w:sz w:val="16"/>
          <w:szCs w:val="16"/>
        </w:rPr>
        <w:t>Caso Bámaca Velásquez.</w:t>
      </w:r>
      <w:r w:rsidRPr="009B0105">
        <w:rPr>
          <w:rFonts w:ascii="Verdana" w:hAnsi="Verdana" w:cs="Arial"/>
          <w:i/>
          <w:sz w:val="16"/>
          <w:szCs w:val="16"/>
          <w:lang w:val="es-ES"/>
        </w:rPr>
        <w:t xml:space="preserve"> </w:t>
      </w:r>
      <w:r w:rsidRPr="001A16D2">
        <w:rPr>
          <w:rFonts w:ascii="Verdana" w:hAnsi="Verdana" w:cs="Arial"/>
          <w:i/>
          <w:sz w:val="16"/>
          <w:szCs w:val="16"/>
          <w:lang w:val="es-ES"/>
        </w:rPr>
        <w:t>Medidas Provisionales respecto de</w:t>
      </w:r>
      <w:r w:rsidR="001A16D2" w:rsidRPr="009B0105">
        <w:rPr>
          <w:rFonts w:ascii="Verdana" w:hAnsi="Verdana" w:cs="Arial"/>
          <w:i/>
          <w:sz w:val="16"/>
          <w:szCs w:val="16"/>
          <w:lang w:val="es-ES"/>
        </w:rPr>
        <w:t xml:space="preserve"> Guatemala. </w:t>
      </w:r>
      <w:r w:rsidR="001A16D2" w:rsidRPr="009B0105">
        <w:rPr>
          <w:rFonts w:ascii="Verdana" w:hAnsi="Verdana" w:cs="Arial"/>
          <w:sz w:val="16"/>
          <w:szCs w:val="16"/>
          <w:lang w:val="es-ES"/>
        </w:rPr>
        <w:t xml:space="preserve">Resolucion de la Corte Interamericana de Derechos Humanos de 31 de agosto de 2016, Considerando </w:t>
      </w:r>
      <w:r w:rsidRPr="009B0105">
        <w:rPr>
          <w:rFonts w:ascii="Verdana" w:hAnsi="Verdana"/>
          <w:sz w:val="16"/>
          <w:szCs w:val="16"/>
          <w:lang w:val="es-ES"/>
        </w:rPr>
        <w:t>63</w:t>
      </w:r>
      <w:r w:rsidRPr="001A16D2">
        <w:rPr>
          <w:rFonts w:ascii="Verdana" w:hAnsi="Verdana"/>
          <w:sz w:val="16"/>
          <w:szCs w:val="16"/>
          <w:lang w:val="es-ES"/>
        </w:rPr>
        <w:t>.</w:t>
      </w:r>
    </w:p>
  </w:footnote>
  <w:footnote w:id="7">
    <w:p w:rsidR="007D3AAE" w:rsidRPr="00071B15" w:rsidRDefault="007D3AAE" w:rsidP="00A523AF">
      <w:pPr>
        <w:pStyle w:val="Textonotapie"/>
        <w:spacing w:after="0" w:line="240" w:lineRule="auto"/>
        <w:contextualSpacing/>
        <w:jc w:val="both"/>
        <w:rPr>
          <w:rFonts w:ascii="Verdana" w:hAnsi="Verdana" w:cs="Arial"/>
          <w:sz w:val="16"/>
          <w:szCs w:val="16"/>
          <w:lang w:val="es-CR"/>
        </w:rPr>
      </w:pPr>
      <w:r w:rsidRPr="00A523AF">
        <w:rPr>
          <w:rStyle w:val="Refdenotaalpie"/>
          <w:rFonts w:ascii="Verdana" w:hAnsi="Verdana" w:cs="Arial"/>
          <w:sz w:val="16"/>
          <w:szCs w:val="16"/>
        </w:rPr>
        <w:footnoteRef/>
      </w:r>
      <w:r w:rsidRPr="00A523AF">
        <w:rPr>
          <w:rFonts w:ascii="Verdana" w:hAnsi="Verdana" w:cs="Arial"/>
          <w:sz w:val="16"/>
          <w:szCs w:val="16"/>
        </w:rPr>
        <w:t xml:space="preserve"> </w:t>
      </w:r>
      <w:r w:rsidRPr="00A523AF">
        <w:rPr>
          <w:rFonts w:ascii="Verdana" w:hAnsi="Verdana" w:cs="Arial"/>
          <w:sz w:val="16"/>
          <w:szCs w:val="16"/>
        </w:rPr>
        <w:tab/>
      </w:r>
      <w:r w:rsidRPr="00A523AF">
        <w:rPr>
          <w:rFonts w:ascii="Verdana" w:hAnsi="Verdana" w:cs="Arial"/>
          <w:i/>
          <w:iCs/>
          <w:sz w:val="16"/>
          <w:szCs w:val="16"/>
        </w:rPr>
        <w:t xml:space="preserve">Cfr. Asunto James y Otros. </w:t>
      </w:r>
      <w:r w:rsidRPr="00A523AF">
        <w:rPr>
          <w:rFonts w:ascii="Verdana" w:hAnsi="Verdana" w:cs="Arial"/>
          <w:sz w:val="16"/>
          <w:szCs w:val="16"/>
        </w:rPr>
        <w:t>Medidas Provisionales respecto de Trinidad y Tobago</w:t>
      </w:r>
      <w:r w:rsidRPr="00A523AF">
        <w:rPr>
          <w:rFonts w:ascii="Verdana" w:hAnsi="Verdana" w:cs="Arial"/>
          <w:i/>
          <w:iCs/>
          <w:sz w:val="16"/>
          <w:szCs w:val="16"/>
        </w:rPr>
        <w:t xml:space="preserve">, </w:t>
      </w:r>
      <w:r w:rsidRPr="00A523AF">
        <w:rPr>
          <w:rFonts w:ascii="Verdana" w:hAnsi="Verdana" w:cs="Arial"/>
          <w:sz w:val="16"/>
          <w:szCs w:val="16"/>
        </w:rPr>
        <w:t>Resolución de la Corte Interamericana de Derechos Humanos de 29 de agosto de 1998, Considerando 6,</w:t>
      </w:r>
      <w:r w:rsidRPr="00DE4B7A">
        <w:rPr>
          <w:rFonts w:ascii="Verdana" w:hAnsi="Verdana" w:cs="Arial"/>
          <w:sz w:val="16"/>
          <w:szCs w:val="16"/>
        </w:rPr>
        <w:t xml:space="preserve"> y </w:t>
      </w:r>
      <w:r w:rsidRPr="00A523AF">
        <w:rPr>
          <w:rFonts w:ascii="Verdana" w:hAnsi="Verdana" w:cs="Arial"/>
          <w:i/>
          <w:sz w:val="16"/>
          <w:szCs w:val="16"/>
          <w:lang w:val="es-ES"/>
        </w:rPr>
        <w:t>Asunto Pobladores de las Com</w:t>
      </w:r>
      <w:r>
        <w:rPr>
          <w:rFonts w:ascii="Verdana" w:hAnsi="Verdana" w:cs="Arial"/>
          <w:i/>
          <w:sz w:val="16"/>
          <w:szCs w:val="16"/>
          <w:lang w:val="es-ES"/>
        </w:rPr>
        <w:t>unidades del Pueblo Indígena Miskitu</w:t>
      </w:r>
      <w:r w:rsidRPr="00A523AF">
        <w:rPr>
          <w:rFonts w:ascii="Verdana" w:hAnsi="Verdana" w:cs="Arial"/>
          <w:i/>
          <w:sz w:val="16"/>
          <w:szCs w:val="16"/>
          <w:lang w:val="es-ES"/>
        </w:rPr>
        <w:t xml:space="preserve"> de la Región Costa Caribe Norte</w:t>
      </w:r>
      <w:r w:rsidRPr="00A523AF">
        <w:rPr>
          <w:rFonts w:ascii="Verdana" w:hAnsi="Verdana" w:cs="Arial"/>
          <w:sz w:val="16"/>
          <w:szCs w:val="16"/>
          <w:lang w:val="es-ES"/>
        </w:rPr>
        <w:t>.</w:t>
      </w:r>
      <w:r w:rsidRPr="004409DD">
        <w:rPr>
          <w:rFonts w:ascii="Verdana" w:hAnsi="Verdana" w:cs="Arial"/>
          <w:sz w:val="16"/>
          <w:szCs w:val="16"/>
          <w:lang w:val="es-ES"/>
        </w:rPr>
        <w:t xml:space="preserve"> </w:t>
      </w:r>
      <w:r w:rsidRPr="00BF56FB">
        <w:rPr>
          <w:rFonts w:ascii="Verdana" w:hAnsi="Verdana" w:cs="Arial"/>
          <w:i/>
          <w:sz w:val="16"/>
          <w:szCs w:val="16"/>
          <w:lang w:val="es-ES"/>
        </w:rPr>
        <w:t>Medidas Prov</w:t>
      </w:r>
      <w:r>
        <w:rPr>
          <w:rFonts w:ascii="Verdana" w:hAnsi="Verdana" w:cs="Arial"/>
          <w:i/>
          <w:sz w:val="16"/>
          <w:szCs w:val="16"/>
          <w:lang w:val="es-ES"/>
        </w:rPr>
        <w:t xml:space="preserve">isionales respecto de Nicaragua, supra </w:t>
      </w:r>
      <w:r w:rsidRPr="00A523AF">
        <w:rPr>
          <w:rFonts w:ascii="Verdana" w:hAnsi="Verdana" w:cs="Arial"/>
          <w:sz w:val="16"/>
          <w:szCs w:val="16"/>
          <w:lang w:val="es-ES"/>
        </w:rPr>
        <w:t>Consideran</w:t>
      </w:r>
      <w:r>
        <w:rPr>
          <w:rFonts w:ascii="Verdana" w:hAnsi="Verdana" w:cs="Arial"/>
          <w:sz w:val="16"/>
          <w:szCs w:val="16"/>
          <w:lang w:val="es-ES"/>
        </w:rPr>
        <w:t xml:space="preserve">do </w:t>
      </w:r>
      <w:r w:rsidR="00587BF9">
        <w:rPr>
          <w:rFonts w:ascii="Verdana" w:hAnsi="Verdana" w:cs="Arial"/>
          <w:sz w:val="16"/>
          <w:szCs w:val="16"/>
          <w:lang w:val="es-ES"/>
        </w:rPr>
        <w:t>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AAE" w:rsidRPr="00503780" w:rsidRDefault="007D3AAE">
    <w:pPr>
      <w:pStyle w:val="Encabezado"/>
      <w:jc w:val="center"/>
      <w:rPr>
        <w:rFonts w:ascii="Verdana" w:hAnsi="Verdana"/>
        <w:sz w:val="20"/>
        <w:szCs w:val="20"/>
      </w:rPr>
    </w:pPr>
    <w:r w:rsidRPr="00503780">
      <w:rPr>
        <w:rFonts w:ascii="Verdana" w:hAnsi="Verdana"/>
        <w:sz w:val="20"/>
        <w:szCs w:val="20"/>
      </w:rPr>
      <w:fldChar w:fldCharType="begin"/>
    </w:r>
    <w:r w:rsidRPr="00503780">
      <w:rPr>
        <w:rFonts w:ascii="Verdana" w:hAnsi="Verdana"/>
        <w:sz w:val="20"/>
        <w:szCs w:val="20"/>
      </w:rPr>
      <w:instrText xml:space="preserve"> PAGE   \* MERGEFORMAT </w:instrText>
    </w:r>
    <w:r w:rsidRPr="00503780">
      <w:rPr>
        <w:rFonts w:ascii="Verdana" w:hAnsi="Verdana"/>
        <w:sz w:val="20"/>
        <w:szCs w:val="20"/>
      </w:rPr>
      <w:fldChar w:fldCharType="separate"/>
    </w:r>
    <w:r w:rsidR="00532CE7">
      <w:rPr>
        <w:rFonts w:ascii="Verdana" w:hAnsi="Verdana"/>
        <w:noProof/>
        <w:sz w:val="20"/>
        <w:szCs w:val="20"/>
      </w:rPr>
      <w:t>4</w:t>
    </w:r>
    <w:r w:rsidRPr="00503780">
      <w:rPr>
        <w:rFonts w:ascii="Verdana" w:hAnsi="Verdana"/>
        <w:noProof/>
        <w:sz w:val="20"/>
        <w:szCs w:val="20"/>
      </w:rPr>
      <w:fldChar w:fldCharType="end"/>
    </w:r>
  </w:p>
  <w:p w:rsidR="007D3AAE" w:rsidRDefault="007D3AA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AAE" w:rsidRDefault="007D3AA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35A35"/>
    <w:multiLevelType w:val="hybridMultilevel"/>
    <w:tmpl w:val="B5AE6BA0"/>
    <w:lvl w:ilvl="0" w:tplc="D9D098F2">
      <w:start w:val="1"/>
      <w:numFmt w:val="upperLetter"/>
      <w:lvlText w:val="%1."/>
      <w:lvlJc w:val="left"/>
      <w:pPr>
        <w:ind w:left="1080" w:hanging="360"/>
      </w:pPr>
      <w:rPr>
        <w:i/>
        <w:sz w:val="20"/>
      </w:rPr>
    </w:lvl>
    <w:lvl w:ilvl="1" w:tplc="9A52A24E">
      <w:start w:val="1"/>
      <w:numFmt w:val="decimal"/>
      <w:lvlText w:val="%2."/>
      <w:lvlJc w:val="left"/>
      <w:pPr>
        <w:ind w:left="1800" w:hanging="360"/>
      </w:pPr>
    </w:lvl>
    <w:lvl w:ilvl="2" w:tplc="72B88966">
      <w:start w:val="7"/>
      <w:numFmt w:val="upperRoman"/>
      <w:lvlText w:val="%3."/>
      <w:lvlJc w:val="left"/>
      <w:pPr>
        <w:ind w:left="3060" w:hanging="72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2D2D4D9E"/>
    <w:multiLevelType w:val="hybridMultilevel"/>
    <w:tmpl w:val="0B3412E4"/>
    <w:lvl w:ilvl="0" w:tplc="D9505034">
      <w:start w:val="1"/>
      <w:numFmt w:val="decimal"/>
      <w:lvlText w:val="%1."/>
      <w:lvlJc w:val="left"/>
      <w:pPr>
        <w:tabs>
          <w:tab w:val="num" w:pos="720"/>
        </w:tabs>
        <w:ind w:left="0" w:firstLine="0"/>
      </w:pPr>
      <w:rPr>
        <w:rFonts w:hint="default"/>
        <w:b w:val="0"/>
        <w:i w:val="0"/>
        <w:sz w:val="20"/>
        <w:szCs w:val="20"/>
      </w:rPr>
    </w:lvl>
    <w:lvl w:ilvl="1" w:tplc="0409000F">
      <w:start w:val="1"/>
      <w:numFmt w:val="decimal"/>
      <w:lvlText w:val="%2."/>
      <w:lvlJc w:val="left"/>
      <w:pPr>
        <w:tabs>
          <w:tab w:val="num" w:pos="1440"/>
        </w:tabs>
        <w:ind w:left="1440" w:hanging="360"/>
      </w:pPr>
      <w:rPr>
        <w:rFonts w:hint="default"/>
        <w:b w:val="0"/>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FEC402C"/>
    <w:multiLevelType w:val="hybridMultilevel"/>
    <w:tmpl w:val="1C24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547A2D"/>
    <w:multiLevelType w:val="hybridMultilevel"/>
    <w:tmpl w:val="0EC87ABE"/>
    <w:lvl w:ilvl="0" w:tplc="E4E22EA0">
      <w:start w:val="1"/>
      <w:numFmt w:val="decimal"/>
      <w:lvlText w:val="%1."/>
      <w:lvlJc w:val="left"/>
      <w:pPr>
        <w:ind w:left="360" w:hanging="360"/>
      </w:pPr>
      <w:rPr>
        <w:rFonts w:hint="default"/>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4">
    <w:nsid w:val="4A444BB2"/>
    <w:multiLevelType w:val="hybridMultilevel"/>
    <w:tmpl w:val="0EC87ABE"/>
    <w:lvl w:ilvl="0" w:tplc="E4E22EA0">
      <w:start w:val="1"/>
      <w:numFmt w:val="decimal"/>
      <w:lvlText w:val="%1."/>
      <w:lvlJc w:val="left"/>
      <w:pPr>
        <w:ind w:left="72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nsid w:val="505A4DF2"/>
    <w:multiLevelType w:val="hybridMultilevel"/>
    <w:tmpl w:val="42368E4E"/>
    <w:lvl w:ilvl="0" w:tplc="592092E0">
      <w:start w:val="1"/>
      <w:numFmt w:val="upperLetter"/>
      <w:lvlText w:val="%1)"/>
      <w:lvlJc w:val="left"/>
      <w:pPr>
        <w:ind w:left="720" w:hanging="36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7924989"/>
    <w:multiLevelType w:val="hybridMultilevel"/>
    <w:tmpl w:val="ED86EB9A"/>
    <w:lvl w:ilvl="0" w:tplc="168C4E50">
      <w:start w:val="1"/>
      <w:numFmt w:val="decimal"/>
      <w:lvlText w:val="%1."/>
      <w:lvlJc w:val="left"/>
      <w:pPr>
        <w:ind w:left="705" w:hanging="705"/>
      </w:pPr>
      <w:rPr>
        <w:rFonts w:ascii="Verdana" w:hAnsi="Verdana" w:hint="default"/>
        <w:b w:val="0"/>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B936DAF"/>
    <w:multiLevelType w:val="hybridMultilevel"/>
    <w:tmpl w:val="FC3297E4"/>
    <w:lvl w:ilvl="0" w:tplc="9B1E4ED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CD40139"/>
    <w:multiLevelType w:val="hybridMultilevel"/>
    <w:tmpl w:val="388E113E"/>
    <w:lvl w:ilvl="0" w:tplc="9E62A5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660474E0"/>
    <w:multiLevelType w:val="hybridMultilevel"/>
    <w:tmpl w:val="EDE030B0"/>
    <w:lvl w:ilvl="0" w:tplc="CC84893A">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nsid w:val="7D5B6F2C"/>
    <w:multiLevelType w:val="hybridMultilevel"/>
    <w:tmpl w:val="09069456"/>
    <w:lvl w:ilvl="0" w:tplc="0409000F">
      <w:start w:val="1"/>
      <w:numFmt w:val="decimal"/>
      <w:lvlText w:val="%1."/>
      <w:lvlJc w:val="left"/>
      <w:pPr>
        <w:ind w:left="720" w:hanging="360"/>
      </w:pPr>
      <w:rPr>
        <w:rFonts w:cs="Times New Roman"/>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7"/>
  </w:num>
  <w:num w:numId="3">
    <w:abstractNumId w:val="9"/>
  </w:num>
  <w:num w:numId="4">
    <w:abstractNumId w:val="2"/>
  </w:num>
  <w:num w:numId="5">
    <w:abstractNumId w:val="8"/>
  </w:num>
  <w:num w:numId="6">
    <w:abstractNumId w:val="3"/>
  </w:num>
  <w:num w:numId="7">
    <w:abstractNumId w:val="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num>
  <w:num w:numId="11">
    <w:abstractNumId w:val="0"/>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3C32"/>
    <w:rsid w:val="00000DA1"/>
    <w:rsid w:val="00005C92"/>
    <w:rsid w:val="00015551"/>
    <w:rsid w:val="000162B8"/>
    <w:rsid w:val="0001729F"/>
    <w:rsid w:val="00017FD4"/>
    <w:rsid w:val="00032BCB"/>
    <w:rsid w:val="00032ED9"/>
    <w:rsid w:val="00035694"/>
    <w:rsid w:val="00042C32"/>
    <w:rsid w:val="000530DE"/>
    <w:rsid w:val="00062396"/>
    <w:rsid w:val="0007037C"/>
    <w:rsid w:val="00071B15"/>
    <w:rsid w:val="000747F7"/>
    <w:rsid w:val="000809B8"/>
    <w:rsid w:val="00083073"/>
    <w:rsid w:val="000921E2"/>
    <w:rsid w:val="000937B2"/>
    <w:rsid w:val="00093F18"/>
    <w:rsid w:val="000A1580"/>
    <w:rsid w:val="000A309B"/>
    <w:rsid w:val="000A4D6E"/>
    <w:rsid w:val="000B2E21"/>
    <w:rsid w:val="000B54D9"/>
    <w:rsid w:val="000B5538"/>
    <w:rsid w:val="000C3776"/>
    <w:rsid w:val="000C3E9F"/>
    <w:rsid w:val="000C7DC6"/>
    <w:rsid w:val="000D0DF6"/>
    <w:rsid w:val="000D4360"/>
    <w:rsid w:val="000D65D0"/>
    <w:rsid w:val="000D6F3C"/>
    <w:rsid w:val="000E2936"/>
    <w:rsid w:val="000E75D7"/>
    <w:rsid w:val="000F21FD"/>
    <w:rsid w:val="000F6434"/>
    <w:rsid w:val="00105049"/>
    <w:rsid w:val="001055B4"/>
    <w:rsid w:val="00115625"/>
    <w:rsid w:val="00120715"/>
    <w:rsid w:val="00121C7C"/>
    <w:rsid w:val="001225B7"/>
    <w:rsid w:val="00122A94"/>
    <w:rsid w:val="001239F5"/>
    <w:rsid w:val="0013043B"/>
    <w:rsid w:val="00131A22"/>
    <w:rsid w:val="00134642"/>
    <w:rsid w:val="00134E0A"/>
    <w:rsid w:val="00136CDD"/>
    <w:rsid w:val="0014717E"/>
    <w:rsid w:val="001553D5"/>
    <w:rsid w:val="00163A62"/>
    <w:rsid w:val="00166593"/>
    <w:rsid w:val="00167C54"/>
    <w:rsid w:val="001741F5"/>
    <w:rsid w:val="00176832"/>
    <w:rsid w:val="0019181E"/>
    <w:rsid w:val="0019348B"/>
    <w:rsid w:val="00193997"/>
    <w:rsid w:val="001A16D2"/>
    <w:rsid w:val="001B3751"/>
    <w:rsid w:val="001B5E51"/>
    <w:rsid w:val="001C5684"/>
    <w:rsid w:val="001D0C08"/>
    <w:rsid w:val="001D319E"/>
    <w:rsid w:val="001D4D73"/>
    <w:rsid w:val="001E230D"/>
    <w:rsid w:val="001E584C"/>
    <w:rsid w:val="001E6CB9"/>
    <w:rsid w:val="001E6F4F"/>
    <w:rsid w:val="001F1025"/>
    <w:rsid w:val="001F333C"/>
    <w:rsid w:val="00212934"/>
    <w:rsid w:val="00216C80"/>
    <w:rsid w:val="002171A8"/>
    <w:rsid w:val="002223E5"/>
    <w:rsid w:val="00227EFA"/>
    <w:rsid w:val="00232E4F"/>
    <w:rsid w:val="002335A1"/>
    <w:rsid w:val="002373A5"/>
    <w:rsid w:val="00240C94"/>
    <w:rsid w:val="00244B9D"/>
    <w:rsid w:val="00252854"/>
    <w:rsid w:val="00252D31"/>
    <w:rsid w:val="0025350C"/>
    <w:rsid w:val="00254ADB"/>
    <w:rsid w:val="00257EEB"/>
    <w:rsid w:val="00263951"/>
    <w:rsid w:val="00275365"/>
    <w:rsid w:val="00276FCD"/>
    <w:rsid w:val="002771D8"/>
    <w:rsid w:val="00287707"/>
    <w:rsid w:val="002A3441"/>
    <w:rsid w:val="002A4C60"/>
    <w:rsid w:val="002B4B32"/>
    <w:rsid w:val="002C2775"/>
    <w:rsid w:val="002C37B0"/>
    <w:rsid w:val="002D0982"/>
    <w:rsid w:val="002D3E98"/>
    <w:rsid w:val="002D54C7"/>
    <w:rsid w:val="002D7A7E"/>
    <w:rsid w:val="002E0123"/>
    <w:rsid w:val="002E705E"/>
    <w:rsid w:val="002F1C58"/>
    <w:rsid w:val="00306687"/>
    <w:rsid w:val="00315E3A"/>
    <w:rsid w:val="00316B93"/>
    <w:rsid w:val="0032278B"/>
    <w:rsid w:val="00323DDC"/>
    <w:rsid w:val="003251B7"/>
    <w:rsid w:val="003301C0"/>
    <w:rsid w:val="003354EE"/>
    <w:rsid w:val="003465B3"/>
    <w:rsid w:val="00354651"/>
    <w:rsid w:val="0036525B"/>
    <w:rsid w:val="00367B4C"/>
    <w:rsid w:val="00370BAB"/>
    <w:rsid w:val="00380E77"/>
    <w:rsid w:val="00383AE3"/>
    <w:rsid w:val="00391E90"/>
    <w:rsid w:val="003952DC"/>
    <w:rsid w:val="003B0420"/>
    <w:rsid w:val="003B28AA"/>
    <w:rsid w:val="003B3147"/>
    <w:rsid w:val="003B49D7"/>
    <w:rsid w:val="003B4BF4"/>
    <w:rsid w:val="003B6F04"/>
    <w:rsid w:val="003C3013"/>
    <w:rsid w:val="003C39FB"/>
    <w:rsid w:val="003C6BD9"/>
    <w:rsid w:val="003D7D86"/>
    <w:rsid w:val="003F3962"/>
    <w:rsid w:val="003F427D"/>
    <w:rsid w:val="003F46E2"/>
    <w:rsid w:val="0040745A"/>
    <w:rsid w:val="00407BAF"/>
    <w:rsid w:val="00407E7C"/>
    <w:rsid w:val="004172E1"/>
    <w:rsid w:val="004275DF"/>
    <w:rsid w:val="004331E5"/>
    <w:rsid w:val="00433E75"/>
    <w:rsid w:val="004409DD"/>
    <w:rsid w:val="00446B04"/>
    <w:rsid w:val="00455037"/>
    <w:rsid w:val="004604D5"/>
    <w:rsid w:val="004715D4"/>
    <w:rsid w:val="00474734"/>
    <w:rsid w:val="00476EBF"/>
    <w:rsid w:val="00482B97"/>
    <w:rsid w:val="00482D8B"/>
    <w:rsid w:val="004833FA"/>
    <w:rsid w:val="004916A8"/>
    <w:rsid w:val="00493963"/>
    <w:rsid w:val="004A2178"/>
    <w:rsid w:val="004A62B3"/>
    <w:rsid w:val="004B00D9"/>
    <w:rsid w:val="004B0BD3"/>
    <w:rsid w:val="004D5E78"/>
    <w:rsid w:val="004D66D0"/>
    <w:rsid w:val="004E1D4B"/>
    <w:rsid w:val="004E3FCF"/>
    <w:rsid w:val="004E70AC"/>
    <w:rsid w:val="004F3C31"/>
    <w:rsid w:val="00500540"/>
    <w:rsid w:val="005030D9"/>
    <w:rsid w:val="00503780"/>
    <w:rsid w:val="00510B6C"/>
    <w:rsid w:val="005139C9"/>
    <w:rsid w:val="00513EB7"/>
    <w:rsid w:val="00514AB2"/>
    <w:rsid w:val="0052563C"/>
    <w:rsid w:val="00532AC1"/>
    <w:rsid w:val="00532CE7"/>
    <w:rsid w:val="00543494"/>
    <w:rsid w:val="00551874"/>
    <w:rsid w:val="00553F6E"/>
    <w:rsid w:val="005560EE"/>
    <w:rsid w:val="00557E77"/>
    <w:rsid w:val="00565AF5"/>
    <w:rsid w:val="00567608"/>
    <w:rsid w:val="00575BF0"/>
    <w:rsid w:val="00576DE4"/>
    <w:rsid w:val="00577798"/>
    <w:rsid w:val="00577F80"/>
    <w:rsid w:val="0058107A"/>
    <w:rsid w:val="00582096"/>
    <w:rsid w:val="00587BF9"/>
    <w:rsid w:val="00587EC1"/>
    <w:rsid w:val="00597F88"/>
    <w:rsid w:val="005B087E"/>
    <w:rsid w:val="005B26CE"/>
    <w:rsid w:val="005B2BC5"/>
    <w:rsid w:val="005B3BF1"/>
    <w:rsid w:val="005B67DB"/>
    <w:rsid w:val="005B67E5"/>
    <w:rsid w:val="005C0B50"/>
    <w:rsid w:val="005C0E7B"/>
    <w:rsid w:val="005F0BF7"/>
    <w:rsid w:val="005F450D"/>
    <w:rsid w:val="005F7390"/>
    <w:rsid w:val="005F7978"/>
    <w:rsid w:val="00600FA0"/>
    <w:rsid w:val="00601562"/>
    <w:rsid w:val="00604447"/>
    <w:rsid w:val="00615064"/>
    <w:rsid w:val="006161BA"/>
    <w:rsid w:val="00624FC5"/>
    <w:rsid w:val="00631743"/>
    <w:rsid w:val="006344E5"/>
    <w:rsid w:val="00635E7D"/>
    <w:rsid w:val="006368E5"/>
    <w:rsid w:val="00636A7B"/>
    <w:rsid w:val="006434B3"/>
    <w:rsid w:val="00656997"/>
    <w:rsid w:val="00661295"/>
    <w:rsid w:val="006613F8"/>
    <w:rsid w:val="00662E07"/>
    <w:rsid w:val="00665939"/>
    <w:rsid w:val="00672A60"/>
    <w:rsid w:val="00687665"/>
    <w:rsid w:val="00687ECC"/>
    <w:rsid w:val="00690127"/>
    <w:rsid w:val="00695D7E"/>
    <w:rsid w:val="00696CF0"/>
    <w:rsid w:val="006A231B"/>
    <w:rsid w:val="006A547F"/>
    <w:rsid w:val="006A6B98"/>
    <w:rsid w:val="006B53B1"/>
    <w:rsid w:val="006C213C"/>
    <w:rsid w:val="006C5D97"/>
    <w:rsid w:val="006C5F97"/>
    <w:rsid w:val="006C78AD"/>
    <w:rsid w:val="006E258F"/>
    <w:rsid w:val="006E2B64"/>
    <w:rsid w:val="006E53BA"/>
    <w:rsid w:val="006F40B1"/>
    <w:rsid w:val="00700517"/>
    <w:rsid w:val="0070116A"/>
    <w:rsid w:val="00701B3A"/>
    <w:rsid w:val="007030C7"/>
    <w:rsid w:val="00703399"/>
    <w:rsid w:val="0070376E"/>
    <w:rsid w:val="0071519F"/>
    <w:rsid w:val="007165A3"/>
    <w:rsid w:val="00716E14"/>
    <w:rsid w:val="007172FB"/>
    <w:rsid w:val="00722B2E"/>
    <w:rsid w:val="007250DA"/>
    <w:rsid w:val="00736076"/>
    <w:rsid w:val="00742E66"/>
    <w:rsid w:val="00756CFA"/>
    <w:rsid w:val="0075704A"/>
    <w:rsid w:val="00762C2E"/>
    <w:rsid w:val="007701C6"/>
    <w:rsid w:val="00772EAF"/>
    <w:rsid w:val="00774B0F"/>
    <w:rsid w:val="007752DB"/>
    <w:rsid w:val="00775C7C"/>
    <w:rsid w:val="0078789C"/>
    <w:rsid w:val="007B257E"/>
    <w:rsid w:val="007C3C32"/>
    <w:rsid w:val="007C40DC"/>
    <w:rsid w:val="007D1143"/>
    <w:rsid w:val="007D3AAE"/>
    <w:rsid w:val="007D6DBD"/>
    <w:rsid w:val="007E4738"/>
    <w:rsid w:val="007E7A7A"/>
    <w:rsid w:val="007F4077"/>
    <w:rsid w:val="007F5741"/>
    <w:rsid w:val="00802FD3"/>
    <w:rsid w:val="0080727C"/>
    <w:rsid w:val="00814459"/>
    <w:rsid w:val="00816191"/>
    <w:rsid w:val="008162B2"/>
    <w:rsid w:val="00825659"/>
    <w:rsid w:val="008310D3"/>
    <w:rsid w:val="00834ED9"/>
    <w:rsid w:val="00835846"/>
    <w:rsid w:val="008412CD"/>
    <w:rsid w:val="0084378C"/>
    <w:rsid w:val="00863B3C"/>
    <w:rsid w:val="0087344D"/>
    <w:rsid w:val="008820E7"/>
    <w:rsid w:val="00883AE6"/>
    <w:rsid w:val="008849BE"/>
    <w:rsid w:val="00885085"/>
    <w:rsid w:val="00885D7C"/>
    <w:rsid w:val="0089035E"/>
    <w:rsid w:val="00897F3C"/>
    <w:rsid w:val="008A30A1"/>
    <w:rsid w:val="008A3586"/>
    <w:rsid w:val="008A37E5"/>
    <w:rsid w:val="008B08D5"/>
    <w:rsid w:val="008B18E8"/>
    <w:rsid w:val="008B39FA"/>
    <w:rsid w:val="008C5A66"/>
    <w:rsid w:val="008D0394"/>
    <w:rsid w:val="008D3630"/>
    <w:rsid w:val="008D79FE"/>
    <w:rsid w:val="008E2604"/>
    <w:rsid w:val="008F71D4"/>
    <w:rsid w:val="00906935"/>
    <w:rsid w:val="00916524"/>
    <w:rsid w:val="00930098"/>
    <w:rsid w:val="00934FEF"/>
    <w:rsid w:val="0094341E"/>
    <w:rsid w:val="00945D3E"/>
    <w:rsid w:val="00950A0A"/>
    <w:rsid w:val="00950C1B"/>
    <w:rsid w:val="009532E0"/>
    <w:rsid w:val="0095334C"/>
    <w:rsid w:val="00957843"/>
    <w:rsid w:val="009579A8"/>
    <w:rsid w:val="00962212"/>
    <w:rsid w:val="0097187B"/>
    <w:rsid w:val="0097548B"/>
    <w:rsid w:val="00976E70"/>
    <w:rsid w:val="00983759"/>
    <w:rsid w:val="009843A7"/>
    <w:rsid w:val="009A041E"/>
    <w:rsid w:val="009A0C4A"/>
    <w:rsid w:val="009B0105"/>
    <w:rsid w:val="009B0768"/>
    <w:rsid w:val="009B0E93"/>
    <w:rsid w:val="009B12E1"/>
    <w:rsid w:val="009B36C8"/>
    <w:rsid w:val="009B3B0C"/>
    <w:rsid w:val="009C435E"/>
    <w:rsid w:val="009C58CD"/>
    <w:rsid w:val="009D0777"/>
    <w:rsid w:val="009D077B"/>
    <w:rsid w:val="009E4843"/>
    <w:rsid w:val="009F51F1"/>
    <w:rsid w:val="009F560D"/>
    <w:rsid w:val="00A03046"/>
    <w:rsid w:val="00A03BBC"/>
    <w:rsid w:val="00A05860"/>
    <w:rsid w:val="00A1636F"/>
    <w:rsid w:val="00A2077B"/>
    <w:rsid w:val="00A3026B"/>
    <w:rsid w:val="00A37015"/>
    <w:rsid w:val="00A46694"/>
    <w:rsid w:val="00A46887"/>
    <w:rsid w:val="00A50AC0"/>
    <w:rsid w:val="00A523AF"/>
    <w:rsid w:val="00A65C7C"/>
    <w:rsid w:val="00A7424B"/>
    <w:rsid w:val="00A746BA"/>
    <w:rsid w:val="00A76132"/>
    <w:rsid w:val="00A7680A"/>
    <w:rsid w:val="00A81478"/>
    <w:rsid w:val="00A8178F"/>
    <w:rsid w:val="00A81854"/>
    <w:rsid w:val="00A82D36"/>
    <w:rsid w:val="00A85EDA"/>
    <w:rsid w:val="00A86316"/>
    <w:rsid w:val="00A90166"/>
    <w:rsid w:val="00A938D0"/>
    <w:rsid w:val="00A94215"/>
    <w:rsid w:val="00A969ED"/>
    <w:rsid w:val="00AA29DA"/>
    <w:rsid w:val="00AB1636"/>
    <w:rsid w:val="00AB3941"/>
    <w:rsid w:val="00AB4593"/>
    <w:rsid w:val="00AB6DFF"/>
    <w:rsid w:val="00AB7BB0"/>
    <w:rsid w:val="00AD42CB"/>
    <w:rsid w:val="00AE1026"/>
    <w:rsid w:val="00AE1A82"/>
    <w:rsid w:val="00AE2330"/>
    <w:rsid w:val="00AE42F5"/>
    <w:rsid w:val="00AF11E0"/>
    <w:rsid w:val="00AF610A"/>
    <w:rsid w:val="00B01497"/>
    <w:rsid w:val="00B0585F"/>
    <w:rsid w:val="00B05DF7"/>
    <w:rsid w:val="00B10CBE"/>
    <w:rsid w:val="00B15224"/>
    <w:rsid w:val="00B1524E"/>
    <w:rsid w:val="00B16F30"/>
    <w:rsid w:val="00B240CE"/>
    <w:rsid w:val="00B319DE"/>
    <w:rsid w:val="00B32952"/>
    <w:rsid w:val="00B361E8"/>
    <w:rsid w:val="00B366C1"/>
    <w:rsid w:val="00B46B12"/>
    <w:rsid w:val="00B51BE3"/>
    <w:rsid w:val="00B53CE1"/>
    <w:rsid w:val="00B6725E"/>
    <w:rsid w:val="00B714F2"/>
    <w:rsid w:val="00B72385"/>
    <w:rsid w:val="00B75F3A"/>
    <w:rsid w:val="00B76660"/>
    <w:rsid w:val="00B76F46"/>
    <w:rsid w:val="00B90D02"/>
    <w:rsid w:val="00BA26F0"/>
    <w:rsid w:val="00BA620F"/>
    <w:rsid w:val="00BD3D6E"/>
    <w:rsid w:val="00BE012B"/>
    <w:rsid w:val="00BF359A"/>
    <w:rsid w:val="00C0279A"/>
    <w:rsid w:val="00C02B0F"/>
    <w:rsid w:val="00C12353"/>
    <w:rsid w:val="00C17094"/>
    <w:rsid w:val="00C22D1A"/>
    <w:rsid w:val="00C43653"/>
    <w:rsid w:val="00C53247"/>
    <w:rsid w:val="00C6131F"/>
    <w:rsid w:val="00C62541"/>
    <w:rsid w:val="00C65A23"/>
    <w:rsid w:val="00C83725"/>
    <w:rsid w:val="00C83A01"/>
    <w:rsid w:val="00C8404A"/>
    <w:rsid w:val="00C926B4"/>
    <w:rsid w:val="00C972F5"/>
    <w:rsid w:val="00CA2045"/>
    <w:rsid w:val="00CA3226"/>
    <w:rsid w:val="00CB1848"/>
    <w:rsid w:val="00CB1F13"/>
    <w:rsid w:val="00CB27EB"/>
    <w:rsid w:val="00CC2BA9"/>
    <w:rsid w:val="00CC7DDC"/>
    <w:rsid w:val="00CD05AA"/>
    <w:rsid w:val="00CD3EFE"/>
    <w:rsid w:val="00CE4575"/>
    <w:rsid w:val="00CF1950"/>
    <w:rsid w:val="00CF6E16"/>
    <w:rsid w:val="00D135D9"/>
    <w:rsid w:val="00D16FF7"/>
    <w:rsid w:val="00D22CB0"/>
    <w:rsid w:val="00D25B8F"/>
    <w:rsid w:val="00D276B2"/>
    <w:rsid w:val="00D30269"/>
    <w:rsid w:val="00D334A8"/>
    <w:rsid w:val="00D3640F"/>
    <w:rsid w:val="00D36C91"/>
    <w:rsid w:val="00D40B7B"/>
    <w:rsid w:val="00D4120F"/>
    <w:rsid w:val="00D44D68"/>
    <w:rsid w:val="00D7181B"/>
    <w:rsid w:val="00D72F92"/>
    <w:rsid w:val="00D8213B"/>
    <w:rsid w:val="00D84DF9"/>
    <w:rsid w:val="00D86D6F"/>
    <w:rsid w:val="00D93F36"/>
    <w:rsid w:val="00DA287B"/>
    <w:rsid w:val="00DA46BD"/>
    <w:rsid w:val="00DC1138"/>
    <w:rsid w:val="00DC7C7C"/>
    <w:rsid w:val="00DD00B0"/>
    <w:rsid w:val="00DD09CE"/>
    <w:rsid w:val="00DD23DB"/>
    <w:rsid w:val="00DD3810"/>
    <w:rsid w:val="00DD61D2"/>
    <w:rsid w:val="00DE0135"/>
    <w:rsid w:val="00DE292B"/>
    <w:rsid w:val="00DE4B7A"/>
    <w:rsid w:val="00DE7155"/>
    <w:rsid w:val="00DF0F5E"/>
    <w:rsid w:val="00DF1857"/>
    <w:rsid w:val="00DF5847"/>
    <w:rsid w:val="00E0041E"/>
    <w:rsid w:val="00E0642B"/>
    <w:rsid w:val="00E111A7"/>
    <w:rsid w:val="00E12C2B"/>
    <w:rsid w:val="00E31F6F"/>
    <w:rsid w:val="00E3581B"/>
    <w:rsid w:val="00E42B37"/>
    <w:rsid w:val="00E434B4"/>
    <w:rsid w:val="00E438E9"/>
    <w:rsid w:val="00E443EE"/>
    <w:rsid w:val="00E55BB1"/>
    <w:rsid w:val="00E56B72"/>
    <w:rsid w:val="00E77BC7"/>
    <w:rsid w:val="00E80625"/>
    <w:rsid w:val="00E8393D"/>
    <w:rsid w:val="00E94D96"/>
    <w:rsid w:val="00EA5E40"/>
    <w:rsid w:val="00EA7FD9"/>
    <w:rsid w:val="00EB02A3"/>
    <w:rsid w:val="00EB4477"/>
    <w:rsid w:val="00EB48FC"/>
    <w:rsid w:val="00EB5F2F"/>
    <w:rsid w:val="00EC6C01"/>
    <w:rsid w:val="00EC7523"/>
    <w:rsid w:val="00EE075F"/>
    <w:rsid w:val="00EE5CDC"/>
    <w:rsid w:val="00EE6AA8"/>
    <w:rsid w:val="00EF7DE5"/>
    <w:rsid w:val="00F02420"/>
    <w:rsid w:val="00F22621"/>
    <w:rsid w:val="00F27604"/>
    <w:rsid w:val="00F3408B"/>
    <w:rsid w:val="00F362E7"/>
    <w:rsid w:val="00F365DB"/>
    <w:rsid w:val="00F44C07"/>
    <w:rsid w:val="00F473C1"/>
    <w:rsid w:val="00F57D1E"/>
    <w:rsid w:val="00F6424F"/>
    <w:rsid w:val="00F715EA"/>
    <w:rsid w:val="00F761BB"/>
    <w:rsid w:val="00F85A5A"/>
    <w:rsid w:val="00F863EF"/>
    <w:rsid w:val="00F86595"/>
    <w:rsid w:val="00F873E3"/>
    <w:rsid w:val="00F93F08"/>
    <w:rsid w:val="00F94E4B"/>
    <w:rsid w:val="00F95793"/>
    <w:rsid w:val="00F978ED"/>
    <w:rsid w:val="00FA1C4A"/>
    <w:rsid w:val="00FA5828"/>
    <w:rsid w:val="00FC3FA8"/>
    <w:rsid w:val="00FC6BF9"/>
    <w:rsid w:val="00FD1C78"/>
    <w:rsid w:val="00FD5D9E"/>
    <w:rsid w:val="00FE191F"/>
    <w:rsid w:val="00FE2C54"/>
    <w:rsid w:val="00FF0CB2"/>
    <w:rsid w:val="00FF4A7A"/>
    <w:rsid w:val="00FF66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8AD"/>
    <w:pPr>
      <w:spacing w:after="200" w:line="276" w:lineRule="auto"/>
    </w:pPr>
    <w:rPr>
      <w:sz w:val="22"/>
      <w:szCs w:val="22"/>
      <w:lang w:val="es-MX" w:eastAsia="en-US"/>
    </w:rPr>
  </w:style>
  <w:style w:type="paragraph" w:styleId="Ttulo4">
    <w:name w:val="heading 4"/>
    <w:basedOn w:val="Normal"/>
    <w:next w:val="Normal"/>
    <w:link w:val="Ttulo4Car"/>
    <w:uiPriority w:val="99"/>
    <w:unhideWhenUsed/>
    <w:qFormat/>
    <w:rsid w:val="003B0420"/>
    <w:pPr>
      <w:keepNext/>
      <w:spacing w:before="240" w:after="60" w:line="240" w:lineRule="auto"/>
      <w:outlineLvl w:val="3"/>
    </w:pPr>
    <w:rPr>
      <w:rFonts w:ascii="Times" w:eastAsia="Times New Roman" w:hAnsi="Times" w:cs="Times"/>
      <w:b/>
      <w:bCs/>
      <w:sz w:val="28"/>
      <w:szCs w:val="2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C3C32"/>
    <w:pPr>
      <w:tabs>
        <w:tab w:val="center" w:pos="4680"/>
        <w:tab w:val="right" w:pos="9360"/>
      </w:tabs>
      <w:spacing w:after="0" w:line="240" w:lineRule="auto"/>
    </w:pPr>
  </w:style>
  <w:style w:type="character" w:customStyle="1" w:styleId="EncabezadoCar">
    <w:name w:val="Encabezado Car"/>
    <w:link w:val="Encabezado"/>
    <w:uiPriority w:val="99"/>
    <w:rsid w:val="007C3C32"/>
    <w:rPr>
      <w:lang w:val="es-MX"/>
    </w:rPr>
  </w:style>
  <w:style w:type="paragraph" w:styleId="Piedepgina">
    <w:name w:val="footer"/>
    <w:basedOn w:val="Normal"/>
    <w:link w:val="PiedepginaCar"/>
    <w:uiPriority w:val="99"/>
    <w:unhideWhenUsed/>
    <w:rsid w:val="007C3C32"/>
    <w:pPr>
      <w:tabs>
        <w:tab w:val="center" w:pos="4680"/>
        <w:tab w:val="right" w:pos="9360"/>
      </w:tabs>
      <w:spacing w:after="0" w:line="240" w:lineRule="auto"/>
    </w:pPr>
  </w:style>
  <w:style w:type="character" w:customStyle="1" w:styleId="PiedepginaCar">
    <w:name w:val="Pie de página Car"/>
    <w:link w:val="Piedepgina"/>
    <w:uiPriority w:val="99"/>
    <w:rsid w:val="007C3C32"/>
    <w:rPr>
      <w:lang w:val="es-MX"/>
    </w:rPr>
  </w:style>
  <w:style w:type="character" w:customStyle="1" w:styleId="Ttulo4Car">
    <w:name w:val="Título 4 Car"/>
    <w:link w:val="Ttulo4"/>
    <w:uiPriority w:val="99"/>
    <w:rsid w:val="003B0420"/>
    <w:rPr>
      <w:rFonts w:ascii="Times" w:eastAsia="Times New Roman" w:hAnsi="Times" w:cs="Times"/>
      <w:b/>
      <w:bCs/>
      <w:sz w:val="28"/>
      <w:szCs w:val="28"/>
      <w:lang w:val="es-ES_tradnl" w:eastAsia="es-ES"/>
    </w:rPr>
  </w:style>
  <w:style w:type="paragraph" w:styleId="Sinespaciado">
    <w:name w:val="No Spacing"/>
    <w:uiPriority w:val="1"/>
    <w:qFormat/>
    <w:rsid w:val="00D8213B"/>
    <w:rPr>
      <w:sz w:val="22"/>
      <w:szCs w:val="22"/>
      <w:lang w:val="en-US" w:eastAsia="en-US"/>
    </w:rPr>
  </w:style>
  <w:style w:type="table" w:styleId="Tablaconcuadrcula">
    <w:name w:val="Table Grid"/>
    <w:basedOn w:val="Tablanormal"/>
    <w:uiPriority w:val="59"/>
    <w:rsid w:val="00D8213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anormal"/>
    <w:next w:val="Tablaconcuadrcula"/>
    <w:uiPriority w:val="59"/>
    <w:rsid w:val="00D8213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otnote"/>
    <w:basedOn w:val="Normal"/>
    <w:uiPriority w:val="34"/>
    <w:qFormat/>
    <w:rsid w:val="00BD3D6E"/>
    <w:pPr>
      <w:ind w:left="720"/>
    </w:pPr>
  </w:style>
  <w:style w:type="character" w:styleId="Refdecomentario">
    <w:name w:val="annotation reference"/>
    <w:uiPriority w:val="99"/>
    <w:semiHidden/>
    <w:unhideWhenUsed/>
    <w:rsid w:val="0070116A"/>
    <w:rPr>
      <w:sz w:val="16"/>
      <w:szCs w:val="16"/>
    </w:rPr>
  </w:style>
  <w:style w:type="paragraph" w:styleId="Textocomentario">
    <w:name w:val="annotation text"/>
    <w:basedOn w:val="Normal"/>
    <w:link w:val="TextocomentarioCar"/>
    <w:uiPriority w:val="99"/>
    <w:unhideWhenUsed/>
    <w:rsid w:val="0070116A"/>
    <w:rPr>
      <w:sz w:val="20"/>
      <w:szCs w:val="20"/>
    </w:rPr>
  </w:style>
  <w:style w:type="character" w:customStyle="1" w:styleId="TextocomentarioCar">
    <w:name w:val="Texto comentario Car"/>
    <w:link w:val="Textocomentario"/>
    <w:uiPriority w:val="99"/>
    <w:rsid w:val="0070116A"/>
    <w:rPr>
      <w:lang w:eastAsia="en-US"/>
    </w:rPr>
  </w:style>
  <w:style w:type="paragraph" w:styleId="Asuntodelcomentario">
    <w:name w:val="annotation subject"/>
    <w:basedOn w:val="Textocomentario"/>
    <w:next w:val="Textocomentario"/>
    <w:link w:val="AsuntodelcomentarioCar"/>
    <w:uiPriority w:val="99"/>
    <w:semiHidden/>
    <w:unhideWhenUsed/>
    <w:rsid w:val="0070116A"/>
    <w:rPr>
      <w:b/>
      <w:bCs/>
    </w:rPr>
  </w:style>
  <w:style w:type="character" w:customStyle="1" w:styleId="AsuntodelcomentarioCar">
    <w:name w:val="Asunto del comentario Car"/>
    <w:link w:val="Asuntodelcomentario"/>
    <w:uiPriority w:val="99"/>
    <w:semiHidden/>
    <w:rsid w:val="0070116A"/>
    <w:rPr>
      <w:b/>
      <w:bCs/>
      <w:lang w:eastAsia="en-US"/>
    </w:rPr>
  </w:style>
  <w:style w:type="paragraph" w:styleId="Textodeglobo">
    <w:name w:val="Balloon Text"/>
    <w:basedOn w:val="Normal"/>
    <w:link w:val="TextodegloboCar"/>
    <w:uiPriority w:val="99"/>
    <w:semiHidden/>
    <w:unhideWhenUsed/>
    <w:rsid w:val="0070116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70116A"/>
    <w:rPr>
      <w:rFonts w:ascii="Tahoma" w:hAnsi="Tahoma" w:cs="Tahoma"/>
      <w:sz w:val="16"/>
      <w:szCs w:val="16"/>
      <w:lang w:eastAsia="en-US"/>
    </w:rPr>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
    <w:basedOn w:val="Normal"/>
    <w:link w:val="TextonotapieCar"/>
    <w:uiPriority w:val="99"/>
    <w:unhideWhenUsed/>
    <w:rsid w:val="00CA2045"/>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A Fu Car Car1,FA Fu Car Car Car,Footnote Text Cha Car,FA Fußnotentext Car,Ca Car"/>
    <w:link w:val="Textonotapie"/>
    <w:uiPriority w:val="99"/>
    <w:rsid w:val="00CA2045"/>
    <w:rPr>
      <w:lang w:eastAsia="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semiHidden/>
    <w:unhideWhenUsed/>
    <w:qFormat/>
    <w:rsid w:val="00CA2045"/>
    <w:rPr>
      <w:vertAlign w:val="superscript"/>
    </w:rPr>
  </w:style>
  <w:style w:type="paragraph" w:customStyle="1" w:styleId="Default">
    <w:name w:val="Default"/>
    <w:rsid w:val="00493963"/>
    <w:pPr>
      <w:autoSpaceDE w:val="0"/>
      <w:autoSpaceDN w:val="0"/>
      <w:adjustRightInd w:val="0"/>
    </w:pPr>
    <w:rPr>
      <w:rFonts w:ascii="Verdana" w:hAnsi="Verdana" w:cs="Verdana"/>
      <w:color w:val="000000"/>
      <w:sz w:val="24"/>
      <w:szCs w:val="24"/>
      <w:lang w:val="es-MX" w:eastAsia="es-MX"/>
    </w:rPr>
  </w:style>
  <w:style w:type="paragraph" w:customStyle="1" w:styleId="Prrafodelista1">
    <w:name w:val="Párrafo de lista1"/>
    <w:basedOn w:val="Normal"/>
    <w:qFormat/>
    <w:rsid w:val="007030C7"/>
    <w:pPr>
      <w:spacing w:after="0" w:line="240" w:lineRule="auto"/>
      <w:ind w:left="720"/>
      <w:contextualSpacing/>
    </w:pPr>
    <w:rPr>
      <w:rFonts w:ascii="Times New Roman" w:eastAsia="MS Mincho" w:hAnsi="Times New Roman"/>
      <w:sz w:val="24"/>
      <w:szCs w:val="24"/>
      <w:lang w:val="es-AR"/>
    </w:rPr>
  </w:style>
  <w:style w:type="character" w:styleId="Textoennegrita">
    <w:name w:val="Strong"/>
    <w:uiPriority w:val="22"/>
    <w:qFormat/>
    <w:rsid w:val="006E258F"/>
    <w:rPr>
      <w:b/>
      <w:bCs/>
    </w:rPr>
  </w:style>
  <w:style w:type="character" w:customStyle="1" w:styleId="st1">
    <w:name w:val="st1"/>
    <w:rsid w:val="000530DE"/>
  </w:style>
  <w:style w:type="character" w:customStyle="1" w:styleId="ListParagraphChar">
    <w:name w:val="List Paragraph Char"/>
    <w:aliases w:val="Colorful List - Accent 11 Char,List Paragraph2 Char,List Paragraph1 Char,Lista vistosa - Énfasis 11 Char"/>
    <w:link w:val="ListParagraph"/>
    <w:uiPriority w:val="34"/>
    <w:locked/>
    <w:rsid w:val="006C78AD"/>
    <w:rPr>
      <w:rFonts w:ascii="Garamond" w:hAnsi="Garamond"/>
    </w:rPr>
  </w:style>
  <w:style w:type="paragraph" w:customStyle="1" w:styleId="ListParagraph">
    <w:name w:val="List Paragraph"/>
    <w:aliases w:val="Colorful List - Accent 11,List Paragraph2,List Paragraph1,Lista vistosa - Énfasis 11"/>
    <w:basedOn w:val="Normal"/>
    <w:link w:val="ListParagraphChar"/>
    <w:uiPriority w:val="34"/>
    <w:rsid w:val="006C78AD"/>
    <w:pPr>
      <w:spacing w:after="0" w:line="240" w:lineRule="auto"/>
      <w:ind w:left="720"/>
      <w:contextualSpacing/>
    </w:pPr>
    <w:rPr>
      <w:rFonts w:ascii="Garamond" w:hAnsi="Garamond"/>
      <w:sz w:val="20"/>
      <w:szCs w:val="20"/>
      <w:lang w:val="es-CR" w:eastAsia="es-CR"/>
    </w:rPr>
  </w:style>
  <w:style w:type="character" w:styleId="Nmerodelnea">
    <w:name w:val="line number"/>
    <w:uiPriority w:val="99"/>
    <w:semiHidden/>
    <w:unhideWhenUsed/>
    <w:rsid w:val="00C02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2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3AB84-24C0-4943-9D7A-CBC7D9831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DB418B6-8294-493C-AB95-4EA97E623787}">
  <ds:schemaRefs>
    <ds:schemaRef ds:uri="http://schemas.microsoft.com/sharepoint/v3/contenttype/forms"/>
  </ds:schemaRefs>
</ds:datastoreItem>
</file>

<file path=customXml/itemProps3.xml><?xml version="1.0" encoding="utf-8"?>
<ds:datastoreItem xmlns:ds="http://schemas.openxmlformats.org/officeDocument/2006/customXml" ds:itemID="{8E92CB01-2CBC-4E2F-8B1A-29044C06D8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475568-BE92-447A-A56D-DEE11852D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1220</Words>
  <Characters>6714</Characters>
  <Application>Microsoft Office Word</Application>
  <DocSecurity>0</DocSecurity>
  <Lines>55</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2017-07-27T18:58:00Z</cp:lastPrinted>
  <dcterms:created xsi:type="dcterms:W3CDTF">2017-07-27T18:58:00Z</dcterms:created>
  <dcterms:modified xsi:type="dcterms:W3CDTF">2017-07-27T18:58:00Z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