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57E" w:rsidRDefault="009C057E" w:rsidP="000C3A59">
      <w:pPr>
        <w:widowControl/>
        <w:ind w:right="12"/>
        <w:jc w:val="center"/>
        <w:rPr>
          <w:rFonts w:ascii="Verdana" w:hAnsi="Verdana"/>
          <w:b/>
          <w:smallCaps/>
        </w:rPr>
      </w:pPr>
      <w:bookmarkStart w:id="0" w:name="_GoBack"/>
      <w:bookmarkEnd w:id="0"/>
    </w:p>
    <w:p w:rsidR="00C61947" w:rsidRDefault="00C61947" w:rsidP="000C3A59">
      <w:pPr>
        <w:widowControl/>
        <w:ind w:right="12"/>
        <w:jc w:val="center"/>
        <w:rPr>
          <w:rFonts w:ascii="Verdana" w:hAnsi="Verdana"/>
          <w:b/>
          <w:smallCaps/>
        </w:rPr>
      </w:pPr>
    </w:p>
    <w:p w:rsidR="00C61947" w:rsidRDefault="00C61947" w:rsidP="000C3A59">
      <w:pPr>
        <w:widowControl/>
        <w:ind w:right="12"/>
        <w:jc w:val="center"/>
        <w:rPr>
          <w:rFonts w:ascii="Verdana" w:hAnsi="Verdana"/>
          <w:b/>
          <w:smallCaps/>
        </w:rPr>
      </w:pPr>
    </w:p>
    <w:p w:rsidR="00C61947" w:rsidRDefault="00C61947" w:rsidP="000C3A59">
      <w:pPr>
        <w:widowControl/>
        <w:ind w:right="12"/>
        <w:jc w:val="center"/>
        <w:rPr>
          <w:rFonts w:ascii="Verdana" w:hAnsi="Verdana"/>
          <w:b/>
          <w:smallCaps/>
        </w:rPr>
      </w:pPr>
    </w:p>
    <w:p w:rsidR="00C61947" w:rsidRDefault="00C61947" w:rsidP="000C3A59">
      <w:pPr>
        <w:widowControl/>
        <w:ind w:right="12"/>
        <w:jc w:val="center"/>
        <w:rPr>
          <w:rFonts w:ascii="Verdana" w:hAnsi="Verdana"/>
          <w:b/>
          <w:smallCaps/>
        </w:rPr>
      </w:pPr>
    </w:p>
    <w:p w:rsidR="00C61947" w:rsidRDefault="00C61947" w:rsidP="000C3A59">
      <w:pPr>
        <w:widowControl/>
        <w:ind w:right="12"/>
        <w:jc w:val="center"/>
        <w:rPr>
          <w:rFonts w:ascii="Verdana" w:hAnsi="Verdana"/>
          <w:b/>
          <w:smallCaps/>
        </w:rPr>
      </w:pPr>
    </w:p>
    <w:p w:rsidR="00C61947" w:rsidRDefault="00C61947" w:rsidP="000C3A59">
      <w:pPr>
        <w:widowControl/>
        <w:ind w:right="12"/>
        <w:jc w:val="center"/>
        <w:rPr>
          <w:rFonts w:ascii="Verdana" w:hAnsi="Verdana"/>
          <w:b/>
          <w:smallCaps/>
        </w:rPr>
      </w:pPr>
    </w:p>
    <w:p w:rsidR="000C3A59" w:rsidRPr="001F49EF" w:rsidRDefault="000C3A59" w:rsidP="000C3A59">
      <w:pPr>
        <w:widowControl/>
        <w:ind w:right="12"/>
        <w:jc w:val="center"/>
        <w:rPr>
          <w:rFonts w:ascii="Verdana" w:hAnsi="Verdana"/>
          <w:b/>
          <w:smallCaps/>
        </w:rPr>
      </w:pPr>
      <w:r w:rsidRPr="001F49EF">
        <w:rPr>
          <w:rFonts w:ascii="Verdana" w:hAnsi="Verdana"/>
          <w:b/>
          <w:smallCaps/>
        </w:rPr>
        <w:t>RESOLUCIÓN DE LA</w:t>
      </w:r>
    </w:p>
    <w:p w:rsidR="000C3A59" w:rsidRPr="001F49EF" w:rsidRDefault="000C3A59" w:rsidP="000C3A59">
      <w:pPr>
        <w:widowControl/>
        <w:ind w:right="14"/>
        <w:jc w:val="center"/>
        <w:rPr>
          <w:rFonts w:ascii="Verdana" w:hAnsi="Verdana"/>
          <w:b/>
          <w:smallCaps/>
        </w:rPr>
      </w:pPr>
      <w:r w:rsidRPr="001F49EF">
        <w:rPr>
          <w:rFonts w:ascii="Verdana" w:hAnsi="Verdana"/>
          <w:b/>
          <w:smallCaps/>
        </w:rPr>
        <w:t>CORTE INTERAMERICANA DE DERECHOS HUMANOS</w:t>
      </w:r>
    </w:p>
    <w:p w:rsidR="000C3A59" w:rsidRPr="001F49EF" w:rsidRDefault="000C3A59" w:rsidP="000C3A59">
      <w:pPr>
        <w:widowControl/>
        <w:ind w:right="14"/>
        <w:jc w:val="center"/>
        <w:rPr>
          <w:rFonts w:ascii="Verdana" w:hAnsi="Verdana"/>
          <w:b/>
          <w:smallCaps/>
        </w:rPr>
      </w:pPr>
    </w:p>
    <w:p w:rsidR="000C3A59" w:rsidRPr="001F49EF" w:rsidRDefault="00E203BD" w:rsidP="000C3A59">
      <w:pPr>
        <w:widowControl/>
        <w:ind w:right="14"/>
        <w:jc w:val="center"/>
        <w:rPr>
          <w:rFonts w:ascii="Verdana" w:hAnsi="Verdana"/>
          <w:b/>
          <w:caps/>
        </w:rPr>
      </w:pPr>
      <w:r w:rsidRPr="001F49EF">
        <w:rPr>
          <w:rFonts w:ascii="Verdana" w:hAnsi="Verdana"/>
          <w:b/>
          <w:caps/>
        </w:rPr>
        <w:t xml:space="preserve">DE </w:t>
      </w:r>
      <w:r w:rsidR="000E1376">
        <w:rPr>
          <w:rFonts w:ascii="Verdana" w:hAnsi="Verdana"/>
          <w:b/>
          <w:caps/>
        </w:rPr>
        <w:t>20</w:t>
      </w:r>
      <w:r w:rsidR="000E1376" w:rsidRPr="001F49EF">
        <w:rPr>
          <w:rFonts w:ascii="Verdana" w:hAnsi="Verdana"/>
          <w:b/>
          <w:caps/>
        </w:rPr>
        <w:t xml:space="preserve"> </w:t>
      </w:r>
      <w:r w:rsidR="000C3A59" w:rsidRPr="001F49EF">
        <w:rPr>
          <w:rFonts w:ascii="Verdana" w:hAnsi="Verdana"/>
          <w:b/>
          <w:caps/>
        </w:rPr>
        <w:t xml:space="preserve">DE </w:t>
      </w:r>
      <w:r w:rsidR="00853E6E">
        <w:rPr>
          <w:rFonts w:ascii="Verdana" w:hAnsi="Verdana"/>
          <w:b/>
          <w:caps/>
        </w:rPr>
        <w:t>OCTUBRE</w:t>
      </w:r>
      <w:r w:rsidR="00142647">
        <w:rPr>
          <w:rFonts w:ascii="Verdana" w:hAnsi="Verdana"/>
          <w:b/>
          <w:caps/>
        </w:rPr>
        <w:t xml:space="preserve"> </w:t>
      </w:r>
      <w:r w:rsidR="003E5DBD" w:rsidRPr="001F49EF">
        <w:rPr>
          <w:rFonts w:ascii="Verdana" w:hAnsi="Verdana"/>
          <w:b/>
          <w:caps/>
        </w:rPr>
        <w:t>DE 2016</w:t>
      </w:r>
    </w:p>
    <w:p w:rsidR="000C3A59" w:rsidRPr="001F49EF" w:rsidRDefault="000C3A59" w:rsidP="000C3A59">
      <w:pPr>
        <w:widowControl/>
        <w:ind w:right="14"/>
        <w:rPr>
          <w:rFonts w:ascii="Verdana" w:hAnsi="Verdana"/>
          <w:b/>
          <w:smallCaps/>
        </w:rPr>
      </w:pPr>
    </w:p>
    <w:p w:rsidR="00AF5A64" w:rsidRPr="001F49EF" w:rsidRDefault="000C3A59" w:rsidP="000C3A59">
      <w:pPr>
        <w:widowControl/>
        <w:ind w:right="14"/>
        <w:jc w:val="center"/>
        <w:rPr>
          <w:rFonts w:ascii="Verdana" w:hAnsi="Verdana"/>
          <w:b/>
          <w:i/>
          <w:smallCaps/>
        </w:rPr>
      </w:pPr>
      <w:r w:rsidRPr="001F49EF">
        <w:rPr>
          <w:rFonts w:ascii="Verdana" w:hAnsi="Verdana"/>
          <w:b/>
          <w:i/>
          <w:smallCaps/>
        </w:rPr>
        <w:t xml:space="preserve">CASO </w:t>
      </w:r>
      <w:r w:rsidR="003E5DBD" w:rsidRPr="001F49EF">
        <w:rPr>
          <w:rFonts w:ascii="Verdana" w:hAnsi="Verdana"/>
          <w:b/>
          <w:i/>
          <w:smallCaps/>
        </w:rPr>
        <w:t xml:space="preserve">DE LA CORTE SUPREMA DE JUSTICIA (QUINTANA COELLO Y OTROS) </w:t>
      </w:r>
    </w:p>
    <w:p w:rsidR="000C3A59" w:rsidRPr="001F49EF" w:rsidRDefault="003E5DBD" w:rsidP="000C3A59">
      <w:pPr>
        <w:widowControl/>
        <w:ind w:right="14"/>
        <w:jc w:val="center"/>
        <w:rPr>
          <w:rFonts w:ascii="Verdana" w:hAnsi="Verdana"/>
          <w:b/>
          <w:i/>
          <w:smallCaps/>
        </w:rPr>
      </w:pPr>
      <w:r w:rsidRPr="001F49EF">
        <w:rPr>
          <w:rFonts w:ascii="Verdana" w:hAnsi="Verdana"/>
          <w:b/>
          <w:i/>
          <w:smallCaps/>
        </w:rPr>
        <w:t>Vs. E</w:t>
      </w:r>
      <w:r w:rsidR="009E4F46" w:rsidRPr="001F49EF">
        <w:rPr>
          <w:rFonts w:ascii="Verdana" w:hAnsi="Verdana"/>
          <w:b/>
          <w:i/>
          <w:smallCaps/>
        </w:rPr>
        <w:t>CUADOR</w:t>
      </w:r>
      <w:r w:rsidR="004849F1" w:rsidRPr="001F49EF">
        <w:rPr>
          <w:rStyle w:val="Refdenotaalpie"/>
          <w:rFonts w:ascii="Verdana" w:hAnsi="Verdana"/>
          <w:smallCaps/>
        </w:rPr>
        <w:footnoteReference w:customMarkFollows="1" w:id="1"/>
        <w:sym w:font="Symbol" w:char="F02A"/>
      </w:r>
    </w:p>
    <w:p w:rsidR="000C3A59" w:rsidRPr="001F49EF" w:rsidRDefault="000C3A59" w:rsidP="000C3A59">
      <w:pPr>
        <w:widowControl/>
        <w:ind w:right="14"/>
        <w:rPr>
          <w:rFonts w:ascii="Verdana" w:hAnsi="Verdana"/>
          <w:b/>
          <w:smallCaps/>
        </w:rPr>
      </w:pPr>
    </w:p>
    <w:p w:rsidR="000C3A59" w:rsidRPr="001F49EF" w:rsidRDefault="000C3A59" w:rsidP="000C3A59">
      <w:pPr>
        <w:widowControl/>
        <w:ind w:right="14"/>
        <w:jc w:val="center"/>
        <w:rPr>
          <w:rFonts w:ascii="Verdana" w:hAnsi="Verdana"/>
          <w:b/>
          <w:smallCaps/>
        </w:rPr>
      </w:pPr>
      <w:r w:rsidRPr="001F49EF">
        <w:rPr>
          <w:rFonts w:ascii="Verdana" w:hAnsi="Verdana"/>
          <w:b/>
          <w:smallCaps/>
        </w:rPr>
        <w:t>SUPERVISIÓN DE CUMPLIMIENTO DE SENTENCIA</w:t>
      </w:r>
    </w:p>
    <w:p w:rsidR="000C3A59" w:rsidRPr="001F49EF" w:rsidRDefault="000C3A59" w:rsidP="000C3A59">
      <w:pPr>
        <w:widowControl/>
        <w:ind w:right="12"/>
        <w:jc w:val="both"/>
        <w:rPr>
          <w:rFonts w:ascii="Verdana" w:hAnsi="Verdana"/>
          <w:b/>
          <w:smallCaps/>
        </w:rPr>
      </w:pPr>
    </w:p>
    <w:p w:rsidR="000C3A59" w:rsidRPr="001F49EF" w:rsidRDefault="000C3A59" w:rsidP="007C0500">
      <w:pPr>
        <w:widowControl/>
        <w:spacing w:before="120" w:after="120"/>
        <w:ind w:right="12"/>
        <w:jc w:val="both"/>
        <w:rPr>
          <w:rFonts w:ascii="Verdana" w:hAnsi="Verdana"/>
          <w:b/>
          <w:caps/>
        </w:rPr>
      </w:pPr>
      <w:r w:rsidRPr="001F49EF">
        <w:rPr>
          <w:rFonts w:ascii="Verdana" w:hAnsi="Verdana"/>
          <w:b/>
          <w:caps/>
        </w:rPr>
        <w:t>Vistos:</w:t>
      </w:r>
    </w:p>
    <w:p w:rsidR="0032237F" w:rsidRPr="0032237F" w:rsidRDefault="000C3A59" w:rsidP="0032237F">
      <w:pPr>
        <w:pStyle w:val="Textonotapie"/>
        <w:numPr>
          <w:ilvl w:val="0"/>
          <w:numId w:val="31"/>
        </w:numPr>
        <w:spacing w:before="120" w:after="120"/>
        <w:ind w:left="0" w:firstLine="0"/>
        <w:jc w:val="both"/>
        <w:rPr>
          <w:rFonts w:ascii="Verdana" w:hAnsi="Verdana"/>
          <w:sz w:val="16"/>
          <w:szCs w:val="16"/>
        </w:rPr>
      </w:pPr>
      <w:r w:rsidRPr="001F49EF">
        <w:rPr>
          <w:rFonts w:ascii="Verdana" w:hAnsi="Verdana"/>
        </w:rPr>
        <w:t xml:space="preserve">La Sentencia de </w:t>
      </w:r>
      <w:r w:rsidR="00491685" w:rsidRPr="001F49EF">
        <w:rPr>
          <w:rFonts w:ascii="Verdana" w:hAnsi="Verdana"/>
        </w:rPr>
        <w:t xml:space="preserve">excepción preliminar, fondo, reparaciones y costas </w:t>
      </w:r>
      <w:r w:rsidRPr="001F49EF">
        <w:rPr>
          <w:rFonts w:ascii="Verdana" w:hAnsi="Verdana"/>
        </w:rPr>
        <w:t>(en adelante “la Sentencia”</w:t>
      </w:r>
      <w:r w:rsidR="00CA13CB" w:rsidRPr="001F49EF">
        <w:rPr>
          <w:rFonts w:ascii="Verdana" w:hAnsi="Verdana"/>
        </w:rPr>
        <w:t xml:space="preserve"> o “el Fallo”</w:t>
      </w:r>
      <w:r w:rsidRPr="001F49EF">
        <w:rPr>
          <w:rFonts w:ascii="Verdana" w:hAnsi="Verdana"/>
        </w:rPr>
        <w:t>) dictada por la Corte Interamericana de Derechos Humanos (en adelante “la Corte”, “la Corte Interamericana” o “el Tribunal”)</w:t>
      </w:r>
      <w:r w:rsidR="00F00C0E" w:rsidRPr="001F49EF">
        <w:rPr>
          <w:rFonts w:ascii="Verdana" w:hAnsi="Verdana"/>
        </w:rPr>
        <w:t xml:space="preserve"> </w:t>
      </w:r>
      <w:r w:rsidRPr="001F49EF">
        <w:rPr>
          <w:rFonts w:ascii="Verdana" w:hAnsi="Verdana"/>
        </w:rPr>
        <w:t xml:space="preserve">el </w:t>
      </w:r>
      <w:r w:rsidR="00491685" w:rsidRPr="001F49EF">
        <w:rPr>
          <w:rFonts w:ascii="Verdana" w:hAnsi="Verdana"/>
        </w:rPr>
        <w:t>23</w:t>
      </w:r>
      <w:r w:rsidRPr="001F49EF">
        <w:rPr>
          <w:rFonts w:ascii="Verdana" w:hAnsi="Verdana"/>
        </w:rPr>
        <w:t xml:space="preserve"> de </w:t>
      </w:r>
      <w:r w:rsidR="009E4F46" w:rsidRPr="001F49EF">
        <w:rPr>
          <w:rFonts w:ascii="Verdana" w:hAnsi="Verdana"/>
        </w:rPr>
        <w:t>agosto</w:t>
      </w:r>
      <w:r w:rsidR="00491685" w:rsidRPr="001F49EF">
        <w:rPr>
          <w:rFonts w:ascii="Verdana" w:hAnsi="Verdana"/>
        </w:rPr>
        <w:t xml:space="preserve"> de </w:t>
      </w:r>
      <w:r w:rsidR="009E4F46" w:rsidRPr="001F49EF">
        <w:rPr>
          <w:rFonts w:ascii="Verdana" w:hAnsi="Verdana"/>
        </w:rPr>
        <w:t>2013</w:t>
      </w:r>
      <w:r w:rsidR="004233CD" w:rsidRPr="001F49EF">
        <w:rPr>
          <w:rStyle w:val="Refdenotaalpie"/>
          <w:rFonts w:ascii="Verdana" w:hAnsi="Verdana"/>
        </w:rPr>
        <w:footnoteReference w:id="2"/>
      </w:r>
      <w:r w:rsidRPr="001F49EF">
        <w:rPr>
          <w:rFonts w:ascii="Verdana" w:hAnsi="Verdana"/>
        </w:rPr>
        <w:t xml:space="preserve">. </w:t>
      </w:r>
      <w:r w:rsidR="000E1376">
        <w:rPr>
          <w:rFonts w:ascii="Verdana" w:hAnsi="Verdana"/>
        </w:rPr>
        <w:t>L</w:t>
      </w:r>
      <w:r w:rsidR="00E13275">
        <w:rPr>
          <w:rFonts w:ascii="Verdana" w:hAnsi="Verdana"/>
        </w:rPr>
        <w:t xml:space="preserve">a Corte, </w:t>
      </w:r>
      <w:r w:rsidR="00F00C0E" w:rsidRPr="001F49EF">
        <w:rPr>
          <w:rFonts w:ascii="Verdana" w:hAnsi="Verdana"/>
        </w:rPr>
        <w:t xml:space="preserve">tomando en cuenta el reconocimiento parcial de </w:t>
      </w:r>
      <w:r w:rsidR="00491685" w:rsidRPr="001F49EF">
        <w:rPr>
          <w:rFonts w:ascii="Verdana" w:hAnsi="Verdana"/>
        </w:rPr>
        <w:t>responsabilidad</w:t>
      </w:r>
      <w:r w:rsidR="00F00C0E" w:rsidRPr="001F49EF">
        <w:rPr>
          <w:rStyle w:val="Refdenotaalpie"/>
          <w:rFonts w:ascii="Verdana" w:hAnsi="Verdana"/>
        </w:rPr>
        <w:footnoteReference w:id="3"/>
      </w:r>
      <w:r w:rsidR="00491685" w:rsidRPr="001F49EF">
        <w:rPr>
          <w:rFonts w:ascii="Verdana" w:hAnsi="Verdana"/>
        </w:rPr>
        <w:t xml:space="preserve"> </w:t>
      </w:r>
      <w:r w:rsidR="00F00C0E" w:rsidRPr="001F49EF">
        <w:rPr>
          <w:rFonts w:ascii="Verdana" w:hAnsi="Verdana"/>
        </w:rPr>
        <w:t>efectuado por</w:t>
      </w:r>
      <w:r w:rsidR="00491685" w:rsidRPr="001F49EF">
        <w:rPr>
          <w:rFonts w:ascii="Verdana" w:hAnsi="Verdana"/>
        </w:rPr>
        <w:t xml:space="preserve"> la República </w:t>
      </w:r>
      <w:r w:rsidR="0057747C" w:rsidRPr="001F49EF">
        <w:rPr>
          <w:rFonts w:ascii="Verdana" w:hAnsi="Verdana"/>
        </w:rPr>
        <w:t>del Ecuador</w:t>
      </w:r>
      <w:r w:rsidR="00491685" w:rsidRPr="001F49EF">
        <w:rPr>
          <w:rFonts w:ascii="Verdana" w:hAnsi="Verdana"/>
        </w:rPr>
        <w:t xml:space="preserve"> (en a</w:t>
      </w:r>
      <w:r w:rsidR="0057747C" w:rsidRPr="001F49EF">
        <w:rPr>
          <w:rFonts w:ascii="Verdana" w:hAnsi="Verdana"/>
        </w:rPr>
        <w:t>delante “el Estado” o “Ecuador</w:t>
      </w:r>
      <w:r w:rsidR="00491685" w:rsidRPr="001F49EF">
        <w:rPr>
          <w:rFonts w:ascii="Verdana" w:hAnsi="Verdana"/>
        </w:rPr>
        <w:t xml:space="preserve">”) </w:t>
      </w:r>
      <w:r w:rsidR="00E13275">
        <w:rPr>
          <w:rFonts w:ascii="Verdana" w:hAnsi="Verdana"/>
        </w:rPr>
        <w:t>declaró que é</w:t>
      </w:r>
      <w:r w:rsidR="00F00C0E" w:rsidRPr="001F49EF">
        <w:rPr>
          <w:rFonts w:ascii="Verdana" w:hAnsi="Verdana"/>
        </w:rPr>
        <w:t xml:space="preserve">ste es internacionalmente responsable </w:t>
      </w:r>
      <w:r w:rsidR="0057747C" w:rsidRPr="001F49EF">
        <w:rPr>
          <w:rFonts w:ascii="Verdana" w:hAnsi="Verdana"/>
        </w:rPr>
        <w:t xml:space="preserve">por </w:t>
      </w:r>
      <w:r w:rsidR="00AF5A64" w:rsidRPr="001F49EF">
        <w:rPr>
          <w:rFonts w:ascii="Verdana" w:hAnsi="Verdana"/>
        </w:rPr>
        <w:t>la violación</w:t>
      </w:r>
      <w:r w:rsidR="0057747C" w:rsidRPr="001F49EF">
        <w:rPr>
          <w:rFonts w:ascii="Verdana" w:hAnsi="Verdana"/>
        </w:rPr>
        <w:t xml:space="preserve"> </w:t>
      </w:r>
      <w:r w:rsidR="00AF5A64" w:rsidRPr="001F49EF">
        <w:rPr>
          <w:rFonts w:ascii="Verdana" w:hAnsi="Verdana"/>
        </w:rPr>
        <w:t>d</w:t>
      </w:r>
      <w:r w:rsidR="0057747C" w:rsidRPr="001F49EF">
        <w:rPr>
          <w:rFonts w:ascii="Verdana" w:hAnsi="Verdana"/>
        </w:rPr>
        <w:t xml:space="preserve">el derecho a </w:t>
      </w:r>
      <w:r w:rsidR="0057747C" w:rsidRPr="001F49EF">
        <w:rPr>
          <w:rFonts w:ascii="Verdana" w:hAnsi="Verdana"/>
          <w:lang w:val="es-CO"/>
        </w:rPr>
        <w:t>las garantías judiciales</w:t>
      </w:r>
      <w:r w:rsidR="00AF5A64" w:rsidRPr="001F49EF">
        <w:rPr>
          <w:rFonts w:ascii="Verdana" w:hAnsi="Verdana"/>
          <w:snapToGrid w:val="0"/>
          <w:kern w:val="32"/>
        </w:rPr>
        <w:t xml:space="preserve"> en perjuicio de las 27 víctimas</w:t>
      </w:r>
      <w:r w:rsidR="00AF5A64" w:rsidRPr="001F49EF">
        <w:rPr>
          <w:rStyle w:val="Refdenotaalpie"/>
          <w:rFonts w:ascii="Verdana" w:hAnsi="Verdana"/>
          <w:snapToGrid w:val="0"/>
          <w:kern w:val="32"/>
        </w:rPr>
        <w:footnoteReference w:id="4"/>
      </w:r>
      <w:r w:rsidR="00AF5A64" w:rsidRPr="001F49EF">
        <w:rPr>
          <w:rFonts w:ascii="Verdana" w:hAnsi="Verdana"/>
          <w:snapToGrid w:val="0"/>
          <w:kern w:val="32"/>
        </w:rPr>
        <w:t>, quienes eran magistrados de la Corte Suprema de Justicia</w:t>
      </w:r>
      <w:r w:rsidR="0057747C" w:rsidRPr="001F49EF">
        <w:rPr>
          <w:rFonts w:ascii="Verdana" w:hAnsi="Verdana" w:cs="Arial"/>
        </w:rPr>
        <w:t xml:space="preserve">. </w:t>
      </w:r>
      <w:r w:rsidR="000E1376">
        <w:rPr>
          <w:rFonts w:ascii="Verdana" w:hAnsi="Verdana" w:cs="Arial"/>
        </w:rPr>
        <w:t>Este Tribunal</w:t>
      </w:r>
      <w:r w:rsidR="00AF5A64" w:rsidRPr="001F49EF">
        <w:rPr>
          <w:rFonts w:ascii="Verdana" w:hAnsi="Verdana" w:cs="Arial"/>
        </w:rPr>
        <w:t xml:space="preserve"> declaró dichas violaciones en razón del cese arbitrario que realizó el Congreso </w:t>
      </w:r>
      <w:r w:rsidR="00AF5A64" w:rsidRPr="00E13275">
        <w:rPr>
          <w:rFonts w:ascii="Verdana" w:hAnsi="Verdana" w:cs="Arial"/>
        </w:rPr>
        <w:t>Nacional a todos los magistrados de dicha corte en diciembre de 2004</w:t>
      </w:r>
      <w:r w:rsidR="00E13275" w:rsidRPr="00E13275">
        <w:rPr>
          <w:rFonts w:ascii="Verdana" w:hAnsi="Verdana" w:cs="Arial"/>
        </w:rPr>
        <w:t xml:space="preserve">. </w:t>
      </w:r>
      <w:r w:rsidR="000E1376">
        <w:rPr>
          <w:rFonts w:ascii="Verdana" w:hAnsi="Verdana" w:cs="Arial"/>
        </w:rPr>
        <w:t>T</w:t>
      </w:r>
      <w:r w:rsidR="00E13275" w:rsidRPr="00E13275">
        <w:rPr>
          <w:rFonts w:ascii="Verdana" w:hAnsi="Verdana" w:cs="Arial"/>
        </w:rPr>
        <w:t xml:space="preserve">ambién determinó que Ecuador incurrió en </w:t>
      </w:r>
      <w:r w:rsidR="00E13275" w:rsidRPr="00E13275">
        <w:rPr>
          <w:rFonts w:ascii="Verdana" w:hAnsi="Verdana"/>
          <w:lang w:val="es-CO"/>
        </w:rPr>
        <w:t>una afectación arbitraria a la permanencia en el ejercicio de la función judicial y la consecuente afectación a la independencia judicial</w:t>
      </w:r>
      <w:r w:rsidR="00E13275" w:rsidRPr="00E13275">
        <w:rPr>
          <w:rStyle w:val="Refdenotaalpie"/>
          <w:rFonts w:ascii="Verdana" w:hAnsi="Verdana"/>
          <w:snapToGrid w:val="0"/>
          <w:kern w:val="32"/>
        </w:rPr>
        <w:footnoteReference w:id="5"/>
      </w:r>
      <w:r w:rsidR="00E13275" w:rsidRPr="00E13275">
        <w:rPr>
          <w:rFonts w:ascii="Verdana" w:hAnsi="Verdana"/>
          <w:lang w:val="es-CO"/>
        </w:rPr>
        <w:t xml:space="preserve">. Asimismo, </w:t>
      </w:r>
      <w:r w:rsidR="000E1376">
        <w:rPr>
          <w:rFonts w:ascii="Verdana" w:hAnsi="Verdana"/>
          <w:lang w:val="es-CO"/>
        </w:rPr>
        <w:t>se</w:t>
      </w:r>
      <w:r w:rsidR="000E1376" w:rsidRPr="00E13275">
        <w:rPr>
          <w:rFonts w:ascii="Verdana" w:hAnsi="Verdana"/>
          <w:lang w:val="es-CO"/>
        </w:rPr>
        <w:t xml:space="preserve"> </w:t>
      </w:r>
      <w:r w:rsidR="00E13275" w:rsidRPr="00E13275">
        <w:rPr>
          <w:rFonts w:ascii="Verdana" w:hAnsi="Verdana"/>
          <w:lang w:val="es-CO"/>
        </w:rPr>
        <w:t>declaró l</w:t>
      </w:r>
      <w:r w:rsidR="000E1376">
        <w:rPr>
          <w:rFonts w:ascii="Verdana" w:hAnsi="Verdana"/>
          <w:lang w:val="es-CO"/>
        </w:rPr>
        <w:t>a</w:t>
      </w:r>
      <w:r w:rsidR="00E13275" w:rsidRPr="00E13275">
        <w:rPr>
          <w:rFonts w:ascii="Verdana" w:hAnsi="Verdana"/>
          <w:lang w:val="es-CO"/>
        </w:rPr>
        <w:t xml:space="preserve"> responsab</w:t>
      </w:r>
      <w:r w:rsidR="000E1376">
        <w:rPr>
          <w:rFonts w:ascii="Verdana" w:hAnsi="Verdana"/>
          <w:lang w:val="es-CO"/>
        </w:rPr>
        <w:t>ilidad</w:t>
      </w:r>
      <w:r w:rsidR="00E13275" w:rsidRPr="00E13275">
        <w:rPr>
          <w:rFonts w:ascii="Verdana" w:hAnsi="Verdana"/>
          <w:lang w:val="es-CO"/>
        </w:rPr>
        <w:t xml:space="preserve"> </w:t>
      </w:r>
      <w:r w:rsidR="000E1376">
        <w:rPr>
          <w:rFonts w:ascii="Verdana" w:hAnsi="Verdana"/>
          <w:lang w:val="es-CO"/>
        </w:rPr>
        <w:t xml:space="preserve">estatal </w:t>
      </w:r>
      <w:r w:rsidR="00E13275" w:rsidRPr="00E13275">
        <w:rPr>
          <w:rFonts w:ascii="Verdana" w:hAnsi="Verdana"/>
          <w:lang w:val="es-CO"/>
        </w:rPr>
        <w:lastRenderedPageBreak/>
        <w:t xml:space="preserve">por la violación del derecho a la protección judicial por la </w:t>
      </w:r>
      <w:r w:rsidR="00E13275" w:rsidRPr="00E13275">
        <w:rPr>
          <w:rFonts w:ascii="Verdana" w:hAnsi="Verdana" w:cs="Arial"/>
          <w:bCs/>
          <w:lang w:val="es-CL"/>
        </w:rPr>
        <w:t xml:space="preserve">imposibilidad de las víctimas de acceder a un recurso judicial efectivo </w:t>
      </w:r>
      <w:r w:rsidR="00E13275">
        <w:rPr>
          <w:rFonts w:ascii="Verdana" w:hAnsi="Verdana" w:cs="Arial"/>
          <w:bCs/>
          <w:lang w:val="es-CL"/>
        </w:rPr>
        <w:t>contra la decisión del Congreso Nacional por la cual fueron cesados y proteger los derechos que les estaban siendo vulnerados</w:t>
      </w:r>
      <w:r w:rsidR="00654312">
        <w:rPr>
          <w:rStyle w:val="Refdenotaalpie"/>
          <w:rFonts w:ascii="Verdana" w:hAnsi="Verdana" w:cs="Arial"/>
          <w:bCs/>
          <w:lang w:val="es-CL"/>
        </w:rPr>
        <w:footnoteReference w:id="6"/>
      </w:r>
      <w:r w:rsidR="00E13275" w:rsidRPr="00E13275">
        <w:rPr>
          <w:rFonts w:ascii="Verdana" w:hAnsi="Verdana" w:cs="Arial"/>
          <w:bCs/>
          <w:lang w:val="es-CL"/>
        </w:rPr>
        <w:t xml:space="preserve">. </w:t>
      </w:r>
      <w:r w:rsidR="00DD3DA7" w:rsidRPr="00E13275">
        <w:rPr>
          <w:rFonts w:ascii="Verdana" w:hAnsi="Verdana"/>
        </w:rPr>
        <w:t>La</w:t>
      </w:r>
      <w:r w:rsidR="00DD3DA7" w:rsidRPr="001F49EF">
        <w:rPr>
          <w:rFonts w:ascii="Verdana" w:hAnsi="Verdana"/>
        </w:rPr>
        <w:t xml:space="preserve"> Corte estableció que </w:t>
      </w:r>
      <w:r w:rsidR="00347E50" w:rsidRPr="001F49EF">
        <w:rPr>
          <w:rFonts w:ascii="Verdana" w:hAnsi="Verdana"/>
        </w:rPr>
        <w:t>su</w:t>
      </w:r>
      <w:r w:rsidR="00DD3DA7" w:rsidRPr="001F49EF">
        <w:rPr>
          <w:rFonts w:ascii="Verdana" w:hAnsi="Verdana"/>
        </w:rPr>
        <w:t xml:space="preserve"> Sentencia constituye </w:t>
      </w:r>
      <w:r w:rsidR="00472D50">
        <w:rPr>
          <w:rFonts w:ascii="Verdana" w:hAnsi="Verdana"/>
        </w:rPr>
        <w:t xml:space="preserve">por sí misma </w:t>
      </w:r>
      <w:r w:rsidR="00DD3DA7" w:rsidRPr="001F49EF">
        <w:rPr>
          <w:rFonts w:ascii="Verdana" w:hAnsi="Verdana"/>
        </w:rPr>
        <w:t>una forma de reparación</w:t>
      </w:r>
      <w:r w:rsidR="00347E50" w:rsidRPr="001F49EF">
        <w:rPr>
          <w:rFonts w:ascii="Verdana" w:hAnsi="Verdana"/>
        </w:rPr>
        <w:t xml:space="preserve"> y, </w:t>
      </w:r>
      <w:r w:rsidR="00AF5A64" w:rsidRPr="001F49EF">
        <w:rPr>
          <w:rFonts w:ascii="Verdana" w:hAnsi="Verdana"/>
        </w:rPr>
        <w:t>adicionalmente</w:t>
      </w:r>
      <w:r w:rsidR="00843553" w:rsidRPr="001F49EF">
        <w:rPr>
          <w:rFonts w:ascii="Verdana" w:hAnsi="Verdana"/>
        </w:rPr>
        <w:t xml:space="preserve">, </w:t>
      </w:r>
      <w:r w:rsidR="00DD3DA7" w:rsidRPr="001F49EF">
        <w:rPr>
          <w:rFonts w:ascii="Verdana" w:hAnsi="Verdana"/>
        </w:rPr>
        <w:t xml:space="preserve">ordenó al </w:t>
      </w:r>
      <w:r w:rsidR="00C7575D" w:rsidRPr="001F49EF">
        <w:rPr>
          <w:rFonts w:ascii="Verdana" w:hAnsi="Verdana"/>
        </w:rPr>
        <w:t>E</w:t>
      </w:r>
      <w:r w:rsidR="00DD3DA7" w:rsidRPr="001F49EF">
        <w:rPr>
          <w:rFonts w:ascii="Verdana" w:hAnsi="Verdana"/>
        </w:rPr>
        <w:t>stado determinadas medidas de reparación (</w:t>
      </w:r>
      <w:r w:rsidR="00DD3DA7" w:rsidRPr="001F49EF">
        <w:rPr>
          <w:rFonts w:ascii="Verdana" w:hAnsi="Verdana"/>
          <w:i/>
        </w:rPr>
        <w:t>infra</w:t>
      </w:r>
      <w:r w:rsidR="00DD3DA7" w:rsidRPr="001F49EF">
        <w:rPr>
          <w:rFonts w:ascii="Verdana" w:hAnsi="Verdana"/>
        </w:rPr>
        <w:t xml:space="preserve"> Considerando 1)</w:t>
      </w:r>
      <w:r w:rsidR="003814DC" w:rsidRPr="001F49EF">
        <w:rPr>
          <w:rFonts w:ascii="Verdana" w:hAnsi="Verdana"/>
        </w:rPr>
        <w:t>.</w:t>
      </w:r>
    </w:p>
    <w:p w:rsidR="0032237F" w:rsidRPr="0032237F" w:rsidRDefault="004233CD" w:rsidP="0032237F">
      <w:pPr>
        <w:pStyle w:val="Textonotapie"/>
        <w:numPr>
          <w:ilvl w:val="0"/>
          <w:numId w:val="31"/>
        </w:numPr>
        <w:spacing w:before="120" w:after="120"/>
        <w:ind w:left="0" w:firstLine="0"/>
        <w:jc w:val="both"/>
        <w:rPr>
          <w:rFonts w:ascii="Verdana" w:hAnsi="Verdana"/>
          <w:sz w:val="16"/>
          <w:szCs w:val="16"/>
        </w:rPr>
      </w:pPr>
      <w:r w:rsidRPr="0032237F">
        <w:rPr>
          <w:rFonts w:ascii="Verdana" w:hAnsi="Verdana"/>
        </w:rPr>
        <w:t xml:space="preserve">La Resolución de supervisión de cumplimiento de </w:t>
      </w:r>
      <w:r w:rsidR="00472D50">
        <w:rPr>
          <w:rFonts w:ascii="Verdana" w:hAnsi="Verdana"/>
        </w:rPr>
        <w:t>s</w:t>
      </w:r>
      <w:r w:rsidRPr="0032237F">
        <w:rPr>
          <w:rFonts w:ascii="Verdana" w:hAnsi="Verdana"/>
        </w:rPr>
        <w:t>entencia emitida el 21 de agosto de 2014</w:t>
      </w:r>
      <w:r w:rsidR="00E651AC" w:rsidRPr="0032237F">
        <w:rPr>
          <w:rFonts w:ascii="Verdana" w:hAnsi="Verdana"/>
        </w:rPr>
        <w:t xml:space="preserve"> </w:t>
      </w:r>
      <w:r w:rsidR="00F20869" w:rsidRPr="0032237F">
        <w:rPr>
          <w:rFonts w:ascii="Verdana" w:hAnsi="Verdana"/>
        </w:rPr>
        <w:t>(</w:t>
      </w:r>
      <w:r w:rsidR="00F20869" w:rsidRPr="0032237F">
        <w:rPr>
          <w:rFonts w:ascii="Verdana" w:hAnsi="Verdana"/>
          <w:i/>
        </w:rPr>
        <w:t>infra</w:t>
      </w:r>
      <w:r w:rsidR="00F20869" w:rsidRPr="0032237F">
        <w:rPr>
          <w:rFonts w:ascii="Verdana" w:hAnsi="Verdana"/>
        </w:rPr>
        <w:t xml:space="preserve"> Considerando </w:t>
      </w:r>
      <w:r w:rsidR="0087250D">
        <w:rPr>
          <w:rFonts w:ascii="Verdana" w:hAnsi="Verdana"/>
        </w:rPr>
        <w:t>14</w:t>
      </w:r>
      <w:r w:rsidR="00F20869" w:rsidRPr="0032237F">
        <w:rPr>
          <w:rFonts w:ascii="Verdana" w:hAnsi="Verdana"/>
        </w:rPr>
        <w:t>)</w:t>
      </w:r>
      <w:r w:rsidRPr="001F49EF">
        <w:rPr>
          <w:rStyle w:val="Refdenotaalpie"/>
          <w:rFonts w:ascii="Verdana" w:hAnsi="Verdana"/>
        </w:rPr>
        <w:footnoteReference w:id="7"/>
      </w:r>
      <w:r w:rsidRPr="0032237F">
        <w:rPr>
          <w:rFonts w:ascii="Verdana" w:hAnsi="Verdana"/>
        </w:rPr>
        <w:t xml:space="preserve">. </w:t>
      </w:r>
    </w:p>
    <w:p w:rsidR="0032237F" w:rsidRPr="0032237F" w:rsidRDefault="00BA454B" w:rsidP="0032237F">
      <w:pPr>
        <w:pStyle w:val="Textonotapie"/>
        <w:numPr>
          <w:ilvl w:val="0"/>
          <w:numId w:val="31"/>
        </w:numPr>
        <w:spacing w:before="120" w:after="120"/>
        <w:ind w:left="0" w:firstLine="0"/>
        <w:jc w:val="both"/>
        <w:rPr>
          <w:rFonts w:ascii="Verdana" w:hAnsi="Verdana"/>
          <w:sz w:val="16"/>
          <w:szCs w:val="16"/>
        </w:rPr>
      </w:pPr>
      <w:r w:rsidRPr="0032237F">
        <w:rPr>
          <w:rFonts w:ascii="Verdana" w:hAnsi="Verdana"/>
        </w:rPr>
        <w:t xml:space="preserve">Los </w:t>
      </w:r>
      <w:r w:rsidR="000716FB" w:rsidRPr="000C7CDF">
        <w:rPr>
          <w:rFonts w:ascii="Verdana" w:hAnsi="Verdana"/>
        </w:rPr>
        <w:t>once</w:t>
      </w:r>
      <w:r w:rsidR="00A96460" w:rsidRPr="0032237F">
        <w:rPr>
          <w:rFonts w:ascii="Verdana" w:hAnsi="Verdana"/>
        </w:rPr>
        <w:t xml:space="preserve"> </w:t>
      </w:r>
      <w:r w:rsidRPr="0032237F">
        <w:rPr>
          <w:rFonts w:ascii="Verdana" w:hAnsi="Verdana"/>
        </w:rPr>
        <w:t xml:space="preserve">informes presentados por el Estado entre mayo de 2014 y </w:t>
      </w:r>
      <w:r w:rsidR="000716FB" w:rsidRPr="000C7CDF">
        <w:rPr>
          <w:rFonts w:ascii="Verdana" w:hAnsi="Verdana"/>
        </w:rPr>
        <w:t>octubre</w:t>
      </w:r>
      <w:r w:rsidR="000716FB">
        <w:rPr>
          <w:rFonts w:ascii="Verdana" w:hAnsi="Verdana"/>
        </w:rPr>
        <w:t xml:space="preserve"> </w:t>
      </w:r>
      <w:r w:rsidRPr="0032237F">
        <w:rPr>
          <w:rFonts w:ascii="Verdana" w:hAnsi="Verdana"/>
        </w:rPr>
        <w:t>de 2016</w:t>
      </w:r>
      <w:r w:rsidRPr="001F49EF">
        <w:rPr>
          <w:rStyle w:val="Refdenotaalpie"/>
          <w:rFonts w:ascii="Verdana" w:hAnsi="Verdana"/>
        </w:rPr>
        <w:footnoteReference w:id="8"/>
      </w:r>
      <w:r w:rsidR="00BA14A9">
        <w:rPr>
          <w:rFonts w:ascii="Verdana" w:hAnsi="Verdana"/>
        </w:rPr>
        <w:t xml:space="preserve">, </w:t>
      </w:r>
      <w:r w:rsidR="00BA14A9" w:rsidRPr="00A623AA">
        <w:rPr>
          <w:rFonts w:ascii="Verdana" w:hAnsi="Verdana"/>
          <w:color w:val="000000"/>
          <w:shd w:val="clear" w:color="auto" w:fill="FFFFFF"/>
        </w:rPr>
        <w:t>en respuesta a solicitudes efectuadas por la Corte o su Presidente mediante notas de la Secretaría de la Corte</w:t>
      </w:r>
      <w:r w:rsidRPr="00A623AA">
        <w:rPr>
          <w:rFonts w:ascii="Verdana" w:hAnsi="Verdana"/>
        </w:rPr>
        <w:t>.</w:t>
      </w:r>
      <w:r w:rsidRPr="0032237F">
        <w:rPr>
          <w:rFonts w:ascii="Verdana" w:hAnsi="Verdana"/>
        </w:rPr>
        <w:t xml:space="preserve"> </w:t>
      </w:r>
    </w:p>
    <w:p w:rsidR="0032237F" w:rsidRPr="0032237F" w:rsidRDefault="00BA454B" w:rsidP="0032237F">
      <w:pPr>
        <w:pStyle w:val="Textonotapie"/>
        <w:numPr>
          <w:ilvl w:val="0"/>
          <w:numId w:val="31"/>
        </w:numPr>
        <w:spacing w:before="120" w:after="120"/>
        <w:ind w:left="0" w:firstLine="0"/>
        <w:jc w:val="both"/>
        <w:rPr>
          <w:rFonts w:ascii="Verdana" w:hAnsi="Verdana"/>
          <w:sz w:val="16"/>
          <w:szCs w:val="16"/>
        </w:rPr>
      </w:pPr>
      <w:r w:rsidRPr="0032237F">
        <w:rPr>
          <w:rFonts w:ascii="Verdana" w:hAnsi="Verdana"/>
        </w:rPr>
        <w:t xml:space="preserve">Los </w:t>
      </w:r>
      <w:r w:rsidR="00A96460">
        <w:rPr>
          <w:rFonts w:ascii="Verdana" w:hAnsi="Verdana"/>
        </w:rPr>
        <w:t>siete</w:t>
      </w:r>
      <w:r w:rsidR="00A96460" w:rsidRPr="0032237F">
        <w:rPr>
          <w:rFonts w:ascii="Verdana" w:hAnsi="Verdana"/>
        </w:rPr>
        <w:t xml:space="preserve"> </w:t>
      </w:r>
      <w:r w:rsidRPr="0032237F">
        <w:rPr>
          <w:rFonts w:ascii="Verdana" w:hAnsi="Verdana"/>
        </w:rPr>
        <w:t>escritos de observaciones presentados por los representantes de las víctimas (en adelante “los representantes”)</w:t>
      </w:r>
      <w:r w:rsidRPr="001F49EF">
        <w:rPr>
          <w:rStyle w:val="Refdenotaalpie"/>
          <w:rFonts w:ascii="Verdana" w:hAnsi="Verdana"/>
        </w:rPr>
        <w:footnoteReference w:id="9"/>
      </w:r>
      <w:r w:rsidRPr="0032237F">
        <w:rPr>
          <w:rFonts w:ascii="Verdana" w:hAnsi="Verdana"/>
        </w:rPr>
        <w:t xml:space="preserve"> entre julio de 2014 y </w:t>
      </w:r>
      <w:r w:rsidR="00A96460">
        <w:rPr>
          <w:rFonts w:ascii="Verdana" w:hAnsi="Verdana"/>
        </w:rPr>
        <w:t>septiembre</w:t>
      </w:r>
      <w:r w:rsidR="00A96460" w:rsidRPr="0032237F">
        <w:rPr>
          <w:rFonts w:ascii="Verdana" w:hAnsi="Verdana"/>
        </w:rPr>
        <w:t xml:space="preserve"> </w:t>
      </w:r>
      <w:r w:rsidRPr="0032237F">
        <w:rPr>
          <w:rFonts w:ascii="Verdana" w:hAnsi="Verdana"/>
        </w:rPr>
        <w:t>de 2016</w:t>
      </w:r>
      <w:r w:rsidRPr="001F49EF">
        <w:rPr>
          <w:rStyle w:val="Refdenotaalpie"/>
          <w:rFonts w:ascii="Verdana" w:hAnsi="Verdana"/>
        </w:rPr>
        <w:footnoteReference w:id="10"/>
      </w:r>
      <w:r w:rsidRPr="0032237F">
        <w:rPr>
          <w:rFonts w:ascii="Verdana" w:hAnsi="Verdana"/>
        </w:rPr>
        <w:t>.</w:t>
      </w:r>
    </w:p>
    <w:p w:rsidR="0032237F" w:rsidRPr="0032237F" w:rsidRDefault="009075A1" w:rsidP="0032237F">
      <w:pPr>
        <w:pStyle w:val="Textonotapie"/>
        <w:numPr>
          <w:ilvl w:val="0"/>
          <w:numId w:val="31"/>
        </w:numPr>
        <w:spacing w:before="120" w:after="120"/>
        <w:ind w:left="0" w:firstLine="0"/>
        <w:jc w:val="both"/>
        <w:rPr>
          <w:rFonts w:ascii="Verdana" w:hAnsi="Verdana"/>
          <w:sz w:val="16"/>
          <w:szCs w:val="16"/>
        </w:rPr>
      </w:pPr>
      <w:r w:rsidRPr="0032237F">
        <w:rPr>
          <w:rFonts w:ascii="Verdana" w:hAnsi="Verdana"/>
        </w:rPr>
        <w:t xml:space="preserve">Los </w:t>
      </w:r>
      <w:r w:rsidR="008A0396" w:rsidRPr="00577323">
        <w:rPr>
          <w:rFonts w:ascii="Verdana" w:hAnsi="Verdana"/>
        </w:rPr>
        <w:t>c</w:t>
      </w:r>
      <w:r w:rsidR="008A0396">
        <w:rPr>
          <w:rFonts w:ascii="Verdana" w:hAnsi="Verdana"/>
        </w:rPr>
        <w:t>uatro</w:t>
      </w:r>
      <w:r w:rsidR="008A0396" w:rsidRPr="0032237F">
        <w:rPr>
          <w:rFonts w:ascii="Verdana" w:hAnsi="Verdana"/>
        </w:rPr>
        <w:t xml:space="preserve"> </w:t>
      </w:r>
      <w:r w:rsidRPr="0032237F">
        <w:rPr>
          <w:rFonts w:ascii="Verdana" w:hAnsi="Verdana"/>
        </w:rPr>
        <w:t>escritos de observaciones presentados por la Comisión Interamericana</w:t>
      </w:r>
      <w:r w:rsidR="009E625C" w:rsidRPr="0032237F">
        <w:rPr>
          <w:rFonts w:ascii="Verdana" w:hAnsi="Verdana"/>
        </w:rPr>
        <w:t xml:space="preserve"> de Derechos Humanos</w:t>
      </w:r>
      <w:r w:rsidRPr="0032237F">
        <w:rPr>
          <w:rFonts w:ascii="Verdana" w:hAnsi="Verdana"/>
        </w:rPr>
        <w:t xml:space="preserve"> </w:t>
      </w:r>
      <w:r w:rsidR="009E625C" w:rsidRPr="0032237F">
        <w:rPr>
          <w:rFonts w:ascii="Verdana" w:hAnsi="Verdana"/>
        </w:rPr>
        <w:t>(en adelante “la Comisión Interamericana” o “la Comisión”)</w:t>
      </w:r>
      <w:r w:rsidR="008A0396">
        <w:rPr>
          <w:rFonts w:ascii="Verdana" w:hAnsi="Verdana"/>
        </w:rPr>
        <w:t xml:space="preserve"> entre marzo de 2015 y septiembre de 2016</w:t>
      </w:r>
      <w:r w:rsidR="00A623AA">
        <w:rPr>
          <w:rStyle w:val="Refdenotaalpie"/>
          <w:rFonts w:ascii="Verdana" w:hAnsi="Verdana"/>
        </w:rPr>
        <w:footnoteReference w:id="11"/>
      </w:r>
      <w:r w:rsidR="00A623AA">
        <w:rPr>
          <w:rFonts w:ascii="Verdana" w:hAnsi="Verdana"/>
        </w:rPr>
        <w:t>.</w:t>
      </w:r>
      <w:r w:rsidR="00DD636A" w:rsidRPr="0032237F">
        <w:rPr>
          <w:rFonts w:ascii="Verdana" w:hAnsi="Verdana"/>
        </w:rPr>
        <w:t xml:space="preserve"> </w:t>
      </w:r>
    </w:p>
    <w:p w:rsidR="00DA0F25" w:rsidRPr="008966E0" w:rsidRDefault="00DA0F25" w:rsidP="009228F3">
      <w:pPr>
        <w:widowControl/>
        <w:autoSpaceDE w:val="0"/>
        <w:autoSpaceDN w:val="0"/>
        <w:adjustRightInd w:val="0"/>
        <w:jc w:val="both"/>
        <w:rPr>
          <w:rFonts w:ascii="Verdana" w:hAnsi="Verdana"/>
          <w:b/>
        </w:rPr>
      </w:pPr>
    </w:p>
    <w:p w:rsidR="00DA0F25" w:rsidRPr="00300A86" w:rsidRDefault="00DA0F25" w:rsidP="00DA0F25">
      <w:pPr>
        <w:spacing w:before="120" w:after="120"/>
        <w:jc w:val="both"/>
        <w:rPr>
          <w:rFonts w:ascii="Verdana" w:hAnsi="Verdana"/>
          <w:b/>
          <w:caps/>
        </w:rPr>
      </w:pPr>
      <w:r w:rsidRPr="00300A86">
        <w:rPr>
          <w:rFonts w:ascii="Verdana" w:hAnsi="Verdana"/>
          <w:b/>
          <w:caps/>
        </w:rPr>
        <w:t>Considerando</w:t>
      </w:r>
      <w:r>
        <w:rPr>
          <w:rFonts w:ascii="Verdana" w:hAnsi="Verdana"/>
          <w:b/>
          <w:caps/>
        </w:rPr>
        <w:t xml:space="preserve"> QUE:</w:t>
      </w:r>
    </w:p>
    <w:p w:rsidR="00FE71A0" w:rsidRDefault="00DA0F25" w:rsidP="00FB35EE">
      <w:pPr>
        <w:widowControl/>
        <w:numPr>
          <w:ilvl w:val="0"/>
          <w:numId w:val="2"/>
        </w:numPr>
        <w:spacing w:before="120" w:after="120"/>
        <w:ind w:left="0" w:right="9" w:hanging="11"/>
        <w:jc w:val="both"/>
        <w:rPr>
          <w:rFonts w:ascii="Verdana" w:hAnsi="Verdana"/>
        </w:rPr>
      </w:pPr>
      <w:r w:rsidRPr="004629C1">
        <w:rPr>
          <w:rFonts w:ascii="Verdana" w:hAnsi="Verdana"/>
        </w:rPr>
        <w:t xml:space="preserve">En el ejercicio de </w:t>
      </w:r>
      <w:r w:rsidRPr="004629C1">
        <w:rPr>
          <w:rFonts w:ascii="Verdana" w:hAnsi="Verdana"/>
          <w:lang w:val="es-ES"/>
        </w:rPr>
        <w:t xml:space="preserve">su función jurisdiccional de </w:t>
      </w:r>
      <w:r w:rsidRPr="004629C1">
        <w:rPr>
          <w:rFonts w:ascii="Verdana" w:hAnsi="Verdana"/>
        </w:rPr>
        <w:t>supervisar el cumplimiento de sus decisiones</w:t>
      </w:r>
      <w:r w:rsidRPr="004629C1">
        <w:rPr>
          <w:rStyle w:val="Refdenotaalpie"/>
          <w:rFonts w:ascii="Verdana" w:hAnsi="Verdana"/>
        </w:rPr>
        <w:footnoteReference w:id="12"/>
      </w:r>
      <w:r w:rsidRPr="004629C1">
        <w:rPr>
          <w:rFonts w:ascii="Verdana" w:hAnsi="Verdana"/>
        </w:rPr>
        <w:t xml:space="preserve">, la Corte ha venido supervisando la ejecución de </w:t>
      </w:r>
      <w:r w:rsidR="00D43E12" w:rsidRPr="004629C1">
        <w:rPr>
          <w:rFonts w:ascii="Verdana" w:hAnsi="Verdana"/>
        </w:rPr>
        <w:t>la Sentencia</w:t>
      </w:r>
      <w:r w:rsidRPr="004629C1">
        <w:rPr>
          <w:rFonts w:ascii="Verdana" w:hAnsi="Verdana"/>
        </w:rPr>
        <w:t xml:space="preserve"> emitida </w:t>
      </w:r>
      <w:r w:rsidR="005D216A" w:rsidRPr="004629C1">
        <w:rPr>
          <w:rFonts w:ascii="Verdana" w:hAnsi="Verdana"/>
          <w:lang w:val="es-MX"/>
        </w:rPr>
        <w:t>en el presente caso en el año 201</w:t>
      </w:r>
      <w:r w:rsidR="00F5064A" w:rsidRPr="004629C1">
        <w:rPr>
          <w:rFonts w:ascii="Verdana" w:hAnsi="Verdana"/>
          <w:lang w:val="es-MX"/>
        </w:rPr>
        <w:t>3</w:t>
      </w:r>
      <w:r w:rsidRPr="004629C1">
        <w:rPr>
          <w:rFonts w:ascii="Verdana" w:hAnsi="Verdana"/>
          <w:lang w:val="es-MX"/>
        </w:rPr>
        <w:t xml:space="preserve"> (</w:t>
      </w:r>
      <w:r w:rsidRPr="004629C1">
        <w:rPr>
          <w:rFonts w:ascii="Verdana" w:hAnsi="Verdana"/>
          <w:i/>
          <w:lang w:val="es-MX"/>
        </w:rPr>
        <w:t>supra</w:t>
      </w:r>
      <w:r w:rsidRPr="004629C1">
        <w:rPr>
          <w:rFonts w:ascii="Verdana" w:hAnsi="Verdana"/>
          <w:lang w:val="es-MX"/>
        </w:rPr>
        <w:t xml:space="preserve"> Visto 1). </w:t>
      </w:r>
      <w:r w:rsidR="005D216A" w:rsidRPr="004629C1">
        <w:rPr>
          <w:rFonts w:ascii="Verdana" w:hAnsi="Verdana"/>
          <w:lang w:val="es-MX"/>
        </w:rPr>
        <w:t>En la Sentencia el Tribunal</w:t>
      </w:r>
      <w:r w:rsidR="00F607CA" w:rsidRPr="004629C1">
        <w:rPr>
          <w:rFonts w:ascii="Verdana" w:hAnsi="Verdana"/>
          <w:lang w:val="es-MX"/>
        </w:rPr>
        <w:t xml:space="preserve"> </w:t>
      </w:r>
      <w:r w:rsidR="005D216A" w:rsidRPr="004629C1">
        <w:rPr>
          <w:rFonts w:ascii="Verdana" w:hAnsi="Verdana"/>
          <w:lang w:val="es-MX"/>
        </w:rPr>
        <w:t xml:space="preserve">dispuso las siguientes medidas de reparación: </w:t>
      </w:r>
      <w:r w:rsidR="007C0500" w:rsidRPr="00330F82">
        <w:rPr>
          <w:rFonts w:ascii="Verdana" w:hAnsi="Verdana"/>
          <w:lang w:val="es-MX"/>
        </w:rPr>
        <w:t>a</w:t>
      </w:r>
      <w:r w:rsidR="001F212A" w:rsidRPr="00330F82">
        <w:rPr>
          <w:rFonts w:ascii="Verdana" w:hAnsi="Verdana"/>
          <w:lang w:val="es-MX"/>
        </w:rPr>
        <w:t xml:space="preserve">) </w:t>
      </w:r>
      <w:r w:rsidR="00F5064A" w:rsidRPr="00330F82">
        <w:rPr>
          <w:rFonts w:ascii="Verdana" w:hAnsi="Verdana"/>
          <w:lang w:val="es-MX"/>
        </w:rPr>
        <w:t xml:space="preserve">realizar las publicaciones </w:t>
      </w:r>
      <w:r w:rsidR="00242E97" w:rsidRPr="00330F82">
        <w:rPr>
          <w:rFonts w:ascii="Verdana" w:hAnsi="Verdana"/>
          <w:lang w:val="es-MX"/>
        </w:rPr>
        <w:t xml:space="preserve">de la Sentencia </w:t>
      </w:r>
      <w:r w:rsidR="00F5064A" w:rsidRPr="00330F82">
        <w:rPr>
          <w:rFonts w:ascii="Verdana" w:hAnsi="Verdana"/>
          <w:lang w:val="es-MX"/>
        </w:rPr>
        <w:t xml:space="preserve">que se indican en el párrafo 208 de la </w:t>
      </w:r>
      <w:r w:rsidR="00242E97" w:rsidRPr="00330F82">
        <w:rPr>
          <w:rFonts w:ascii="Verdana" w:hAnsi="Verdana"/>
          <w:lang w:val="es-MX"/>
        </w:rPr>
        <w:t>misma</w:t>
      </w:r>
      <w:r w:rsidR="00FB35EE" w:rsidRPr="00330F82">
        <w:rPr>
          <w:rFonts w:ascii="Verdana" w:hAnsi="Verdana"/>
          <w:lang w:val="es-MX"/>
        </w:rPr>
        <w:t xml:space="preserve">; </w:t>
      </w:r>
      <w:r w:rsidR="007C0500" w:rsidRPr="00330F82">
        <w:rPr>
          <w:rFonts w:ascii="Verdana" w:hAnsi="Verdana"/>
        </w:rPr>
        <w:t>b</w:t>
      </w:r>
      <w:r w:rsidR="00FB35EE" w:rsidRPr="00330F82">
        <w:rPr>
          <w:rFonts w:ascii="Verdana" w:hAnsi="Verdana"/>
          <w:lang w:val="es-MX"/>
        </w:rPr>
        <w:t xml:space="preserve">) </w:t>
      </w:r>
      <w:r w:rsidR="005E4C55" w:rsidRPr="00330F82">
        <w:rPr>
          <w:rFonts w:ascii="Verdana" w:hAnsi="Verdana"/>
          <w:lang w:val="es-MX"/>
        </w:rPr>
        <w:t>pagar a las 27 víctimas una indemnización como compensación por la imposibilidad de retornar a sus funciones como magistrados de la Corte Suprema</w:t>
      </w:r>
      <w:r w:rsidR="00654312" w:rsidRPr="00330F82">
        <w:rPr>
          <w:rFonts w:ascii="Verdana" w:hAnsi="Verdana"/>
          <w:lang w:val="es-MX"/>
        </w:rPr>
        <w:t xml:space="preserve"> de Justicia; </w:t>
      </w:r>
      <w:r w:rsidR="007C0500" w:rsidRPr="00330F82">
        <w:rPr>
          <w:rFonts w:ascii="Verdana" w:hAnsi="Verdana"/>
          <w:lang w:val="es-MX"/>
        </w:rPr>
        <w:t>c</w:t>
      </w:r>
      <w:r w:rsidR="00FB35EE" w:rsidRPr="00330F82">
        <w:rPr>
          <w:rFonts w:ascii="Verdana" w:hAnsi="Verdana"/>
          <w:lang w:val="es-MX"/>
        </w:rPr>
        <w:t xml:space="preserve">) </w:t>
      </w:r>
      <w:r w:rsidR="004629C1" w:rsidRPr="00330F82">
        <w:rPr>
          <w:rFonts w:ascii="Verdana" w:hAnsi="Verdana"/>
        </w:rPr>
        <w:t xml:space="preserve">pagar las cantidades fijadas por concepto de indemnizaciones por daños materiales e inmateriales, y </w:t>
      </w:r>
      <w:r w:rsidR="00654312" w:rsidRPr="00330F82">
        <w:rPr>
          <w:rFonts w:ascii="Verdana" w:hAnsi="Verdana"/>
        </w:rPr>
        <w:t>d)</w:t>
      </w:r>
      <w:r w:rsidR="00654312">
        <w:rPr>
          <w:rFonts w:ascii="Verdana" w:hAnsi="Verdana"/>
        </w:rPr>
        <w:t xml:space="preserve"> pagar la cantidad fijada </w:t>
      </w:r>
      <w:r w:rsidR="004629C1" w:rsidRPr="004629C1">
        <w:rPr>
          <w:rFonts w:ascii="Verdana" w:hAnsi="Verdana"/>
        </w:rPr>
        <w:t>por reintegro de costas y gastos</w:t>
      </w:r>
      <w:r w:rsidR="004629C1">
        <w:rPr>
          <w:rFonts w:ascii="Verdana" w:hAnsi="Verdana"/>
        </w:rPr>
        <w:t>.</w:t>
      </w:r>
    </w:p>
    <w:p w:rsidR="003B5297" w:rsidRPr="00F91E2C" w:rsidRDefault="003B5297" w:rsidP="003B5297">
      <w:pPr>
        <w:widowControl/>
        <w:spacing w:before="120" w:after="120"/>
        <w:ind w:right="9"/>
        <w:jc w:val="both"/>
        <w:rPr>
          <w:rFonts w:ascii="Verdana" w:hAnsi="Verdana"/>
        </w:rPr>
      </w:pPr>
    </w:p>
    <w:p w:rsidR="000B6141" w:rsidRPr="00472D50" w:rsidRDefault="000B6141" w:rsidP="000B6141">
      <w:pPr>
        <w:widowControl/>
        <w:numPr>
          <w:ilvl w:val="0"/>
          <w:numId w:val="2"/>
        </w:numPr>
        <w:spacing w:before="120" w:after="120"/>
        <w:ind w:left="0" w:right="9" w:hanging="11"/>
        <w:jc w:val="both"/>
        <w:rPr>
          <w:rFonts w:ascii="Verdana" w:hAnsi="Verdana"/>
        </w:rPr>
      </w:pPr>
      <w:r w:rsidRPr="008F19A9">
        <w:rPr>
          <w:rFonts w:ascii="Verdana" w:hAnsi="Verdana"/>
        </w:rPr>
        <w:lastRenderedPageBreak/>
        <w:t xml:space="preserve">De conformidad con </w:t>
      </w:r>
      <w:r w:rsidRPr="00D44BD9">
        <w:rPr>
          <w:rFonts w:ascii="Verdana" w:hAnsi="Verdana"/>
          <w:lang w:val="es-ES"/>
        </w:rPr>
        <w:t>lo establecido en el artículo</w:t>
      </w:r>
      <w:r w:rsidRPr="008F19A9">
        <w:rPr>
          <w:rFonts w:ascii="Verdana" w:hAnsi="Verdana"/>
        </w:rPr>
        <w:t xml:space="preserve"> </w:t>
      </w:r>
      <w:r w:rsidRPr="008F19A9">
        <w:rPr>
          <w:rFonts w:ascii="Verdana" w:hAnsi="Verdana"/>
          <w:color w:val="000000"/>
          <w:lang w:val="es-CO"/>
        </w:rPr>
        <w:t>68.1 de la Convención Americana, “[l]os Est</w:t>
      </w:r>
      <w:r w:rsidRPr="00FE71A0">
        <w:rPr>
          <w:rFonts w:ascii="Verdana" w:hAnsi="Verdana"/>
          <w:color w:val="000000"/>
          <w:lang w:val="es-CO"/>
        </w:rPr>
        <w:t>a</w:t>
      </w:r>
      <w:r w:rsidRPr="008F19A9">
        <w:rPr>
          <w:rFonts w:ascii="Verdana" w:hAnsi="Verdana"/>
          <w:color w:val="000000"/>
          <w:lang w:val="es-CO"/>
        </w:rPr>
        <w:t xml:space="preserve">dos Partes en la Convención se comprometen a cumplir la decisión de la </w:t>
      </w:r>
      <w:r w:rsidRPr="008F19A9">
        <w:rPr>
          <w:rFonts w:ascii="Verdana" w:hAnsi="Verdana"/>
          <w:color w:val="000000"/>
          <w:lang w:val="es-MX"/>
        </w:rPr>
        <w:t>Corte en todo caso en que sean parte</w:t>
      </w:r>
      <w:r w:rsidRPr="008F19A9">
        <w:rPr>
          <w:rFonts w:ascii="Verdana" w:hAnsi="Verdana"/>
          <w:i/>
          <w:color w:val="000000"/>
          <w:lang w:val="es-MX"/>
        </w:rPr>
        <w:t>s”</w:t>
      </w:r>
      <w:r w:rsidRPr="008F19A9">
        <w:rPr>
          <w:rFonts w:ascii="Verdana" w:hAnsi="Verdana" w:cs="Verdana"/>
          <w:i/>
          <w:lang w:val="es-MX"/>
        </w:rPr>
        <w:t>.</w:t>
      </w:r>
      <w:r w:rsidRPr="008F19A9">
        <w:rPr>
          <w:rFonts w:ascii="Verdana" w:hAnsi="Verdana" w:cs="Verdana"/>
          <w:lang w:val="es-MX"/>
        </w:rPr>
        <w:t xml:space="preserve"> </w:t>
      </w:r>
      <w:r w:rsidRPr="008F19A9">
        <w:rPr>
          <w:rFonts w:ascii="Verdana" w:hAnsi="Verdana"/>
          <w:lang w:val="es-MX"/>
        </w:rPr>
        <w:t xml:space="preserve">Esta obligación incluye el deber del Estado de informar a la Corte sobre las medidas </w:t>
      </w:r>
      <w:r w:rsidRPr="00D44BD9">
        <w:rPr>
          <w:rFonts w:ascii="Verdana" w:hAnsi="Verdana"/>
          <w:lang w:val="es-MX"/>
        </w:rPr>
        <w:t>ado</w:t>
      </w:r>
      <w:r w:rsidRPr="00D44BD9">
        <w:rPr>
          <w:rFonts w:ascii="Verdana" w:hAnsi="Verdana"/>
        </w:rPr>
        <w:t>ptadas para cumplir cada uno de los puntos ordenados por ésta, lo cual es funda</w:t>
      </w:r>
      <w:r w:rsidRPr="00D44BD9">
        <w:rPr>
          <w:rFonts w:ascii="Verdana" w:hAnsi="Verdana"/>
          <w:lang w:val="es-MX"/>
        </w:rPr>
        <w:t>mental para evalua</w:t>
      </w:r>
      <w:r w:rsidRPr="008F19A9">
        <w:rPr>
          <w:rFonts w:ascii="Verdana" w:hAnsi="Verdana"/>
        </w:rPr>
        <w:t>r el estado de cumplimiento de la Sentencia en su conjunto</w:t>
      </w:r>
      <w:r>
        <w:rPr>
          <w:rStyle w:val="Refdenotaalpie"/>
          <w:rFonts w:ascii="Verdana" w:hAnsi="Verdana"/>
        </w:rPr>
        <w:footnoteReference w:id="13"/>
      </w:r>
      <w:r w:rsidRPr="008F19A9">
        <w:rPr>
          <w:rFonts w:ascii="Verdana" w:hAnsi="Verdana"/>
        </w:rPr>
        <w:t>.</w:t>
      </w:r>
      <w:r>
        <w:rPr>
          <w:rFonts w:ascii="Verdana" w:hAnsi="Verdana"/>
        </w:rPr>
        <w:t xml:space="preserve"> </w:t>
      </w:r>
      <w:r w:rsidRPr="00472D50">
        <w:rPr>
          <w:rFonts w:ascii="Verdana" w:hAnsi="Verdana" w:cs="Verdana"/>
          <w:lang w:val="es-ES"/>
        </w:rPr>
        <w:t>Los Estados Parte en la Convención deben garantizar el cumplimiento de las disposiciones convencionales y sus efectos propios (</w:t>
      </w:r>
      <w:r w:rsidRPr="00472D50">
        <w:rPr>
          <w:rFonts w:ascii="Verdana" w:hAnsi="Verdana" w:cs="Verdana-Italic"/>
          <w:i/>
          <w:iCs/>
          <w:lang w:val="es-ES"/>
        </w:rPr>
        <w:t>effet utile</w:t>
      </w:r>
      <w:r w:rsidRPr="00472D50">
        <w:rPr>
          <w:rFonts w:ascii="Verdana" w:hAnsi="Verdana" w:cs="Verdana"/>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D71564">
        <w:rPr>
          <w:rStyle w:val="Refdenotaalpie"/>
          <w:rFonts w:ascii="Verdana" w:hAnsi="Verdana" w:cs="Verdana"/>
        </w:rPr>
        <w:footnoteReference w:id="14"/>
      </w:r>
      <w:r w:rsidRPr="00472D50">
        <w:rPr>
          <w:rFonts w:ascii="Verdana" w:hAnsi="Verdana" w:cs="Verdana"/>
          <w:lang w:val="es-ES"/>
        </w:rPr>
        <w:t>.</w:t>
      </w:r>
    </w:p>
    <w:p w:rsidR="00F112FC" w:rsidRDefault="007B0E9F" w:rsidP="00F112FC">
      <w:pPr>
        <w:widowControl/>
        <w:numPr>
          <w:ilvl w:val="0"/>
          <w:numId w:val="2"/>
        </w:numPr>
        <w:spacing w:before="120" w:after="120"/>
        <w:ind w:left="0" w:right="9" w:hanging="11"/>
        <w:jc w:val="both"/>
        <w:rPr>
          <w:rFonts w:ascii="Verdana" w:hAnsi="Verdana"/>
        </w:rPr>
      </w:pPr>
      <w:r w:rsidRPr="00BA1918">
        <w:rPr>
          <w:rFonts w:ascii="Verdana" w:hAnsi="Verdana"/>
        </w:rPr>
        <w:t xml:space="preserve">Seguidamente, la Corte valorará la información presentada por las partes respecto de las </w:t>
      </w:r>
      <w:r w:rsidR="00AC7636">
        <w:rPr>
          <w:rFonts w:ascii="Verdana" w:hAnsi="Verdana"/>
        </w:rPr>
        <w:t xml:space="preserve">cuatro </w:t>
      </w:r>
      <w:r w:rsidRPr="00BA1918">
        <w:rPr>
          <w:rFonts w:ascii="Verdana" w:hAnsi="Verdana"/>
        </w:rPr>
        <w:t>medidas de reparación ordenadas en este caso (</w:t>
      </w:r>
      <w:r w:rsidRPr="00BA1918">
        <w:rPr>
          <w:rFonts w:ascii="Verdana" w:hAnsi="Verdana"/>
          <w:i/>
        </w:rPr>
        <w:t>supra</w:t>
      </w:r>
      <w:r w:rsidRPr="00BA1918">
        <w:rPr>
          <w:rFonts w:ascii="Verdana" w:hAnsi="Verdana"/>
        </w:rPr>
        <w:t xml:space="preserve"> Considerando 1), y determinará el grado de cumplimiento por parte del Estado</w:t>
      </w:r>
      <w:r w:rsidR="00F112FC">
        <w:rPr>
          <w:rFonts w:ascii="Verdana" w:hAnsi="Verdana"/>
        </w:rPr>
        <w:t xml:space="preserve">. El Tribunal estructurará sus consideraciones en el siguiente orden: </w:t>
      </w:r>
    </w:p>
    <w:p w:rsidR="0058164F" w:rsidRPr="00B83743" w:rsidRDefault="0058164F" w:rsidP="0058164F">
      <w:pPr>
        <w:widowControl/>
        <w:spacing w:before="120" w:after="120"/>
        <w:ind w:right="9"/>
        <w:jc w:val="both"/>
        <w:rPr>
          <w:rFonts w:ascii="Verdana" w:hAnsi="Verdana"/>
          <w:sz w:val="2"/>
          <w:szCs w:val="2"/>
        </w:rPr>
      </w:pPr>
    </w:p>
    <w:p w:rsidR="0058164F" w:rsidRPr="00A562F4" w:rsidRDefault="0058164F" w:rsidP="0058164F">
      <w:pPr>
        <w:pStyle w:val="TDC1"/>
        <w:tabs>
          <w:tab w:val="left" w:pos="600"/>
          <w:tab w:val="left" w:pos="851"/>
          <w:tab w:val="left" w:pos="8080"/>
          <w:tab w:val="left" w:pos="8647"/>
          <w:tab w:val="right" w:leader="dot" w:pos="8828"/>
        </w:tabs>
        <w:ind w:left="567" w:right="616"/>
        <w:rPr>
          <w:rFonts w:ascii="Verdana" w:eastAsia="MS Mincho" w:hAnsi="Verdana"/>
          <w:b w:val="0"/>
          <w:bCs w:val="0"/>
          <w:i w:val="0"/>
          <w:iCs w:val="0"/>
          <w:noProof/>
          <w:sz w:val="16"/>
          <w:szCs w:val="16"/>
          <w:lang w:val="es-CR" w:eastAsia="es-CR"/>
        </w:rPr>
      </w:pPr>
      <w:r w:rsidRPr="0058164F">
        <w:rPr>
          <w:rFonts w:ascii="Verdana" w:hAnsi="Verdana"/>
          <w:b w:val="0"/>
          <w:i w:val="0"/>
          <w:sz w:val="16"/>
          <w:szCs w:val="16"/>
        </w:rPr>
        <w:fldChar w:fldCharType="begin"/>
      </w:r>
      <w:r w:rsidRPr="0058164F">
        <w:rPr>
          <w:rFonts w:ascii="Verdana" w:hAnsi="Verdana"/>
          <w:b w:val="0"/>
          <w:i w:val="0"/>
          <w:sz w:val="16"/>
          <w:szCs w:val="16"/>
        </w:rPr>
        <w:instrText xml:space="preserve"> TOC \o "1-3" \h \z \u </w:instrText>
      </w:r>
      <w:r w:rsidRPr="0058164F">
        <w:rPr>
          <w:rFonts w:ascii="Verdana" w:hAnsi="Verdana"/>
          <w:b w:val="0"/>
          <w:i w:val="0"/>
          <w:sz w:val="16"/>
          <w:szCs w:val="16"/>
        </w:rPr>
        <w:fldChar w:fldCharType="separate"/>
      </w:r>
      <w:hyperlink w:anchor="_Toc463857752" w:history="1">
        <w:r w:rsidRPr="0058164F">
          <w:rPr>
            <w:rStyle w:val="Hipervnculo"/>
            <w:rFonts w:ascii="Verdana" w:hAnsi="Verdana"/>
            <w:b w:val="0"/>
            <w:noProof/>
            <w:sz w:val="16"/>
            <w:szCs w:val="16"/>
          </w:rPr>
          <w:t>A.</w:t>
        </w:r>
        <w:r w:rsidRPr="00A562F4">
          <w:rPr>
            <w:rFonts w:ascii="Verdana" w:eastAsia="MS Mincho" w:hAnsi="Verdana"/>
            <w:b w:val="0"/>
            <w:bCs w:val="0"/>
            <w:i w:val="0"/>
            <w:iCs w:val="0"/>
            <w:noProof/>
            <w:sz w:val="16"/>
            <w:szCs w:val="16"/>
            <w:lang w:val="es-CR" w:eastAsia="es-CR"/>
          </w:rPr>
          <w:tab/>
        </w:r>
        <w:r w:rsidRPr="0058164F">
          <w:rPr>
            <w:rStyle w:val="Hipervnculo"/>
            <w:rFonts w:ascii="Verdana" w:hAnsi="Verdana"/>
            <w:b w:val="0"/>
            <w:noProof/>
            <w:sz w:val="16"/>
            <w:szCs w:val="16"/>
          </w:rPr>
          <w:t>Realizar las publicaciones de la Sentencia dispuestas en la misma…………………</w:t>
        </w:r>
        <w:r>
          <w:rPr>
            <w:rStyle w:val="Hipervnculo"/>
            <w:rFonts w:ascii="Verdana" w:hAnsi="Verdana"/>
            <w:b w:val="0"/>
            <w:noProof/>
            <w:sz w:val="16"/>
            <w:szCs w:val="16"/>
          </w:rPr>
          <w:t>…………………</w:t>
        </w:r>
        <w:r w:rsidRPr="0058164F">
          <w:rPr>
            <w:rFonts w:ascii="Verdana" w:hAnsi="Verdana"/>
            <w:b w:val="0"/>
            <w:noProof/>
            <w:webHidden/>
            <w:sz w:val="16"/>
            <w:szCs w:val="16"/>
          </w:rPr>
          <w:tab/>
        </w:r>
        <w:r w:rsidRPr="0058164F">
          <w:rPr>
            <w:rFonts w:ascii="Verdana" w:hAnsi="Verdana"/>
            <w:b w:val="0"/>
            <w:noProof/>
            <w:webHidden/>
            <w:sz w:val="16"/>
            <w:szCs w:val="16"/>
          </w:rPr>
          <w:fldChar w:fldCharType="begin"/>
        </w:r>
        <w:r w:rsidRPr="0058164F">
          <w:rPr>
            <w:rFonts w:ascii="Verdana" w:hAnsi="Verdana"/>
            <w:b w:val="0"/>
            <w:noProof/>
            <w:webHidden/>
            <w:sz w:val="16"/>
            <w:szCs w:val="16"/>
          </w:rPr>
          <w:instrText xml:space="preserve"> PAGEREF _Toc463857752 \h </w:instrText>
        </w:r>
        <w:r w:rsidRPr="0058164F">
          <w:rPr>
            <w:rFonts w:ascii="Verdana" w:hAnsi="Verdana"/>
            <w:b w:val="0"/>
            <w:noProof/>
            <w:webHidden/>
            <w:sz w:val="16"/>
            <w:szCs w:val="16"/>
          </w:rPr>
        </w:r>
        <w:r w:rsidRPr="0058164F">
          <w:rPr>
            <w:rFonts w:ascii="Verdana" w:hAnsi="Verdana"/>
            <w:b w:val="0"/>
            <w:noProof/>
            <w:webHidden/>
            <w:sz w:val="16"/>
            <w:szCs w:val="16"/>
          </w:rPr>
          <w:fldChar w:fldCharType="separate"/>
        </w:r>
        <w:r w:rsidR="001F4572">
          <w:rPr>
            <w:rFonts w:ascii="Verdana" w:hAnsi="Verdana"/>
            <w:b w:val="0"/>
            <w:noProof/>
            <w:webHidden/>
            <w:sz w:val="16"/>
            <w:szCs w:val="16"/>
          </w:rPr>
          <w:t>3</w:t>
        </w:r>
        <w:r w:rsidRPr="0058164F">
          <w:rPr>
            <w:rFonts w:ascii="Verdana" w:hAnsi="Verdana"/>
            <w:b w:val="0"/>
            <w:noProof/>
            <w:webHidden/>
            <w:sz w:val="16"/>
            <w:szCs w:val="16"/>
          </w:rPr>
          <w:fldChar w:fldCharType="end"/>
        </w:r>
      </w:hyperlink>
    </w:p>
    <w:p w:rsidR="0058164F" w:rsidRPr="00A562F4" w:rsidRDefault="00764A02" w:rsidP="0058164F">
      <w:pPr>
        <w:pStyle w:val="TDC1"/>
        <w:tabs>
          <w:tab w:val="left" w:pos="600"/>
          <w:tab w:val="left" w:pos="851"/>
          <w:tab w:val="left" w:pos="8080"/>
          <w:tab w:val="left" w:pos="8647"/>
          <w:tab w:val="right" w:leader="dot" w:pos="8828"/>
        </w:tabs>
        <w:ind w:left="567" w:right="616"/>
        <w:rPr>
          <w:rFonts w:ascii="Verdana" w:eastAsia="MS Mincho" w:hAnsi="Verdana"/>
          <w:b w:val="0"/>
          <w:bCs w:val="0"/>
          <w:i w:val="0"/>
          <w:iCs w:val="0"/>
          <w:noProof/>
          <w:sz w:val="16"/>
          <w:szCs w:val="16"/>
          <w:lang w:val="es-CR" w:eastAsia="es-CR"/>
        </w:rPr>
      </w:pPr>
      <w:hyperlink w:anchor="_Toc463857753" w:history="1">
        <w:r w:rsidR="0058164F" w:rsidRPr="0058164F">
          <w:rPr>
            <w:rStyle w:val="Hipervnculo"/>
            <w:rFonts w:ascii="Verdana" w:hAnsi="Verdana"/>
            <w:b w:val="0"/>
            <w:noProof/>
            <w:sz w:val="16"/>
            <w:szCs w:val="16"/>
          </w:rPr>
          <w:t>B.</w:t>
        </w:r>
        <w:r w:rsidR="0058164F" w:rsidRPr="00A562F4">
          <w:rPr>
            <w:rFonts w:ascii="Verdana" w:eastAsia="MS Mincho" w:hAnsi="Verdana"/>
            <w:b w:val="0"/>
            <w:bCs w:val="0"/>
            <w:i w:val="0"/>
            <w:iCs w:val="0"/>
            <w:noProof/>
            <w:sz w:val="16"/>
            <w:szCs w:val="16"/>
            <w:lang w:val="es-CR" w:eastAsia="es-CR"/>
          </w:rPr>
          <w:tab/>
        </w:r>
        <w:r w:rsidR="0058164F" w:rsidRPr="0058164F">
          <w:rPr>
            <w:rStyle w:val="Hipervnculo"/>
            <w:rFonts w:ascii="Verdana" w:hAnsi="Verdana"/>
            <w:b w:val="0"/>
            <w:noProof/>
            <w:sz w:val="16"/>
            <w:szCs w:val="16"/>
          </w:rPr>
          <w:t xml:space="preserve">Indemnización por imposibilidad del reintegro de las víctimas a sus cargos como </w:t>
        </w:r>
        <w:r w:rsidR="0058164F" w:rsidRPr="0058164F">
          <w:rPr>
            <w:rStyle w:val="Hipervnculo"/>
            <w:rFonts w:ascii="Verdana" w:hAnsi="Verdana"/>
            <w:b w:val="0"/>
            <w:noProof/>
            <w:sz w:val="16"/>
            <w:szCs w:val="16"/>
            <w:lang w:val="es-MX"/>
          </w:rPr>
          <w:t>magistrados de la Corte Suprema de Justicia……………………………………………………</w:t>
        </w:r>
        <w:r w:rsidR="0058164F">
          <w:rPr>
            <w:rStyle w:val="Hipervnculo"/>
            <w:rFonts w:ascii="Verdana" w:hAnsi="Verdana"/>
            <w:b w:val="0"/>
            <w:noProof/>
            <w:sz w:val="16"/>
            <w:szCs w:val="16"/>
            <w:lang w:val="es-MX"/>
          </w:rPr>
          <w:t>……………………….</w:t>
        </w:r>
        <w:r w:rsidR="0058164F" w:rsidRPr="0058164F">
          <w:rPr>
            <w:rFonts w:ascii="Verdana" w:hAnsi="Verdana"/>
            <w:b w:val="0"/>
            <w:noProof/>
            <w:webHidden/>
            <w:sz w:val="16"/>
            <w:szCs w:val="16"/>
          </w:rPr>
          <w:tab/>
        </w:r>
        <w:r w:rsidR="0058164F" w:rsidRPr="0058164F">
          <w:rPr>
            <w:rFonts w:ascii="Verdana" w:hAnsi="Verdana"/>
            <w:b w:val="0"/>
            <w:noProof/>
            <w:webHidden/>
            <w:sz w:val="16"/>
            <w:szCs w:val="16"/>
          </w:rPr>
          <w:fldChar w:fldCharType="begin"/>
        </w:r>
        <w:r w:rsidR="0058164F" w:rsidRPr="0058164F">
          <w:rPr>
            <w:rFonts w:ascii="Verdana" w:hAnsi="Verdana"/>
            <w:b w:val="0"/>
            <w:noProof/>
            <w:webHidden/>
            <w:sz w:val="16"/>
            <w:szCs w:val="16"/>
          </w:rPr>
          <w:instrText xml:space="preserve"> PAGEREF _Toc463857753 \h </w:instrText>
        </w:r>
        <w:r w:rsidR="0058164F" w:rsidRPr="0058164F">
          <w:rPr>
            <w:rFonts w:ascii="Verdana" w:hAnsi="Verdana"/>
            <w:b w:val="0"/>
            <w:noProof/>
            <w:webHidden/>
            <w:sz w:val="16"/>
            <w:szCs w:val="16"/>
          </w:rPr>
        </w:r>
        <w:r w:rsidR="0058164F" w:rsidRPr="0058164F">
          <w:rPr>
            <w:rFonts w:ascii="Verdana" w:hAnsi="Verdana"/>
            <w:b w:val="0"/>
            <w:noProof/>
            <w:webHidden/>
            <w:sz w:val="16"/>
            <w:szCs w:val="16"/>
          </w:rPr>
          <w:fldChar w:fldCharType="separate"/>
        </w:r>
        <w:r w:rsidR="001F4572">
          <w:rPr>
            <w:rFonts w:ascii="Verdana" w:hAnsi="Verdana"/>
            <w:b w:val="0"/>
            <w:noProof/>
            <w:webHidden/>
            <w:sz w:val="16"/>
            <w:szCs w:val="16"/>
          </w:rPr>
          <w:t>5</w:t>
        </w:r>
        <w:r w:rsidR="0058164F" w:rsidRPr="0058164F">
          <w:rPr>
            <w:rFonts w:ascii="Verdana" w:hAnsi="Verdana"/>
            <w:b w:val="0"/>
            <w:noProof/>
            <w:webHidden/>
            <w:sz w:val="16"/>
            <w:szCs w:val="16"/>
          </w:rPr>
          <w:fldChar w:fldCharType="end"/>
        </w:r>
      </w:hyperlink>
    </w:p>
    <w:p w:rsidR="0058164F" w:rsidRPr="00A562F4" w:rsidRDefault="00764A02" w:rsidP="0058164F">
      <w:pPr>
        <w:pStyle w:val="TDC1"/>
        <w:tabs>
          <w:tab w:val="left" w:pos="600"/>
          <w:tab w:val="left" w:pos="851"/>
          <w:tab w:val="left" w:pos="8080"/>
          <w:tab w:val="left" w:pos="8647"/>
          <w:tab w:val="right" w:leader="dot" w:pos="8828"/>
        </w:tabs>
        <w:ind w:left="567" w:right="616"/>
        <w:rPr>
          <w:rFonts w:ascii="Verdana" w:eastAsia="MS Mincho" w:hAnsi="Verdana"/>
          <w:b w:val="0"/>
          <w:bCs w:val="0"/>
          <w:i w:val="0"/>
          <w:iCs w:val="0"/>
          <w:noProof/>
          <w:sz w:val="16"/>
          <w:szCs w:val="16"/>
          <w:lang w:val="es-CR" w:eastAsia="es-CR"/>
        </w:rPr>
      </w:pPr>
      <w:hyperlink w:anchor="_Toc463857754" w:history="1">
        <w:r w:rsidR="0058164F" w:rsidRPr="0058164F">
          <w:rPr>
            <w:rStyle w:val="Hipervnculo"/>
            <w:rFonts w:ascii="Verdana" w:hAnsi="Verdana"/>
            <w:b w:val="0"/>
            <w:noProof/>
            <w:sz w:val="16"/>
            <w:szCs w:val="16"/>
          </w:rPr>
          <w:t>C.</w:t>
        </w:r>
        <w:r w:rsidR="0058164F" w:rsidRPr="00A562F4">
          <w:rPr>
            <w:rFonts w:ascii="Verdana" w:eastAsia="MS Mincho" w:hAnsi="Verdana"/>
            <w:b w:val="0"/>
            <w:bCs w:val="0"/>
            <w:i w:val="0"/>
            <w:iCs w:val="0"/>
            <w:noProof/>
            <w:sz w:val="16"/>
            <w:szCs w:val="16"/>
            <w:lang w:val="es-CR" w:eastAsia="es-CR"/>
          </w:rPr>
          <w:tab/>
        </w:r>
        <w:r w:rsidR="0058164F" w:rsidRPr="0058164F">
          <w:rPr>
            <w:rStyle w:val="Hipervnculo"/>
            <w:rFonts w:ascii="Verdana" w:hAnsi="Verdana"/>
            <w:b w:val="0"/>
            <w:noProof/>
            <w:sz w:val="16"/>
            <w:szCs w:val="16"/>
          </w:rPr>
          <w:t>Indemnización por daños materiales e inmateriales, y reintegro de costas y gastos……………………………………………………………………………………………………………</w:t>
        </w:r>
        <w:r w:rsidR="0058164F">
          <w:rPr>
            <w:rStyle w:val="Hipervnculo"/>
            <w:rFonts w:ascii="Verdana" w:hAnsi="Verdana"/>
            <w:b w:val="0"/>
            <w:noProof/>
            <w:sz w:val="16"/>
            <w:szCs w:val="16"/>
          </w:rPr>
          <w:t>………………………………</w:t>
        </w:r>
        <w:r w:rsidR="0058164F" w:rsidRPr="0058164F">
          <w:rPr>
            <w:rFonts w:ascii="Verdana" w:hAnsi="Verdana"/>
            <w:b w:val="0"/>
            <w:noProof/>
            <w:webHidden/>
            <w:sz w:val="16"/>
            <w:szCs w:val="16"/>
          </w:rPr>
          <w:tab/>
        </w:r>
        <w:r w:rsidR="0058164F" w:rsidRPr="0058164F">
          <w:rPr>
            <w:rFonts w:ascii="Verdana" w:hAnsi="Verdana"/>
            <w:b w:val="0"/>
            <w:noProof/>
            <w:webHidden/>
            <w:sz w:val="16"/>
            <w:szCs w:val="16"/>
          </w:rPr>
          <w:fldChar w:fldCharType="begin"/>
        </w:r>
        <w:r w:rsidR="0058164F" w:rsidRPr="0058164F">
          <w:rPr>
            <w:rFonts w:ascii="Verdana" w:hAnsi="Verdana"/>
            <w:b w:val="0"/>
            <w:noProof/>
            <w:webHidden/>
            <w:sz w:val="16"/>
            <w:szCs w:val="16"/>
          </w:rPr>
          <w:instrText xml:space="preserve"> PAGEREF _Toc463857754 \h </w:instrText>
        </w:r>
        <w:r w:rsidR="0058164F" w:rsidRPr="0058164F">
          <w:rPr>
            <w:rFonts w:ascii="Verdana" w:hAnsi="Verdana"/>
            <w:b w:val="0"/>
            <w:noProof/>
            <w:webHidden/>
            <w:sz w:val="16"/>
            <w:szCs w:val="16"/>
          </w:rPr>
        </w:r>
        <w:r w:rsidR="0058164F" w:rsidRPr="0058164F">
          <w:rPr>
            <w:rFonts w:ascii="Verdana" w:hAnsi="Verdana"/>
            <w:b w:val="0"/>
            <w:noProof/>
            <w:webHidden/>
            <w:sz w:val="16"/>
            <w:szCs w:val="16"/>
          </w:rPr>
          <w:fldChar w:fldCharType="separate"/>
        </w:r>
        <w:r w:rsidR="001F4572">
          <w:rPr>
            <w:rFonts w:ascii="Verdana" w:hAnsi="Verdana"/>
            <w:b w:val="0"/>
            <w:noProof/>
            <w:webHidden/>
            <w:sz w:val="16"/>
            <w:szCs w:val="16"/>
          </w:rPr>
          <w:t>6</w:t>
        </w:r>
        <w:r w:rsidR="0058164F" w:rsidRPr="0058164F">
          <w:rPr>
            <w:rFonts w:ascii="Verdana" w:hAnsi="Verdana"/>
            <w:b w:val="0"/>
            <w:noProof/>
            <w:webHidden/>
            <w:sz w:val="16"/>
            <w:szCs w:val="16"/>
          </w:rPr>
          <w:fldChar w:fldCharType="end"/>
        </w:r>
      </w:hyperlink>
    </w:p>
    <w:p w:rsidR="0058164F" w:rsidRPr="008966E0" w:rsidRDefault="0058164F" w:rsidP="0058164F">
      <w:pPr>
        <w:widowControl/>
        <w:tabs>
          <w:tab w:val="left" w:pos="851"/>
          <w:tab w:val="left" w:pos="8080"/>
          <w:tab w:val="left" w:pos="8647"/>
        </w:tabs>
        <w:autoSpaceDE w:val="0"/>
        <w:autoSpaceDN w:val="0"/>
        <w:adjustRightInd w:val="0"/>
        <w:ind w:left="567" w:right="616"/>
        <w:jc w:val="both"/>
        <w:rPr>
          <w:rFonts w:ascii="Verdana" w:hAnsi="Verdana"/>
          <w:b/>
          <w:i/>
        </w:rPr>
      </w:pPr>
      <w:r w:rsidRPr="0058164F">
        <w:rPr>
          <w:rFonts w:ascii="Verdana" w:hAnsi="Verdana"/>
          <w:b/>
          <w:i/>
          <w:sz w:val="16"/>
          <w:szCs w:val="16"/>
        </w:rPr>
        <w:fldChar w:fldCharType="end"/>
      </w:r>
    </w:p>
    <w:p w:rsidR="00FF36C1" w:rsidRPr="003E1F5A" w:rsidRDefault="00E64638" w:rsidP="0058164F">
      <w:pPr>
        <w:pStyle w:val="Prrafodelista"/>
        <w:widowControl/>
        <w:numPr>
          <w:ilvl w:val="0"/>
          <w:numId w:val="25"/>
        </w:numPr>
        <w:autoSpaceDE w:val="0"/>
        <w:autoSpaceDN w:val="0"/>
        <w:adjustRightInd w:val="0"/>
        <w:spacing w:before="120" w:after="120"/>
        <w:jc w:val="both"/>
        <w:outlineLvl w:val="0"/>
        <w:rPr>
          <w:rFonts w:ascii="Verdana" w:hAnsi="Verdana"/>
          <w:b/>
          <w:i/>
        </w:rPr>
      </w:pPr>
      <w:bookmarkStart w:id="1" w:name="_Toc463857752"/>
      <w:r w:rsidRPr="003E1F5A">
        <w:rPr>
          <w:rFonts w:ascii="Verdana" w:hAnsi="Verdana"/>
          <w:b/>
          <w:i/>
        </w:rPr>
        <w:t>Realizar las publicaciones d</w:t>
      </w:r>
      <w:r w:rsidR="007F626A">
        <w:rPr>
          <w:rFonts w:ascii="Verdana" w:hAnsi="Verdana"/>
          <w:b/>
          <w:i/>
        </w:rPr>
        <w:t xml:space="preserve">ispuestas </w:t>
      </w:r>
      <w:r w:rsidRPr="003E1F5A">
        <w:rPr>
          <w:rFonts w:ascii="Verdana" w:hAnsi="Verdana"/>
          <w:b/>
          <w:i/>
        </w:rPr>
        <w:t>e</w:t>
      </w:r>
      <w:r w:rsidR="007F626A">
        <w:rPr>
          <w:rFonts w:ascii="Verdana" w:hAnsi="Verdana"/>
          <w:b/>
          <w:i/>
        </w:rPr>
        <w:t>n</w:t>
      </w:r>
      <w:r w:rsidRPr="003E1F5A">
        <w:rPr>
          <w:rFonts w:ascii="Verdana" w:hAnsi="Verdana"/>
          <w:b/>
          <w:i/>
        </w:rPr>
        <w:t xml:space="preserve"> la </w:t>
      </w:r>
      <w:bookmarkEnd w:id="1"/>
      <w:r w:rsidR="008E4A63">
        <w:rPr>
          <w:rFonts w:ascii="Verdana" w:hAnsi="Verdana"/>
          <w:b/>
          <w:i/>
        </w:rPr>
        <w:t>Sentencia</w:t>
      </w:r>
    </w:p>
    <w:p w:rsidR="00FF36C1" w:rsidRPr="00FF56F6" w:rsidRDefault="006A0FC3" w:rsidP="003E1F5A">
      <w:pPr>
        <w:widowControl/>
        <w:autoSpaceDE w:val="0"/>
        <w:autoSpaceDN w:val="0"/>
        <w:adjustRightInd w:val="0"/>
        <w:spacing w:before="120" w:after="120"/>
        <w:ind w:left="708"/>
        <w:jc w:val="both"/>
        <w:rPr>
          <w:rFonts w:ascii="Verdana" w:hAnsi="Verdana"/>
          <w:i/>
        </w:rPr>
      </w:pPr>
      <w:r>
        <w:rPr>
          <w:rFonts w:ascii="Verdana" w:hAnsi="Verdana"/>
          <w:i/>
        </w:rPr>
        <w:t>A.1.</w:t>
      </w:r>
      <w:r w:rsidR="00FF36C1" w:rsidRPr="00FF56F6">
        <w:rPr>
          <w:rFonts w:ascii="Verdana" w:hAnsi="Verdana"/>
          <w:i/>
        </w:rPr>
        <w:t xml:space="preserve"> Medida ordenada por la Corte</w:t>
      </w:r>
    </w:p>
    <w:p w:rsidR="000E2FEC" w:rsidRPr="00E64638" w:rsidRDefault="00E64638" w:rsidP="003E1F5A">
      <w:pPr>
        <w:widowControl/>
        <w:numPr>
          <w:ilvl w:val="0"/>
          <w:numId w:val="2"/>
        </w:numPr>
        <w:spacing w:before="120" w:after="120"/>
        <w:ind w:left="0" w:right="9" w:hanging="11"/>
        <w:jc w:val="both"/>
        <w:rPr>
          <w:rFonts w:ascii="Verdana" w:hAnsi="Verdana"/>
        </w:rPr>
      </w:pPr>
      <w:r w:rsidRPr="00CA1877">
        <w:rPr>
          <w:rFonts w:ascii="Verdana" w:hAnsi="Verdana"/>
        </w:rPr>
        <w:t xml:space="preserve">En el punto dispositivo </w:t>
      </w:r>
      <w:r>
        <w:rPr>
          <w:rFonts w:ascii="Verdana" w:hAnsi="Verdana"/>
        </w:rPr>
        <w:t>noveno y en el párrafo 208</w:t>
      </w:r>
      <w:r w:rsidRPr="00CA1877">
        <w:rPr>
          <w:rFonts w:ascii="Verdana" w:hAnsi="Verdana"/>
        </w:rPr>
        <w:t xml:space="preserve"> de la Sentencia, </w:t>
      </w:r>
      <w:r w:rsidR="0087250D">
        <w:rPr>
          <w:rFonts w:ascii="Verdana" w:hAnsi="Verdana"/>
        </w:rPr>
        <w:t>se</w:t>
      </w:r>
      <w:r w:rsidRPr="00CA1877">
        <w:rPr>
          <w:rFonts w:ascii="Verdana" w:hAnsi="Verdana"/>
        </w:rPr>
        <w:t xml:space="preserve"> dispuso que “el Estado publique, </w:t>
      </w:r>
      <w:r>
        <w:rPr>
          <w:rFonts w:ascii="Verdana" w:hAnsi="Verdana"/>
        </w:rPr>
        <w:t>en el</w:t>
      </w:r>
      <w:r w:rsidRPr="00CA1877">
        <w:rPr>
          <w:rFonts w:ascii="Verdana" w:hAnsi="Verdana"/>
        </w:rPr>
        <w:t xml:space="preserve"> plazo de seis meses</w:t>
      </w:r>
      <w:r>
        <w:rPr>
          <w:rFonts w:ascii="Verdana" w:hAnsi="Verdana"/>
        </w:rPr>
        <w:t>, contado</w:t>
      </w:r>
      <w:r w:rsidRPr="00CA1877">
        <w:rPr>
          <w:rFonts w:ascii="Verdana" w:hAnsi="Verdana"/>
        </w:rPr>
        <w:t xml:space="preserve"> a partir de la notificación de la […] Sentencia</w:t>
      </w:r>
      <w:r>
        <w:rPr>
          <w:rFonts w:ascii="Verdana" w:hAnsi="Verdana"/>
        </w:rPr>
        <w:t xml:space="preserve">: a) el resumen oficial de la […] Sentencia elaborado por la Corte, por una sola vez en el diario oficial de Ecuador; b) el resumen oficial de la […] Sentencia elaborado por la Corte, por una sola vez, en un diario de amplia circulación nacional, y c) la […] Sentencia en su integridad, disponible por un período de un año, en un </w:t>
      </w:r>
      <w:r w:rsidRPr="005018AF">
        <w:rPr>
          <w:rFonts w:ascii="Verdana" w:hAnsi="Verdana"/>
          <w:i/>
        </w:rPr>
        <w:t>sitio web</w:t>
      </w:r>
      <w:r>
        <w:rPr>
          <w:rFonts w:ascii="Verdana" w:hAnsi="Verdana"/>
        </w:rPr>
        <w:t xml:space="preserve"> oficial del poder judicial”. </w:t>
      </w:r>
    </w:p>
    <w:p w:rsidR="00C61947" w:rsidRDefault="00C61947" w:rsidP="003E1F5A">
      <w:pPr>
        <w:widowControl/>
        <w:spacing w:before="120" w:after="120"/>
        <w:ind w:left="708" w:right="9"/>
        <w:jc w:val="both"/>
        <w:rPr>
          <w:rFonts w:ascii="Verdana" w:hAnsi="Verdana"/>
          <w:i/>
        </w:rPr>
      </w:pPr>
    </w:p>
    <w:p w:rsidR="00FF36C1" w:rsidRPr="0064019A" w:rsidRDefault="006A0FC3" w:rsidP="003E1F5A">
      <w:pPr>
        <w:widowControl/>
        <w:spacing w:before="120" w:after="120"/>
        <w:ind w:left="708" w:right="9"/>
        <w:jc w:val="both"/>
        <w:rPr>
          <w:rFonts w:ascii="Verdana" w:hAnsi="Verdana"/>
          <w:i/>
        </w:rPr>
      </w:pPr>
      <w:r>
        <w:rPr>
          <w:rFonts w:ascii="Verdana" w:hAnsi="Verdana"/>
          <w:i/>
        </w:rPr>
        <w:t>A.2.</w:t>
      </w:r>
      <w:r w:rsidR="00FF36C1" w:rsidRPr="0064019A">
        <w:rPr>
          <w:rFonts w:ascii="Verdana" w:hAnsi="Verdana"/>
          <w:i/>
        </w:rPr>
        <w:t xml:space="preserve"> Consideraciones de la Corte</w:t>
      </w:r>
    </w:p>
    <w:p w:rsidR="00E717E0" w:rsidRDefault="001B2878" w:rsidP="00E717E0">
      <w:pPr>
        <w:widowControl/>
        <w:numPr>
          <w:ilvl w:val="0"/>
          <w:numId w:val="2"/>
        </w:numPr>
        <w:spacing w:before="120" w:after="120"/>
        <w:ind w:left="0" w:right="9" w:hanging="11"/>
        <w:jc w:val="both"/>
        <w:rPr>
          <w:rFonts w:ascii="Verdana" w:hAnsi="Verdana"/>
        </w:rPr>
      </w:pPr>
      <w:r w:rsidRPr="00A562F4">
        <w:rPr>
          <w:rFonts w:ascii="Verdana" w:eastAsia="Calibri" w:hAnsi="Verdana" w:cs="Arial"/>
          <w:lang w:val="es-CR" w:eastAsia="en-US"/>
        </w:rPr>
        <w:t>Con base en el comprobante aportado</w:t>
      </w:r>
      <w:r w:rsidR="00035A71" w:rsidRPr="00A562F4">
        <w:rPr>
          <w:rFonts w:ascii="Verdana" w:eastAsia="Calibri" w:hAnsi="Verdana" w:cs="Arial"/>
          <w:lang w:val="es-CR" w:eastAsia="en-US"/>
        </w:rPr>
        <w:t xml:space="preserve"> por el Estado</w:t>
      </w:r>
      <w:r w:rsidRPr="00A562F4">
        <w:rPr>
          <w:rFonts w:ascii="Verdana" w:eastAsia="Calibri" w:hAnsi="Verdana" w:cs="Arial"/>
          <w:lang w:val="es-CR" w:eastAsia="en-US"/>
        </w:rPr>
        <w:t>,</w:t>
      </w:r>
      <w:r w:rsidR="00035A71" w:rsidRPr="00A562F4">
        <w:rPr>
          <w:rFonts w:ascii="Verdana" w:eastAsia="Calibri" w:hAnsi="Verdana" w:cs="Arial"/>
          <w:lang w:val="es-CR" w:eastAsia="en-US"/>
        </w:rPr>
        <w:t xml:space="preserve"> el cual no fue controvertido por </w:t>
      </w:r>
      <w:r w:rsidR="00AC7636" w:rsidRPr="00A562F4">
        <w:rPr>
          <w:rFonts w:ascii="Verdana" w:eastAsia="Calibri" w:hAnsi="Verdana" w:cs="Arial"/>
          <w:lang w:val="es-CR" w:eastAsia="en-US"/>
        </w:rPr>
        <w:t>los representantes</w:t>
      </w:r>
      <w:r w:rsidR="00F27D35" w:rsidRPr="00A562F4">
        <w:rPr>
          <w:rFonts w:ascii="Verdana" w:eastAsia="Calibri" w:hAnsi="Verdana" w:cs="Arial"/>
          <w:lang w:val="es-CR" w:eastAsia="en-US"/>
        </w:rPr>
        <w:t xml:space="preserve"> ni la Comisión</w:t>
      </w:r>
      <w:r w:rsidR="00035A71" w:rsidRPr="00A562F4">
        <w:rPr>
          <w:rFonts w:ascii="Verdana" w:eastAsia="Calibri" w:hAnsi="Verdana" w:cs="Arial"/>
          <w:lang w:val="es-CR" w:eastAsia="en-US"/>
        </w:rPr>
        <w:t>,</w:t>
      </w:r>
      <w:r w:rsidRPr="00A562F4">
        <w:rPr>
          <w:rFonts w:ascii="Verdana" w:eastAsia="Calibri" w:hAnsi="Verdana" w:cs="Arial"/>
          <w:lang w:val="es-CR" w:eastAsia="en-US"/>
        </w:rPr>
        <w:t xml:space="preserve"> este Tribunal constata que, dentro del plazo otorgado en la Sentencia, el Estado cumplió con publicar</w:t>
      </w:r>
      <w:r w:rsidR="00AC7636" w:rsidRPr="00A562F4">
        <w:rPr>
          <w:rFonts w:ascii="Verdana" w:eastAsia="Calibri" w:hAnsi="Verdana" w:cs="Arial"/>
          <w:lang w:val="es-CR" w:eastAsia="en-US"/>
        </w:rPr>
        <w:t>, por una sola vez,</w:t>
      </w:r>
      <w:r w:rsidRPr="00A562F4">
        <w:rPr>
          <w:rFonts w:ascii="Verdana" w:eastAsia="Calibri" w:hAnsi="Verdana" w:cs="Arial"/>
          <w:lang w:val="es-CR" w:eastAsia="en-US"/>
        </w:rPr>
        <w:t xml:space="preserve"> el resumen ofici</w:t>
      </w:r>
      <w:r w:rsidR="006105E2" w:rsidRPr="00A562F4">
        <w:rPr>
          <w:rFonts w:ascii="Verdana" w:eastAsia="Calibri" w:hAnsi="Verdana" w:cs="Arial"/>
          <w:lang w:val="es-CR" w:eastAsia="en-US"/>
        </w:rPr>
        <w:t xml:space="preserve">al de la Sentencia en el </w:t>
      </w:r>
      <w:r w:rsidR="00F71693" w:rsidRPr="00A562F4">
        <w:rPr>
          <w:rFonts w:ascii="Verdana" w:eastAsia="Calibri" w:hAnsi="Verdana" w:cs="Arial"/>
          <w:lang w:val="es-CR" w:eastAsia="en-US"/>
        </w:rPr>
        <w:t xml:space="preserve">Registro </w:t>
      </w:r>
      <w:r w:rsidR="006105E2" w:rsidRPr="00A562F4">
        <w:rPr>
          <w:rFonts w:ascii="Verdana" w:eastAsia="Calibri" w:hAnsi="Verdana" w:cs="Arial"/>
          <w:lang w:val="es-CR" w:eastAsia="en-US"/>
        </w:rPr>
        <w:t>Oficial de Ecuador</w:t>
      </w:r>
      <w:r w:rsidRPr="00A562F4">
        <w:rPr>
          <w:rStyle w:val="Refdenotaalpie"/>
          <w:rFonts w:ascii="Verdana" w:eastAsia="Calibri" w:hAnsi="Verdana" w:cs="Arial"/>
          <w:lang w:val="es-CR" w:eastAsia="en-US"/>
        </w:rPr>
        <w:footnoteReference w:id="15"/>
      </w:r>
      <w:r w:rsidRPr="00A562F4">
        <w:rPr>
          <w:rFonts w:ascii="Verdana" w:eastAsia="Calibri" w:hAnsi="Verdana" w:cs="Arial"/>
          <w:lang w:val="es-CR" w:eastAsia="en-US"/>
        </w:rPr>
        <w:t xml:space="preserve">. </w:t>
      </w:r>
    </w:p>
    <w:p w:rsidR="008058E1" w:rsidRPr="00E717E0" w:rsidRDefault="001B2878" w:rsidP="00E717E0">
      <w:pPr>
        <w:widowControl/>
        <w:numPr>
          <w:ilvl w:val="0"/>
          <w:numId w:val="2"/>
        </w:numPr>
        <w:spacing w:before="120" w:after="120"/>
        <w:ind w:left="0" w:right="9" w:hanging="11"/>
        <w:jc w:val="both"/>
        <w:rPr>
          <w:rFonts w:ascii="Verdana" w:hAnsi="Verdana"/>
        </w:rPr>
      </w:pPr>
      <w:r w:rsidRPr="00A562F4">
        <w:rPr>
          <w:rFonts w:ascii="Verdana" w:eastAsia="Calibri" w:hAnsi="Verdana" w:cs="Arial"/>
          <w:lang w:val="es-CR" w:eastAsia="en-US"/>
        </w:rPr>
        <w:t>En cuanto a la publicación del resumen oficial de la Sentencia</w:t>
      </w:r>
      <w:r w:rsidR="00F71693" w:rsidRPr="00A562F4">
        <w:rPr>
          <w:rFonts w:ascii="Verdana" w:eastAsia="Calibri" w:hAnsi="Verdana" w:cs="Arial"/>
          <w:lang w:val="es-CR" w:eastAsia="en-US"/>
        </w:rPr>
        <w:t>, por una sola vez,</w:t>
      </w:r>
      <w:r w:rsidR="000255A7" w:rsidRPr="00A562F4">
        <w:rPr>
          <w:rFonts w:ascii="Verdana" w:eastAsia="Calibri" w:hAnsi="Verdana" w:cs="Arial"/>
          <w:lang w:val="es-CR" w:eastAsia="en-US"/>
        </w:rPr>
        <w:t xml:space="preserve"> </w:t>
      </w:r>
      <w:r w:rsidRPr="00A562F4">
        <w:rPr>
          <w:rFonts w:ascii="Verdana" w:eastAsia="Calibri" w:hAnsi="Verdana" w:cs="Arial"/>
          <w:lang w:val="es-CR" w:eastAsia="en-US"/>
        </w:rPr>
        <w:t>en un diario de amplia</w:t>
      </w:r>
      <w:r w:rsidR="004B057D" w:rsidRPr="00A562F4">
        <w:rPr>
          <w:rFonts w:ascii="Verdana" w:eastAsia="Calibri" w:hAnsi="Verdana" w:cs="Arial"/>
          <w:lang w:val="es-CR" w:eastAsia="en-US"/>
        </w:rPr>
        <w:t xml:space="preserve"> circulación nacional, </w:t>
      </w:r>
      <w:r w:rsidR="004B057D" w:rsidRPr="00A562F4">
        <w:rPr>
          <w:rFonts w:ascii="Verdana" w:eastAsia="Calibri" w:hAnsi="Verdana" w:cs="Arial"/>
          <w:i/>
          <w:lang w:val="es-CR" w:eastAsia="en-US"/>
        </w:rPr>
        <w:t>Ecuador</w:t>
      </w:r>
      <w:r w:rsidRPr="00A562F4">
        <w:rPr>
          <w:rFonts w:ascii="Verdana" w:eastAsia="Calibri" w:hAnsi="Verdana" w:cs="Arial"/>
          <w:lang w:val="es-CR" w:eastAsia="en-US"/>
        </w:rPr>
        <w:t xml:space="preserve"> afirmó que </w:t>
      </w:r>
      <w:r w:rsidR="00AC7636" w:rsidRPr="00A562F4">
        <w:rPr>
          <w:rFonts w:ascii="Verdana" w:eastAsia="Calibri" w:hAnsi="Verdana" w:cs="Arial"/>
          <w:lang w:val="es-CR" w:eastAsia="en-US"/>
        </w:rPr>
        <w:t xml:space="preserve">dicha publicación </w:t>
      </w:r>
      <w:r w:rsidRPr="00A562F4">
        <w:rPr>
          <w:rFonts w:ascii="Verdana" w:eastAsia="Calibri" w:hAnsi="Verdana" w:cs="Arial"/>
          <w:lang w:val="es-CR" w:eastAsia="en-US"/>
        </w:rPr>
        <w:t xml:space="preserve">se </w:t>
      </w:r>
      <w:r w:rsidR="00AC7636" w:rsidRPr="00A562F4">
        <w:rPr>
          <w:rFonts w:ascii="Verdana" w:eastAsia="Calibri" w:hAnsi="Verdana" w:cs="Arial"/>
          <w:lang w:val="es-CR" w:eastAsia="en-US"/>
        </w:rPr>
        <w:t>realizó</w:t>
      </w:r>
      <w:r w:rsidRPr="00A562F4">
        <w:rPr>
          <w:rFonts w:ascii="Verdana" w:eastAsia="Calibri" w:hAnsi="Verdana" w:cs="Arial"/>
          <w:lang w:val="es-CR" w:eastAsia="en-US"/>
        </w:rPr>
        <w:t xml:space="preserve"> “</w:t>
      </w:r>
      <w:r w:rsidR="009F6267" w:rsidRPr="00A562F4">
        <w:rPr>
          <w:rFonts w:ascii="Verdana" w:eastAsia="Calibri" w:hAnsi="Verdana" w:cs="Arial"/>
          <w:lang w:val="es-CR" w:eastAsia="en-US"/>
        </w:rPr>
        <w:t xml:space="preserve">el 9 de mayo de 2014 </w:t>
      </w:r>
      <w:r w:rsidR="009F6267" w:rsidRPr="00E717E0">
        <w:rPr>
          <w:rFonts w:ascii="Verdana" w:hAnsi="Verdana"/>
        </w:rPr>
        <w:t xml:space="preserve">en el diario </w:t>
      </w:r>
      <w:r w:rsidRPr="00E717E0">
        <w:rPr>
          <w:rFonts w:ascii="Verdana" w:hAnsi="Verdana"/>
        </w:rPr>
        <w:t>E</w:t>
      </w:r>
      <w:r w:rsidR="009F6267" w:rsidRPr="00E717E0">
        <w:rPr>
          <w:rFonts w:ascii="Verdana" w:hAnsi="Verdana"/>
        </w:rPr>
        <w:t>l Telégrafo”</w:t>
      </w:r>
      <w:r w:rsidR="007C64BF" w:rsidRPr="00E717E0">
        <w:rPr>
          <w:rFonts w:ascii="Verdana" w:hAnsi="Verdana"/>
        </w:rPr>
        <w:t xml:space="preserve"> </w:t>
      </w:r>
      <w:r w:rsidR="00330F82" w:rsidRPr="00FF1306">
        <w:rPr>
          <w:rFonts w:ascii="Verdana" w:hAnsi="Verdana"/>
        </w:rPr>
        <w:t xml:space="preserve">y aportó el comprobante de la </w:t>
      </w:r>
      <w:r w:rsidR="00330F82" w:rsidRPr="00FF1306">
        <w:rPr>
          <w:rFonts w:ascii="Verdana" w:hAnsi="Verdana"/>
        </w:rPr>
        <w:lastRenderedPageBreak/>
        <w:t>misma</w:t>
      </w:r>
      <w:r w:rsidR="00330F82" w:rsidRPr="00FF1306">
        <w:rPr>
          <w:rStyle w:val="Refdenotaalpie"/>
          <w:rFonts w:ascii="Verdana" w:hAnsi="Verdana"/>
        </w:rPr>
        <w:footnoteReference w:id="16"/>
      </w:r>
      <w:r w:rsidR="001F49EF" w:rsidRPr="00FF1306">
        <w:rPr>
          <w:rFonts w:ascii="Verdana" w:hAnsi="Verdana"/>
        </w:rPr>
        <w:t>.</w:t>
      </w:r>
      <w:r w:rsidR="001F49EF" w:rsidRPr="00E717E0">
        <w:rPr>
          <w:rFonts w:ascii="Verdana" w:hAnsi="Verdana"/>
        </w:rPr>
        <w:t xml:space="preserve"> </w:t>
      </w:r>
      <w:r w:rsidR="00DE7184" w:rsidRPr="00E717E0">
        <w:rPr>
          <w:rFonts w:ascii="Verdana" w:hAnsi="Verdana"/>
        </w:rPr>
        <w:t xml:space="preserve">Los </w:t>
      </w:r>
      <w:r w:rsidR="00DE7184" w:rsidRPr="00E717E0">
        <w:rPr>
          <w:rFonts w:ascii="Verdana" w:hAnsi="Verdana"/>
          <w:i/>
        </w:rPr>
        <w:t>representantes</w:t>
      </w:r>
      <w:r w:rsidR="00DE7184" w:rsidRPr="00E717E0">
        <w:rPr>
          <w:rFonts w:ascii="Verdana" w:hAnsi="Verdana"/>
        </w:rPr>
        <w:t xml:space="preserve"> </w:t>
      </w:r>
      <w:r w:rsidR="001F49EF" w:rsidRPr="00E717E0">
        <w:rPr>
          <w:rFonts w:ascii="Verdana" w:hAnsi="Verdana"/>
        </w:rPr>
        <w:t>presentaron una objeción</w:t>
      </w:r>
      <w:r w:rsidR="000C1C37" w:rsidRPr="00E717E0">
        <w:rPr>
          <w:rFonts w:ascii="Verdana" w:hAnsi="Verdana"/>
        </w:rPr>
        <w:t xml:space="preserve">, </w:t>
      </w:r>
      <w:r w:rsidR="00FB5100" w:rsidRPr="00E717E0">
        <w:rPr>
          <w:rFonts w:ascii="Verdana" w:hAnsi="Verdana"/>
        </w:rPr>
        <w:t xml:space="preserve">en el sentido de que </w:t>
      </w:r>
      <w:r w:rsidR="003B26FD" w:rsidRPr="00E717E0">
        <w:rPr>
          <w:rFonts w:ascii="Verdana" w:hAnsi="Verdana"/>
        </w:rPr>
        <w:t xml:space="preserve">la publicación realizada </w:t>
      </w:r>
      <w:r w:rsidR="00B17786" w:rsidRPr="00E717E0">
        <w:rPr>
          <w:rFonts w:ascii="Verdana" w:hAnsi="Verdana"/>
        </w:rPr>
        <w:t xml:space="preserve">en </w:t>
      </w:r>
      <w:r w:rsidR="003B26FD" w:rsidRPr="00E717E0">
        <w:rPr>
          <w:rFonts w:ascii="Verdana" w:hAnsi="Verdana"/>
        </w:rPr>
        <w:t>dicho diario “no es adecuada” puesto que no “cumple con los criterios de respetabilidad y amplia difusión que debe tener el diario en el que se publique el extracto de la Sentencia”</w:t>
      </w:r>
      <w:r w:rsidR="00433782" w:rsidRPr="00E717E0">
        <w:rPr>
          <w:rFonts w:ascii="Verdana" w:hAnsi="Verdana"/>
        </w:rPr>
        <w:t>,</w:t>
      </w:r>
      <w:r w:rsidR="00F6278F" w:rsidRPr="00E717E0">
        <w:rPr>
          <w:rFonts w:ascii="Verdana" w:hAnsi="Verdana"/>
        </w:rPr>
        <w:t xml:space="preserve"> para que </w:t>
      </w:r>
      <w:r w:rsidR="00433782" w:rsidRPr="00E717E0">
        <w:rPr>
          <w:rFonts w:ascii="Verdana" w:hAnsi="Verdana"/>
        </w:rPr>
        <w:t>“</w:t>
      </w:r>
      <w:r w:rsidR="00F6278F" w:rsidRPr="00E717E0">
        <w:rPr>
          <w:rFonts w:ascii="Verdana" w:hAnsi="Verdana"/>
        </w:rPr>
        <w:t>tenga el efecto reparador que [la] Corte busca con este tipo de medida”</w:t>
      </w:r>
      <w:r w:rsidR="00433782" w:rsidRPr="00DE7184">
        <w:rPr>
          <w:rStyle w:val="Refdenotaalpie"/>
          <w:rFonts w:ascii="Verdana" w:hAnsi="Verdana"/>
        </w:rPr>
        <w:footnoteReference w:id="17"/>
      </w:r>
      <w:r w:rsidR="00F6278F" w:rsidRPr="00E717E0">
        <w:rPr>
          <w:rFonts w:ascii="Verdana" w:hAnsi="Verdana"/>
        </w:rPr>
        <w:t xml:space="preserve">. </w:t>
      </w:r>
      <w:r w:rsidR="00AC7636" w:rsidRPr="00E717E0">
        <w:rPr>
          <w:rFonts w:ascii="Verdana" w:hAnsi="Verdana"/>
        </w:rPr>
        <w:t xml:space="preserve">Asimismo, </w:t>
      </w:r>
      <w:r w:rsidR="00FF1306">
        <w:rPr>
          <w:rFonts w:ascii="Verdana" w:hAnsi="Verdana"/>
        </w:rPr>
        <w:t xml:space="preserve">solicitaron que, </w:t>
      </w:r>
      <w:r w:rsidR="00AC7636" w:rsidRPr="00E717E0">
        <w:rPr>
          <w:rFonts w:ascii="Verdana" w:hAnsi="Verdana"/>
        </w:rPr>
        <w:t>e</w:t>
      </w:r>
      <w:r w:rsidR="003B26FD" w:rsidRPr="00E717E0">
        <w:rPr>
          <w:rFonts w:ascii="Verdana" w:hAnsi="Verdana"/>
        </w:rPr>
        <w:t xml:space="preserve">n virtud de </w:t>
      </w:r>
      <w:r w:rsidR="00F6278F" w:rsidRPr="00E717E0">
        <w:rPr>
          <w:rFonts w:ascii="Verdana" w:hAnsi="Verdana"/>
        </w:rPr>
        <w:t>la amplia difusión que tuvieron los actos de “corrupción, ineficiencia e incapacidad de ejercer el cargo” por los cuales fueron destituidas las víctimas, la referida publicación se realice en alguno de los “[d]os […] diarios de mayor circulación en el país”</w:t>
      </w:r>
      <w:r w:rsidR="00F6278F" w:rsidRPr="00A562F4">
        <w:rPr>
          <w:rStyle w:val="Refdenotaalpie"/>
          <w:rFonts w:ascii="Verdana" w:eastAsia="Calibri" w:hAnsi="Verdana" w:cs="Arial"/>
          <w:lang w:val="es-CR" w:eastAsia="en-US"/>
        </w:rPr>
        <w:footnoteReference w:id="18"/>
      </w:r>
      <w:r w:rsidR="00F6278F" w:rsidRPr="00E717E0">
        <w:rPr>
          <w:rFonts w:ascii="Verdana" w:hAnsi="Verdana"/>
        </w:rPr>
        <w:t xml:space="preserve">. </w:t>
      </w:r>
      <w:r w:rsidR="000655F9" w:rsidRPr="00E717E0">
        <w:rPr>
          <w:rFonts w:ascii="Verdana" w:hAnsi="Verdana"/>
        </w:rPr>
        <w:t>A</w:t>
      </w:r>
      <w:r w:rsidRPr="00E717E0">
        <w:rPr>
          <w:rFonts w:ascii="Verdana" w:eastAsia="Times" w:hAnsi="Verdana"/>
        </w:rPr>
        <w:t>l realiza</w:t>
      </w:r>
      <w:r w:rsidR="00FF710D" w:rsidRPr="00E717E0">
        <w:rPr>
          <w:rFonts w:ascii="Verdana" w:eastAsia="Times" w:hAnsi="Verdana"/>
        </w:rPr>
        <w:t>r tales afirmaciones</w:t>
      </w:r>
      <w:r w:rsidR="000655F9" w:rsidRPr="00E717E0">
        <w:rPr>
          <w:rFonts w:ascii="Verdana" w:eastAsia="Times" w:hAnsi="Verdana"/>
        </w:rPr>
        <w:t xml:space="preserve"> los representantes</w:t>
      </w:r>
      <w:r w:rsidR="00FF710D" w:rsidRPr="00E717E0">
        <w:rPr>
          <w:rFonts w:ascii="Verdana" w:eastAsia="Times" w:hAnsi="Verdana"/>
        </w:rPr>
        <w:t xml:space="preserve"> no presentaron</w:t>
      </w:r>
      <w:r w:rsidRPr="00E717E0">
        <w:rPr>
          <w:rFonts w:ascii="Verdana" w:eastAsia="Times" w:hAnsi="Verdana"/>
        </w:rPr>
        <w:t xml:space="preserve"> elementos</w:t>
      </w:r>
      <w:r w:rsidR="000655F9" w:rsidRPr="00E717E0">
        <w:rPr>
          <w:rFonts w:ascii="Verdana" w:eastAsia="Times" w:hAnsi="Verdana"/>
        </w:rPr>
        <w:t xml:space="preserve"> probatorios</w:t>
      </w:r>
      <w:r w:rsidRPr="00E717E0">
        <w:rPr>
          <w:rFonts w:ascii="Verdana" w:eastAsia="Times" w:hAnsi="Verdana"/>
        </w:rPr>
        <w:t xml:space="preserve"> </w:t>
      </w:r>
      <w:r w:rsidR="000655F9" w:rsidRPr="00E717E0">
        <w:rPr>
          <w:rFonts w:ascii="Verdana" w:hAnsi="Verdana"/>
        </w:rPr>
        <w:t>sobre</w:t>
      </w:r>
      <w:r w:rsidR="00DF57DF" w:rsidRPr="00E717E0">
        <w:rPr>
          <w:rFonts w:ascii="Verdana" w:hAnsi="Verdana"/>
        </w:rPr>
        <w:t xml:space="preserve"> el alcance del diario “</w:t>
      </w:r>
      <w:r w:rsidRPr="00E717E0">
        <w:rPr>
          <w:rFonts w:ascii="Verdana" w:hAnsi="Verdana"/>
        </w:rPr>
        <w:t>E</w:t>
      </w:r>
      <w:r w:rsidR="00DF57DF" w:rsidRPr="00E717E0">
        <w:rPr>
          <w:rFonts w:ascii="Verdana" w:hAnsi="Verdana"/>
        </w:rPr>
        <w:t>l Telégrafo”</w:t>
      </w:r>
      <w:r w:rsidRPr="00E717E0">
        <w:rPr>
          <w:rFonts w:ascii="Verdana" w:hAnsi="Verdana"/>
        </w:rPr>
        <w:t xml:space="preserve">. </w:t>
      </w:r>
      <w:r w:rsidR="000655F9" w:rsidRPr="00E717E0">
        <w:rPr>
          <w:rFonts w:ascii="Verdana" w:hAnsi="Verdana"/>
        </w:rPr>
        <w:t xml:space="preserve">Por el contrario, el Estado aportó </w:t>
      </w:r>
      <w:r w:rsidR="00AC7636" w:rsidRPr="00E717E0">
        <w:rPr>
          <w:rFonts w:ascii="Verdana" w:hAnsi="Verdana"/>
        </w:rPr>
        <w:t>información relativa a que dicho diario se distri</w:t>
      </w:r>
      <w:r w:rsidR="001E306A" w:rsidRPr="00E717E0">
        <w:rPr>
          <w:rFonts w:ascii="Verdana" w:hAnsi="Verdana"/>
        </w:rPr>
        <w:t>buye en todas las provincias de Ecuador</w:t>
      </w:r>
      <w:r w:rsidR="000655F9" w:rsidRPr="00AC7636">
        <w:rPr>
          <w:rStyle w:val="Refdenotaalpie"/>
          <w:rFonts w:ascii="Verdana" w:hAnsi="Verdana"/>
        </w:rPr>
        <w:footnoteReference w:id="19"/>
      </w:r>
      <w:r w:rsidR="000655F9" w:rsidRPr="00E717E0">
        <w:rPr>
          <w:rFonts w:ascii="Verdana" w:hAnsi="Verdana"/>
        </w:rPr>
        <w:t xml:space="preserve">, </w:t>
      </w:r>
      <w:r w:rsidR="00AC7636" w:rsidRPr="00E717E0">
        <w:rPr>
          <w:rFonts w:ascii="Verdana" w:hAnsi="Verdana"/>
        </w:rPr>
        <w:t>y a que tiene una circulación nacional que supera el 30% del total de la población de</w:t>
      </w:r>
      <w:r w:rsidR="001E306A" w:rsidRPr="00E717E0">
        <w:rPr>
          <w:rFonts w:ascii="Verdana" w:hAnsi="Verdana"/>
        </w:rPr>
        <w:t>l país</w:t>
      </w:r>
      <w:r w:rsidR="008058E1" w:rsidRPr="00AC7636">
        <w:rPr>
          <w:rStyle w:val="Refdenotaalpie"/>
          <w:rFonts w:ascii="Verdana" w:hAnsi="Verdana"/>
        </w:rPr>
        <w:footnoteReference w:id="20"/>
      </w:r>
      <w:r w:rsidR="008058E1" w:rsidRPr="00E717E0">
        <w:rPr>
          <w:rFonts w:ascii="Verdana" w:hAnsi="Verdana"/>
        </w:rPr>
        <w:t xml:space="preserve">, </w:t>
      </w:r>
      <w:r w:rsidR="00DE7184" w:rsidRPr="00E717E0">
        <w:rPr>
          <w:rFonts w:ascii="Verdana" w:hAnsi="Verdana"/>
          <w:b/>
          <w:sz w:val="22"/>
        </w:rPr>
        <w:t xml:space="preserve"> </w:t>
      </w:r>
      <w:r w:rsidR="008058E1" w:rsidRPr="00E717E0">
        <w:rPr>
          <w:rFonts w:ascii="Verdana" w:hAnsi="Verdana"/>
        </w:rPr>
        <w:t>e indicó cuál fue la difusión que se dio al resumen oficial de la Sentencia del presente caso</w:t>
      </w:r>
      <w:r w:rsidR="008058E1" w:rsidRPr="00AC7636">
        <w:rPr>
          <w:rStyle w:val="Refdenotaalpie"/>
          <w:rFonts w:ascii="Verdana" w:hAnsi="Verdana"/>
        </w:rPr>
        <w:footnoteReference w:id="21"/>
      </w:r>
      <w:r w:rsidR="008058E1" w:rsidRPr="00E717E0">
        <w:rPr>
          <w:rFonts w:ascii="Verdana" w:hAnsi="Verdana"/>
        </w:rPr>
        <w:t xml:space="preserve">. Con base en la información aportada por el Estado, la </w:t>
      </w:r>
      <w:r w:rsidR="008058E1" w:rsidRPr="00E717E0">
        <w:rPr>
          <w:rFonts w:ascii="Verdana" w:hAnsi="Verdana"/>
          <w:i/>
        </w:rPr>
        <w:t>Comisión Interamericana</w:t>
      </w:r>
      <w:r w:rsidR="008058E1" w:rsidRPr="00E717E0">
        <w:rPr>
          <w:rFonts w:ascii="Verdana" w:hAnsi="Verdana"/>
        </w:rPr>
        <w:t xml:space="preserve"> consideró que la publicación realizada “parece cumplir con los requisitos establecidos en la Sentencia”. </w:t>
      </w:r>
    </w:p>
    <w:p w:rsidR="00E7077B" w:rsidRDefault="001B2878" w:rsidP="00E7077B">
      <w:pPr>
        <w:widowControl/>
        <w:numPr>
          <w:ilvl w:val="0"/>
          <w:numId w:val="2"/>
        </w:numPr>
        <w:spacing w:before="120" w:after="120"/>
        <w:ind w:left="0" w:right="9" w:hanging="11"/>
        <w:jc w:val="both"/>
        <w:rPr>
          <w:rFonts w:ascii="Verdana" w:hAnsi="Verdana"/>
        </w:rPr>
      </w:pPr>
      <w:r>
        <w:rPr>
          <w:rFonts w:ascii="Verdana" w:hAnsi="Verdana"/>
        </w:rPr>
        <w:t>Este Tribunal reitera que</w:t>
      </w:r>
      <w:r w:rsidR="00D82506">
        <w:rPr>
          <w:rFonts w:ascii="Verdana" w:hAnsi="Verdana"/>
        </w:rPr>
        <w:t>,</w:t>
      </w:r>
      <w:r>
        <w:rPr>
          <w:rFonts w:ascii="Verdana" w:hAnsi="Verdana"/>
        </w:rPr>
        <w:t xml:space="preserve"> al ordenar este tipo de medida</w:t>
      </w:r>
      <w:r w:rsidR="00D82506">
        <w:rPr>
          <w:rFonts w:ascii="Verdana" w:hAnsi="Verdana"/>
        </w:rPr>
        <w:t>,</w:t>
      </w:r>
      <w:r>
        <w:rPr>
          <w:rFonts w:ascii="Verdana" w:hAnsi="Verdana"/>
        </w:rPr>
        <w:t xml:space="preserve"> dispuso que la publicación se realizara en un diario de “amplia” circulación nacional</w:t>
      </w:r>
      <w:r w:rsidR="00F27D35">
        <w:rPr>
          <w:rFonts w:ascii="Verdana" w:hAnsi="Verdana"/>
        </w:rPr>
        <w:t xml:space="preserve"> (</w:t>
      </w:r>
      <w:r w:rsidR="00F27D35" w:rsidRPr="000C7CDF">
        <w:rPr>
          <w:rFonts w:ascii="Verdana" w:hAnsi="Verdana"/>
          <w:i/>
        </w:rPr>
        <w:t>supra</w:t>
      </w:r>
      <w:r w:rsidR="00F27D35">
        <w:rPr>
          <w:rFonts w:ascii="Verdana" w:hAnsi="Verdana"/>
        </w:rPr>
        <w:t xml:space="preserve"> Considerando 4)</w:t>
      </w:r>
      <w:r>
        <w:rPr>
          <w:rFonts w:ascii="Verdana" w:hAnsi="Verdana"/>
        </w:rPr>
        <w:t>, lo cual no necesariame</w:t>
      </w:r>
      <w:r w:rsidR="00DF57DF">
        <w:rPr>
          <w:rFonts w:ascii="Verdana" w:hAnsi="Verdana"/>
        </w:rPr>
        <w:t>nte implica que deba ser en uno de los d</w:t>
      </w:r>
      <w:r>
        <w:rPr>
          <w:rFonts w:ascii="Verdana" w:hAnsi="Verdana"/>
        </w:rPr>
        <w:t>o</w:t>
      </w:r>
      <w:r w:rsidR="00DF57DF">
        <w:rPr>
          <w:rFonts w:ascii="Verdana" w:hAnsi="Verdana"/>
        </w:rPr>
        <w:t>s</w:t>
      </w:r>
      <w:r>
        <w:rPr>
          <w:rFonts w:ascii="Verdana" w:hAnsi="Verdana"/>
        </w:rPr>
        <w:t xml:space="preserve"> diarios de “mayor” circulación nacional, como lo solicita</w:t>
      </w:r>
      <w:r w:rsidR="00DF57DF">
        <w:rPr>
          <w:rFonts w:ascii="Verdana" w:hAnsi="Verdana"/>
        </w:rPr>
        <w:t xml:space="preserve">n </w:t>
      </w:r>
      <w:r>
        <w:rPr>
          <w:rFonts w:ascii="Verdana" w:hAnsi="Verdana"/>
        </w:rPr>
        <w:t>l</w:t>
      </w:r>
      <w:r w:rsidR="00DF57DF">
        <w:rPr>
          <w:rFonts w:ascii="Verdana" w:hAnsi="Verdana"/>
        </w:rPr>
        <w:t>os</w:t>
      </w:r>
      <w:r>
        <w:rPr>
          <w:rFonts w:ascii="Verdana" w:hAnsi="Verdana"/>
        </w:rPr>
        <w:t xml:space="preserve"> representante</w:t>
      </w:r>
      <w:r w:rsidR="00DF57DF">
        <w:rPr>
          <w:rFonts w:ascii="Verdana" w:hAnsi="Verdana"/>
        </w:rPr>
        <w:t>s</w:t>
      </w:r>
      <w:r>
        <w:rPr>
          <w:rFonts w:ascii="Verdana" w:hAnsi="Verdana"/>
        </w:rPr>
        <w:t xml:space="preserve">. </w:t>
      </w:r>
      <w:r w:rsidRPr="00895179">
        <w:rPr>
          <w:rFonts w:ascii="Verdana" w:eastAsia="Times" w:hAnsi="Verdana"/>
        </w:rPr>
        <w:t xml:space="preserve">Después de haber tenido en cuenta </w:t>
      </w:r>
      <w:r w:rsidR="001D03EF">
        <w:rPr>
          <w:rFonts w:ascii="Verdana" w:eastAsia="Times" w:hAnsi="Verdana"/>
        </w:rPr>
        <w:t>dicha observación</w:t>
      </w:r>
      <w:r w:rsidR="001D03EF" w:rsidRPr="00895179">
        <w:rPr>
          <w:rFonts w:ascii="Verdana" w:eastAsia="Times" w:hAnsi="Verdana"/>
        </w:rPr>
        <w:t xml:space="preserve"> </w:t>
      </w:r>
      <w:r w:rsidRPr="00895179">
        <w:rPr>
          <w:rFonts w:ascii="Verdana" w:eastAsia="Times" w:hAnsi="Verdana"/>
        </w:rPr>
        <w:t>de</w:t>
      </w:r>
      <w:r w:rsidR="00E1770A">
        <w:rPr>
          <w:rFonts w:ascii="Verdana" w:eastAsia="Times" w:hAnsi="Verdana"/>
        </w:rPr>
        <w:t xml:space="preserve"> </w:t>
      </w:r>
      <w:r w:rsidRPr="00895179">
        <w:rPr>
          <w:rFonts w:ascii="Verdana" w:eastAsia="Times" w:hAnsi="Verdana"/>
        </w:rPr>
        <w:t>l</w:t>
      </w:r>
      <w:r w:rsidR="00E1770A">
        <w:rPr>
          <w:rFonts w:ascii="Verdana" w:eastAsia="Times" w:hAnsi="Verdana"/>
        </w:rPr>
        <w:t>os</w:t>
      </w:r>
      <w:r w:rsidRPr="00895179">
        <w:rPr>
          <w:rFonts w:ascii="Verdana" w:eastAsia="Times" w:hAnsi="Verdana"/>
        </w:rPr>
        <w:t xml:space="preserve"> representante</w:t>
      </w:r>
      <w:r w:rsidR="00E1770A">
        <w:rPr>
          <w:rFonts w:ascii="Verdana" w:eastAsia="Times" w:hAnsi="Verdana"/>
        </w:rPr>
        <w:t>s</w:t>
      </w:r>
      <w:r w:rsidR="00D11328">
        <w:rPr>
          <w:rFonts w:ascii="Verdana" w:eastAsia="Times" w:hAnsi="Verdana"/>
        </w:rPr>
        <w:t xml:space="preserve"> y </w:t>
      </w:r>
      <w:r w:rsidR="001D03EF">
        <w:rPr>
          <w:rFonts w:ascii="Verdana" w:eastAsia="Times" w:hAnsi="Verdana"/>
        </w:rPr>
        <w:t xml:space="preserve">la información presentada por </w:t>
      </w:r>
      <w:r w:rsidR="00D11328">
        <w:rPr>
          <w:rFonts w:ascii="Verdana" w:eastAsia="Times" w:hAnsi="Verdana"/>
        </w:rPr>
        <w:t>el Estado</w:t>
      </w:r>
      <w:r w:rsidR="001D03EF">
        <w:rPr>
          <w:rFonts w:ascii="Verdana" w:eastAsia="Times" w:hAnsi="Verdana"/>
        </w:rPr>
        <w:t xml:space="preserve"> (</w:t>
      </w:r>
      <w:r w:rsidR="001D03EF" w:rsidRPr="001D03EF">
        <w:rPr>
          <w:rFonts w:ascii="Verdana" w:eastAsia="Times" w:hAnsi="Verdana"/>
          <w:i/>
        </w:rPr>
        <w:t xml:space="preserve">supra </w:t>
      </w:r>
      <w:r w:rsidR="001D03EF">
        <w:rPr>
          <w:rFonts w:ascii="Verdana" w:eastAsia="Times" w:hAnsi="Verdana"/>
        </w:rPr>
        <w:t xml:space="preserve">Considerando </w:t>
      </w:r>
      <w:r w:rsidR="002E319D">
        <w:rPr>
          <w:rFonts w:ascii="Verdana" w:eastAsia="Times" w:hAnsi="Verdana"/>
        </w:rPr>
        <w:t>6</w:t>
      </w:r>
      <w:r w:rsidR="001D03EF">
        <w:rPr>
          <w:rFonts w:ascii="Verdana" w:eastAsia="Times" w:hAnsi="Verdana"/>
        </w:rPr>
        <w:t>)</w:t>
      </w:r>
      <w:r w:rsidRPr="00895179">
        <w:rPr>
          <w:rFonts w:ascii="Verdana" w:eastAsia="Times" w:hAnsi="Verdana"/>
        </w:rPr>
        <w:t>, la Corte n</w:t>
      </w:r>
      <w:r w:rsidR="00D11328">
        <w:rPr>
          <w:rFonts w:ascii="Verdana" w:eastAsia="Times" w:hAnsi="Verdana"/>
        </w:rPr>
        <w:t xml:space="preserve">o encuentra motivos suficientes </w:t>
      </w:r>
      <w:r w:rsidRPr="00895179">
        <w:rPr>
          <w:rFonts w:ascii="Verdana" w:eastAsia="Times" w:hAnsi="Verdana"/>
        </w:rPr>
        <w:t xml:space="preserve">para considerar que </w:t>
      </w:r>
      <w:r>
        <w:rPr>
          <w:rFonts w:ascii="Verdana" w:eastAsia="Times" w:hAnsi="Verdana"/>
        </w:rPr>
        <w:t xml:space="preserve">la referida </w:t>
      </w:r>
      <w:r w:rsidRPr="00895179">
        <w:rPr>
          <w:rFonts w:ascii="Verdana" w:eastAsia="Times" w:hAnsi="Verdana"/>
        </w:rPr>
        <w:t>publicación no cumpla con lo dispuesto en la Sentencia</w:t>
      </w:r>
      <w:r w:rsidR="00FF1306">
        <w:rPr>
          <w:rStyle w:val="Refdenotaalpie"/>
          <w:rFonts w:ascii="Verdana" w:eastAsia="Times" w:hAnsi="Verdana"/>
        </w:rPr>
        <w:footnoteReference w:id="22"/>
      </w:r>
      <w:r w:rsidRPr="00895179">
        <w:rPr>
          <w:rFonts w:ascii="Verdana" w:eastAsia="Times" w:hAnsi="Verdana"/>
        </w:rPr>
        <w:t>.</w:t>
      </w:r>
      <w:r>
        <w:rPr>
          <w:rFonts w:ascii="Verdana" w:eastAsia="Times" w:hAnsi="Verdana"/>
        </w:rPr>
        <w:t xml:space="preserve"> </w:t>
      </w:r>
    </w:p>
    <w:p w:rsidR="00E7077B" w:rsidRPr="00F53D28" w:rsidRDefault="00E7077B" w:rsidP="00E7077B">
      <w:pPr>
        <w:widowControl/>
        <w:numPr>
          <w:ilvl w:val="0"/>
          <w:numId w:val="2"/>
        </w:numPr>
        <w:spacing w:before="120" w:after="120"/>
        <w:ind w:left="0" w:right="9" w:hanging="11"/>
        <w:jc w:val="both"/>
        <w:rPr>
          <w:rFonts w:ascii="Verdana" w:hAnsi="Verdana"/>
        </w:rPr>
      </w:pPr>
      <w:r w:rsidRPr="00E7077B">
        <w:rPr>
          <w:rFonts w:ascii="Verdana" w:hAnsi="Verdana"/>
          <w:lang w:val="es-ES"/>
        </w:rPr>
        <w:t>Por otra parte, el Tribunal constata</w:t>
      </w:r>
      <w:r w:rsidR="00405339">
        <w:rPr>
          <w:rFonts w:ascii="Verdana" w:hAnsi="Verdana"/>
          <w:lang w:val="es-ES"/>
        </w:rPr>
        <w:t>,</w:t>
      </w:r>
      <w:r w:rsidRPr="00E7077B">
        <w:rPr>
          <w:rFonts w:ascii="Verdana" w:hAnsi="Verdana"/>
          <w:lang w:val="es-ES"/>
        </w:rPr>
        <w:t xml:space="preserve"> con base en los comprobantes aportados por el Estado, los cuales no fueron controvertidos por l</w:t>
      </w:r>
      <w:r w:rsidR="00F27D35">
        <w:rPr>
          <w:rFonts w:ascii="Verdana" w:hAnsi="Verdana"/>
          <w:lang w:val="es-ES"/>
        </w:rPr>
        <w:t>os representantes ni la Comisión</w:t>
      </w:r>
      <w:r w:rsidRPr="00E7077B">
        <w:rPr>
          <w:rFonts w:ascii="Verdana" w:hAnsi="Verdana"/>
          <w:lang w:val="es-ES"/>
        </w:rPr>
        <w:t xml:space="preserve">, que Ecuador cumplió con publicar de manera íntegra la Sentencia en un sitio </w:t>
      </w:r>
      <w:r w:rsidRPr="00E7077B">
        <w:rPr>
          <w:rFonts w:ascii="Verdana" w:hAnsi="Verdana"/>
          <w:i/>
          <w:lang w:val="es-ES"/>
        </w:rPr>
        <w:t>web</w:t>
      </w:r>
      <w:r w:rsidRPr="00E7077B">
        <w:rPr>
          <w:rFonts w:ascii="Verdana" w:hAnsi="Verdana"/>
          <w:lang w:val="es-ES"/>
        </w:rPr>
        <w:t xml:space="preserve"> oficial del poder judicial por el período de un año, efectuando dicha publicación en el</w:t>
      </w:r>
      <w:r>
        <w:rPr>
          <w:rFonts w:ascii="Verdana" w:hAnsi="Verdana"/>
          <w:lang w:val="es-ES"/>
        </w:rPr>
        <w:t xml:space="preserve"> sitio</w:t>
      </w:r>
      <w:r w:rsidRPr="00E7077B">
        <w:rPr>
          <w:rFonts w:ascii="Verdana" w:hAnsi="Verdana"/>
          <w:lang w:val="es-ES"/>
        </w:rPr>
        <w:t xml:space="preserve"> </w:t>
      </w:r>
      <w:r w:rsidRPr="00E7077B">
        <w:rPr>
          <w:rFonts w:ascii="Verdana" w:hAnsi="Verdana"/>
          <w:i/>
          <w:lang w:val="es-ES"/>
        </w:rPr>
        <w:t>web</w:t>
      </w:r>
      <w:r w:rsidRPr="00E7077B">
        <w:rPr>
          <w:rFonts w:ascii="Verdana" w:hAnsi="Verdana"/>
          <w:lang w:val="es-ES"/>
        </w:rPr>
        <w:t xml:space="preserve"> del </w:t>
      </w:r>
      <w:r>
        <w:rPr>
          <w:rFonts w:ascii="Verdana" w:hAnsi="Verdana"/>
          <w:lang w:val="es-ES"/>
        </w:rPr>
        <w:t>Consejo de la Judicatura</w:t>
      </w:r>
      <w:r w:rsidR="00E54DE8">
        <w:rPr>
          <w:rStyle w:val="Refdenotaalpie"/>
          <w:rFonts w:ascii="Verdana" w:hAnsi="Verdana"/>
          <w:lang w:val="es-ES"/>
        </w:rPr>
        <w:footnoteReference w:id="23"/>
      </w:r>
      <w:r w:rsidRPr="00E7077B">
        <w:rPr>
          <w:rFonts w:ascii="Verdana" w:hAnsi="Verdana"/>
          <w:lang w:val="es-ES"/>
        </w:rPr>
        <w:t xml:space="preserve">. </w:t>
      </w:r>
      <w:r w:rsidR="00D82506">
        <w:rPr>
          <w:rFonts w:ascii="Verdana" w:hAnsi="Verdana"/>
          <w:lang w:val="es-ES"/>
        </w:rPr>
        <w:t>E</w:t>
      </w:r>
      <w:r w:rsidRPr="00E7077B">
        <w:rPr>
          <w:rFonts w:ascii="Verdana" w:hAnsi="Verdana"/>
          <w:lang w:val="es-ES"/>
        </w:rPr>
        <w:t>l Estado</w:t>
      </w:r>
      <w:r w:rsidR="00D82506">
        <w:rPr>
          <w:rFonts w:ascii="Verdana" w:hAnsi="Verdana"/>
          <w:lang w:val="es-ES"/>
        </w:rPr>
        <w:t xml:space="preserve"> también</w:t>
      </w:r>
      <w:r w:rsidRPr="00E7077B">
        <w:rPr>
          <w:rFonts w:ascii="Verdana" w:hAnsi="Verdana"/>
          <w:lang w:val="es-ES"/>
        </w:rPr>
        <w:t xml:space="preserve"> publicó el</w:t>
      </w:r>
      <w:r>
        <w:rPr>
          <w:rFonts w:ascii="Verdana" w:hAnsi="Verdana"/>
          <w:lang w:val="es-ES"/>
        </w:rPr>
        <w:t xml:space="preserve"> resumen de la </w:t>
      </w:r>
      <w:r>
        <w:rPr>
          <w:rFonts w:ascii="Verdana" w:hAnsi="Verdana"/>
          <w:lang w:val="es-ES"/>
        </w:rPr>
        <w:lastRenderedPageBreak/>
        <w:t xml:space="preserve">Sentencia </w:t>
      </w:r>
      <w:r w:rsidR="00405339">
        <w:rPr>
          <w:rFonts w:ascii="Verdana" w:hAnsi="Verdana"/>
          <w:lang w:val="es-ES"/>
        </w:rPr>
        <w:t xml:space="preserve">en </w:t>
      </w:r>
      <w:r>
        <w:rPr>
          <w:rFonts w:ascii="Verdana" w:hAnsi="Verdana"/>
          <w:lang w:val="es-ES"/>
        </w:rPr>
        <w:t xml:space="preserve">el referido sitio </w:t>
      </w:r>
      <w:r w:rsidRPr="00D82506">
        <w:rPr>
          <w:rFonts w:ascii="Verdana" w:hAnsi="Verdana"/>
          <w:i/>
          <w:lang w:val="es-ES"/>
        </w:rPr>
        <w:t>web</w:t>
      </w:r>
      <w:r>
        <w:rPr>
          <w:rFonts w:ascii="Verdana" w:hAnsi="Verdana"/>
          <w:lang w:val="es-ES"/>
        </w:rPr>
        <w:t xml:space="preserve"> y el</w:t>
      </w:r>
      <w:r w:rsidRPr="00E7077B">
        <w:rPr>
          <w:rFonts w:ascii="Verdana" w:hAnsi="Verdana"/>
          <w:lang w:val="es-ES"/>
        </w:rPr>
        <w:t xml:space="preserve"> texto completo de la Sentencia en el sitio </w:t>
      </w:r>
      <w:r w:rsidRPr="00DE7184">
        <w:rPr>
          <w:rFonts w:ascii="Verdana" w:hAnsi="Verdana"/>
          <w:i/>
          <w:lang w:val="es-ES"/>
        </w:rPr>
        <w:t>web</w:t>
      </w:r>
      <w:r w:rsidRPr="00E7077B">
        <w:rPr>
          <w:rFonts w:ascii="Verdana" w:hAnsi="Verdana"/>
          <w:lang w:val="es-ES"/>
        </w:rPr>
        <w:t xml:space="preserve"> del Ministerio de Justicia, Derechos Humanos y Cultos</w:t>
      </w:r>
      <w:r w:rsidRPr="00944EEE">
        <w:rPr>
          <w:rStyle w:val="Refdenotaalpie"/>
          <w:rFonts w:ascii="Verdana" w:hAnsi="Verdana"/>
        </w:rPr>
        <w:footnoteReference w:id="24"/>
      </w:r>
      <w:r w:rsidRPr="00E7077B">
        <w:rPr>
          <w:rFonts w:ascii="Verdana" w:hAnsi="Verdana"/>
          <w:lang w:val="es-ES"/>
        </w:rPr>
        <w:t xml:space="preserve">. </w:t>
      </w:r>
    </w:p>
    <w:p w:rsidR="00F53D28" w:rsidRPr="00E7077B" w:rsidRDefault="00F53D28" w:rsidP="00F53D28">
      <w:pPr>
        <w:widowControl/>
        <w:spacing w:before="120" w:after="120"/>
        <w:ind w:right="9"/>
        <w:jc w:val="both"/>
        <w:rPr>
          <w:rFonts w:ascii="Verdana" w:hAnsi="Verdana"/>
        </w:rPr>
      </w:pPr>
    </w:p>
    <w:p w:rsidR="001B2878" w:rsidRPr="00E7077B" w:rsidRDefault="00E7077B" w:rsidP="00E7077B">
      <w:pPr>
        <w:widowControl/>
        <w:numPr>
          <w:ilvl w:val="0"/>
          <w:numId w:val="2"/>
        </w:numPr>
        <w:spacing w:before="120" w:after="120"/>
        <w:ind w:left="0" w:right="9" w:hanging="11"/>
        <w:jc w:val="both"/>
        <w:rPr>
          <w:rFonts w:ascii="Verdana" w:hAnsi="Verdana"/>
        </w:rPr>
      </w:pPr>
      <w:r w:rsidRPr="00E7077B">
        <w:rPr>
          <w:rFonts w:ascii="Verdana" w:hAnsi="Verdana"/>
          <w:color w:val="00B050"/>
          <w:sz w:val="16"/>
          <w:szCs w:val="16"/>
        </w:rPr>
        <w:t xml:space="preserve"> </w:t>
      </w:r>
      <w:r w:rsidR="001B2878" w:rsidRPr="00E7077B">
        <w:rPr>
          <w:rFonts w:ascii="Verdana" w:hAnsi="Verdana"/>
        </w:rPr>
        <w:t xml:space="preserve">En virtud de lo anterior, la Corte declara que el Estado ha dado cumplimiento </w:t>
      </w:r>
      <w:r w:rsidR="001B2878" w:rsidRPr="002F2724">
        <w:rPr>
          <w:rFonts w:ascii="Verdana" w:hAnsi="Verdana"/>
        </w:rPr>
        <w:t>total</w:t>
      </w:r>
      <w:r w:rsidR="001B2878" w:rsidRPr="00E7077B">
        <w:rPr>
          <w:rFonts w:ascii="Verdana" w:hAnsi="Verdana"/>
        </w:rPr>
        <w:t xml:space="preserve"> a las medidas de publicación y difusión de la Sentencia </w:t>
      </w:r>
      <w:r w:rsidR="00D82506">
        <w:rPr>
          <w:rFonts w:ascii="Verdana" w:hAnsi="Verdana"/>
        </w:rPr>
        <w:t xml:space="preserve">y </w:t>
      </w:r>
      <w:r w:rsidR="00175E91">
        <w:rPr>
          <w:rFonts w:ascii="Verdana" w:hAnsi="Verdana"/>
        </w:rPr>
        <w:t xml:space="preserve">de </w:t>
      </w:r>
      <w:r w:rsidR="00D82506">
        <w:rPr>
          <w:rFonts w:ascii="Verdana" w:hAnsi="Verdana"/>
        </w:rPr>
        <w:t xml:space="preserve">su resumen oficial, </w:t>
      </w:r>
      <w:r w:rsidR="001B2878" w:rsidRPr="00E7077B">
        <w:rPr>
          <w:rFonts w:ascii="Verdana" w:hAnsi="Verdana"/>
        </w:rPr>
        <w:t>ordenad</w:t>
      </w:r>
      <w:r w:rsidR="00E20077" w:rsidRPr="00E7077B">
        <w:rPr>
          <w:rFonts w:ascii="Verdana" w:hAnsi="Verdana"/>
        </w:rPr>
        <w:t>as en el punto dispositivo noven</w:t>
      </w:r>
      <w:r w:rsidR="001B2878" w:rsidRPr="00E7077B">
        <w:rPr>
          <w:rFonts w:ascii="Verdana" w:hAnsi="Verdana"/>
        </w:rPr>
        <w:t>o de la misma.</w:t>
      </w:r>
    </w:p>
    <w:p w:rsidR="00067E68" w:rsidRPr="008966E0" w:rsidRDefault="00067E68" w:rsidP="00F91E2C">
      <w:pPr>
        <w:widowControl/>
        <w:autoSpaceDE w:val="0"/>
        <w:autoSpaceDN w:val="0"/>
        <w:adjustRightInd w:val="0"/>
        <w:spacing w:before="120" w:after="120"/>
        <w:ind w:left="709"/>
        <w:jc w:val="both"/>
        <w:rPr>
          <w:rFonts w:ascii="Verdana" w:hAnsi="Verdana"/>
          <w:b/>
          <w:i/>
        </w:rPr>
      </w:pPr>
    </w:p>
    <w:p w:rsidR="00896930" w:rsidRPr="008104E8" w:rsidRDefault="008104E8" w:rsidP="0058164F">
      <w:pPr>
        <w:pStyle w:val="Prrafodelista"/>
        <w:widowControl/>
        <w:numPr>
          <w:ilvl w:val="0"/>
          <w:numId w:val="25"/>
        </w:numPr>
        <w:autoSpaceDE w:val="0"/>
        <w:autoSpaceDN w:val="0"/>
        <w:adjustRightInd w:val="0"/>
        <w:jc w:val="both"/>
        <w:outlineLvl w:val="0"/>
        <w:rPr>
          <w:rFonts w:ascii="Verdana" w:hAnsi="Verdana"/>
          <w:b/>
          <w:i/>
        </w:rPr>
      </w:pPr>
      <w:bookmarkStart w:id="2" w:name="_Toc463857753"/>
      <w:r w:rsidRPr="007F626A">
        <w:rPr>
          <w:rFonts w:ascii="Verdana" w:hAnsi="Verdana"/>
          <w:b/>
          <w:i/>
        </w:rPr>
        <w:t xml:space="preserve">Indemnización </w:t>
      </w:r>
      <w:r w:rsidR="00175E91">
        <w:rPr>
          <w:rFonts w:ascii="Verdana" w:hAnsi="Verdana"/>
          <w:b/>
          <w:i/>
        </w:rPr>
        <w:t xml:space="preserve">como compensación </w:t>
      </w:r>
      <w:r w:rsidRPr="007F626A">
        <w:rPr>
          <w:rFonts w:ascii="Verdana" w:hAnsi="Verdana"/>
          <w:b/>
          <w:i/>
        </w:rPr>
        <w:t>por imposibilidad de</w:t>
      </w:r>
      <w:r w:rsidR="00723155">
        <w:rPr>
          <w:rFonts w:ascii="Verdana" w:hAnsi="Verdana"/>
          <w:b/>
          <w:i/>
        </w:rPr>
        <w:t xml:space="preserve"> </w:t>
      </w:r>
      <w:r w:rsidR="00175E91">
        <w:rPr>
          <w:rFonts w:ascii="Verdana" w:hAnsi="Verdana"/>
          <w:b/>
          <w:i/>
        </w:rPr>
        <w:t>reintegrar a</w:t>
      </w:r>
      <w:r w:rsidR="00175E91" w:rsidRPr="007F626A">
        <w:rPr>
          <w:rFonts w:ascii="Verdana" w:hAnsi="Verdana"/>
          <w:b/>
          <w:i/>
        </w:rPr>
        <w:t xml:space="preserve"> </w:t>
      </w:r>
      <w:r w:rsidRPr="007F626A">
        <w:rPr>
          <w:rFonts w:ascii="Verdana" w:hAnsi="Verdana"/>
          <w:b/>
          <w:i/>
        </w:rPr>
        <w:t xml:space="preserve">las víctimas a sus </w:t>
      </w:r>
      <w:r w:rsidR="00723155">
        <w:rPr>
          <w:rFonts w:ascii="Verdana" w:hAnsi="Verdana"/>
          <w:b/>
          <w:i/>
        </w:rPr>
        <w:t xml:space="preserve">cargos </w:t>
      </w:r>
      <w:r w:rsidRPr="007F626A">
        <w:rPr>
          <w:rFonts w:ascii="Verdana" w:hAnsi="Verdana"/>
          <w:b/>
          <w:i/>
        </w:rPr>
        <w:t>como</w:t>
      </w:r>
      <w:r>
        <w:rPr>
          <w:rFonts w:ascii="Verdana" w:hAnsi="Verdana"/>
          <w:sz w:val="16"/>
          <w:szCs w:val="16"/>
        </w:rPr>
        <w:t xml:space="preserve"> </w:t>
      </w:r>
      <w:r w:rsidR="00FC2658" w:rsidRPr="008104E8">
        <w:rPr>
          <w:rFonts w:ascii="Verdana" w:hAnsi="Verdana"/>
          <w:b/>
          <w:i/>
          <w:lang w:val="es-MX"/>
        </w:rPr>
        <w:t>magistrados de la Corte Suprema</w:t>
      </w:r>
      <w:r w:rsidR="006A4277">
        <w:rPr>
          <w:rFonts w:ascii="Verdana" w:hAnsi="Verdana"/>
          <w:b/>
          <w:i/>
          <w:lang w:val="es-MX"/>
        </w:rPr>
        <w:t xml:space="preserve"> de Justicia</w:t>
      </w:r>
      <w:bookmarkEnd w:id="2"/>
    </w:p>
    <w:p w:rsidR="00896930" w:rsidRPr="00877709" w:rsidRDefault="00896930" w:rsidP="00896930">
      <w:pPr>
        <w:widowControl/>
        <w:autoSpaceDE w:val="0"/>
        <w:autoSpaceDN w:val="0"/>
        <w:adjustRightInd w:val="0"/>
        <w:jc w:val="both"/>
        <w:rPr>
          <w:rFonts w:ascii="Verdana" w:hAnsi="Verdana"/>
          <w:b/>
          <w:i/>
          <w:sz w:val="10"/>
          <w:szCs w:val="10"/>
        </w:rPr>
      </w:pPr>
    </w:p>
    <w:p w:rsidR="00896930" w:rsidRDefault="00FF36C1" w:rsidP="00896930">
      <w:pPr>
        <w:widowControl/>
        <w:autoSpaceDE w:val="0"/>
        <w:autoSpaceDN w:val="0"/>
        <w:adjustRightInd w:val="0"/>
        <w:ind w:firstLine="708"/>
        <w:jc w:val="both"/>
        <w:rPr>
          <w:rFonts w:ascii="Verdana" w:hAnsi="Verdana"/>
          <w:i/>
        </w:rPr>
      </w:pPr>
      <w:r>
        <w:rPr>
          <w:rFonts w:ascii="Verdana" w:hAnsi="Verdana"/>
          <w:i/>
        </w:rPr>
        <w:t>B</w:t>
      </w:r>
      <w:r w:rsidR="00896930">
        <w:rPr>
          <w:rFonts w:ascii="Verdana" w:hAnsi="Verdana"/>
          <w:i/>
        </w:rPr>
        <w:t>.1. Medida ordenada por la Corte</w:t>
      </w:r>
    </w:p>
    <w:p w:rsidR="00CA1877" w:rsidRPr="00231E44" w:rsidRDefault="00793F2B" w:rsidP="00CA1877">
      <w:pPr>
        <w:widowControl/>
        <w:numPr>
          <w:ilvl w:val="0"/>
          <w:numId w:val="2"/>
        </w:numPr>
        <w:spacing w:before="120" w:after="120"/>
        <w:ind w:left="0" w:right="9" w:hanging="11"/>
        <w:jc w:val="both"/>
        <w:rPr>
          <w:rFonts w:ascii="Verdana" w:hAnsi="Verdana"/>
        </w:rPr>
      </w:pPr>
      <w:r>
        <w:rPr>
          <w:rFonts w:ascii="Verdana" w:hAnsi="Verdana"/>
        </w:rPr>
        <w:t xml:space="preserve">En la Sentencia este Tribunal explicó las razones por las cuales </w:t>
      </w:r>
      <w:r w:rsidR="00237A95">
        <w:rPr>
          <w:rFonts w:ascii="Verdana" w:hAnsi="Verdana"/>
        </w:rPr>
        <w:t>no era posible ordenar el reintegro de las víctimas en sus cargos de magistrados</w:t>
      </w:r>
      <w:r w:rsidR="00DE7184">
        <w:rPr>
          <w:rFonts w:ascii="Verdana" w:hAnsi="Verdana"/>
        </w:rPr>
        <w:t xml:space="preserve"> de la Corte Suprema de Justicia</w:t>
      </w:r>
      <w:r w:rsidR="00237A95">
        <w:rPr>
          <w:rStyle w:val="Refdenotaalpie"/>
          <w:rFonts w:ascii="Verdana" w:hAnsi="Verdana"/>
        </w:rPr>
        <w:footnoteReference w:id="25"/>
      </w:r>
      <w:r w:rsidR="00237A95">
        <w:rPr>
          <w:rFonts w:ascii="Verdana" w:hAnsi="Verdana"/>
        </w:rPr>
        <w:t>. En virtud de lo anterior, e</w:t>
      </w:r>
      <w:r w:rsidR="00D848EB" w:rsidRPr="00CA1877">
        <w:rPr>
          <w:rFonts w:ascii="Verdana" w:hAnsi="Verdana"/>
        </w:rPr>
        <w:t xml:space="preserve">n el punto dispositivo </w:t>
      </w:r>
      <w:r w:rsidR="00FC2658">
        <w:rPr>
          <w:rFonts w:ascii="Verdana" w:hAnsi="Verdana"/>
        </w:rPr>
        <w:t>décimo y en el párrafo 215</w:t>
      </w:r>
      <w:r w:rsidR="00CA1877" w:rsidRPr="00CA1877">
        <w:rPr>
          <w:rFonts w:ascii="Verdana" w:hAnsi="Verdana"/>
        </w:rPr>
        <w:t xml:space="preserve"> de la Sentencia, </w:t>
      </w:r>
      <w:r w:rsidR="00237A95">
        <w:rPr>
          <w:rFonts w:ascii="Verdana" w:hAnsi="Verdana"/>
        </w:rPr>
        <w:t xml:space="preserve">tomando en cuenta “su jurisprudencia según la cual en casos en que no sea posible realizar el reintegro de un juez separado de su cargo de </w:t>
      </w:r>
      <w:r w:rsidR="00237A95" w:rsidRPr="00231E44">
        <w:rPr>
          <w:rFonts w:ascii="Verdana" w:hAnsi="Verdana"/>
        </w:rPr>
        <w:t xml:space="preserve">manera arbitraria, corresponderá ordenar una compensación por la imposibilidad de retornar a sus funciones como juez”, </w:t>
      </w:r>
      <w:r w:rsidR="00CF0E9B">
        <w:rPr>
          <w:rFonts w:ascii="Verdana" w:hAnsi="Verdana"/>
        </w:rPr>
        <w:t xml:space="preserve">la Corte </w:t>
      </w:r>
      <w:r w:rsidR="00237A95" w:rsidRPr="00231E44">
        <w:rPr>
          <w:rFonts w:ascii="Verdana" w:hAnsi="Verdana"/>
        </w:rPr>
        <w:t>decidió “fija[r] la cantidad de US$60.000,00 (sesenta mil dólares de los Estados Unidos de América) como medida de indemnización para cada una de las víctimas”. D</w:t>
      </w:r>
      <w:r w:rsidR="00CA1877" w:rsidRPr="00231E44">
        <w:rPr>
          <w:rFonts w:ascii="Verdana" w:hAnsi="Verdana"/>
        </w:rPr>
        <w:t>ispuso que</w:t>
      </w:r>
      <w:r w:rsidR="009F7628">
        <w:rPr>
          <w:rFonts w:ascii="Verdana" w:hAnsi="Verdana"/>
        </w:rPr>
        <w:t xml:space="preserve"> “[e]sta suma </w:t>
      </w:r>
      <w:proofErr w:type="gramStart"/>
      <w:r w:rsidR="009F7628">
        <w:rPr>
          <w:rFonts w:ascii="Verdana" w:hAnsi="Verdana"/>
        </w:rPr>
        <w:t>deb[</w:t>
      </w:r>
      <w:proofErr w:type="gramEnd"/>
      <w:r w:rsidR="009F7628">
        <w:rPr>
          <w:rFonts w:ascii="Verdana" w:hAnsi="Verdana"/>
        </w:rPr>
        <w:t>ía]</w:t>
      </w:r>
      <w:r w:rsidR="00237A95" w:rsidRPr="00231E44">
        <w:rPr>
          <w:rFonts w:ascii="Verdana" w:hAnsi="Verdana"/>
        </w:rPr>
        <w:t xml:space="preserve"> ser pagada</w:t>
      </w:r>
      <w:r w:rsidR="00211D90" w:rsidRPr="00231E44">
        <w:rPr>
          <w:rFonts w:ascii="Verdana" w:hAnsi="Verdana"/>
        </w:rPr>
        <w:t xml:space="preserve"> en el plazo máximo de un año a partir de la notificación de la [</w:t>
      </w:r>
      <w:r w:rsidR="008D7ACC" w:rsidRPr="00231E44">
        <w:rPr>
          <w:rFonts w:ascii="Verdana" w:hAnsi="Verdana"/>
        </w:rPr>
        <w:t xml:space="preserve">…] </w:t>
      </w:r>
      <w:r w:rsidR="00211D90" w:rsidRPr="00231E44">
        <w:rPr>
          <w:rFonts w:ascii="Verdana" w:hAnsi="Verdana"/>
        </w:rPr>
        <w:t>Sentencia”</w:t>
      </w:r>
      <w:r w:rsidR="008D7ACC" w:rsidRPr="00231E44">
        <w:rPr>
          <w:rFonts w:ascii="Verdana" w:hAnsi="Verdana"/>
        </w:rPr>
        <w:t>.</w:t>
      </w:r>
    </w:p>
    <w:p w:rsidR="00C61947" w:rsidRPr="00A562F4" w:rsidRDefault="00C61947" w:rsidP="00CA711F">
      <w:pPr>
        <w:widowControl/>
        <w:autoSpaceDE w:val="0"/>
        <w:autoSpaceDN w:val="0"/>
        <w:adjustRightInd w:val="0"/>
        <w:ind w:firstLine="708"/>
        <w:jc w:val="both"/>
        <w:rPr>
          <w:rFonts w:ascii="Verdana" w:eastAsia="Calibri" w:hAnsi="Verdana" w:cs="Arial"/>
          <w:i/>
          <w:lang w:val="es-CR" w:eastAsia="en-US"/>
        </w:rPr>
      </w:pPr>
    </w:p>
    <w:p w:rsidR="00CA711F" w:rsidRPr="00A562F4" w:rsidRDefault="00FF36C1" w:rsidP="00CA711F">
      <w:pPr>
        <w:widowControl/>
        <w:autoSpaceDE w:val="0"/>
        <w:autoSpaceDN w:val="0"/>
        <w:adjustRightInd w:val="0"/>
        <w:ind w:firstLine="708"/>
        <w:jc w:val="both"/>
        <w:rPr>
          <w:rFonts w:ascii="Verdana" w:eastAsia="Calibri" w:hAnsi="Verdana" w:cs="Arial"/>
          <w:i/>
          <w:lang w:val="es-CR" w:eastAsia="en-US"/>
        </w:rPr>
      </w:pPr>
      <w:r w:rsidRPr="00A562F4">
        <w:rPr>
          <w:rFonts w:ascii="Verdana" w:eastAsia="Calibri" w:hAnsi="Verdana" w:cs="Arial"/>
          <w:i/>
          <w:lang w:val="es-CR" w:eastAsia="en-US"/>
        </w:rPr>
        <w:t>B</w:t>
      </w:r>
      <w:r w:rsidR="00B81F5C" w:rsidRPr="00A562F4">
        <w:rPr>
          <w:rFonts w:ascii="Verdana" w:eastAsia="Calibri" w:hAnsi="Verdana" w:cs="Arial"/>
          <w:i/>
          <w:lang w:val="es-CR" w:eastAsia="en-US"/>
        </w:rPr>
        <w:t>.2</w:t>
      </w:r>
      <w:r w:rsidR="00CA711F" w:rsidRPr="00A562F4">
        <w:rPr>
          <w:rFonts w:ascii="Verdana" w:eastAsia="Calibri" w:hAnsi="Verdana" w:cs="Arial"/>
          <w:i/>
          <w:lang w:val="es-CR" w:eastAsia="en-US"/>
        </w:rPr>
        <w:t>. Consideraciones de la Corte</w:t>
      </w:r>
    </w:p>
    <w:p w:rsidR="00D41C5A" w:rsidRPr="00231E44" w:rsidRDefault="009D61F5" w:rsidP="006A0FC3">
      <w:pPr>
        <w:widowControl/>
        <w:numPr>
          <w:ilvl w:val="0"/>
          <w:numId w:val="2"/>
        </w:numPr>
        <w:spacing w:before="120" w:after="120"/>
        <w:ind w:left="0" w:right="9" w:hanging="11"/>
        <w:jc w:val="both"/>
        <w:rPr>
          <w:rFonts w:ascii="Verdana" w:hAnsi="Verdana"/>
        </w:rPr>
      </w:pPr>
      <w:r w:rsidRPr="00A562F4">
        <w:rPr>
          <w:rFonts w:ascii="Verdana" w:eastAsia="Calibri" w:hAnsi="Verdana" w:cs="Arial"/>
          <w:lang w:val="es-CR" w:eastAsia="en-US"/>
        </w:rPr>
        <w:t xml:space="preserve">Con base en </w:t>
      </w:r>
      <w:r w:rsidR="00211D90" w:rsidRPr="00A562F4">
        <w:rPr>
          <w:rFonts w:ascii="Verdana" w:eastAsia="Calibri" w:hAnsi="Verdana" w:cs="Arial"/>
          <w:lang w:val="es-CR" w:eastAsia="en-US"/>
        </w:rPr>
        <w:t xml:space="preserve">la </w:t>
      </w:r>
      <w:r w:rsidR="008D7ACC" w:rsidRPr="00A562F4">
        <w:rPr>
          <w:rFonts w:ascii="Verdana" w:eastAsia="Calibri" w:hAnsi="Verdana" w:cs="Arial"/>
          <w:lang w:val="es-CR" w:eastAsia="en-US"/>
        </w:rPr>
        <w:t xml:space="preserve">información </w:t>
      </w:r>
      <w:r w:rsidR="009F7628" w:rsidRPr="00A562F4">
        <w:rPr>
          <w:rFonts w:ascii="Verdana" w:eastAsia="Calibri" w:hAnsi="Verdana" w:cs="Arial"/>
          <w:lang w:val="es-CR" w:eastAsia="en-US"/>
        </w:rPr>
        <w:t xml:space="preserve">aportada </w:t>
      </w:r>
      <w:r w:rsidR="00211D90" w:rsidRPr="00A562F4">
        <w:rPr>
          <w:rFonts w:ascii="Verdana" w:eastAsia="Calibri" w:hAnsi="Verdana" w:cs="Arial"/>
          <w:lang w:val="es-CR" w:eastAsia="en-US"/>
        </w:rPr>
        <w:t>por el Estado</w:t>
      </w:r>
      <w:r w:rsidR="00211D90" w:rsidRPr="00A562F4">
        <w:rPr>
          <w:rStyle w:val="Refdenotaalpie"/>
          <w:rFonts w:ascii="Verdana" w:eastAsia="Calibri" w:hAnsi="Verdana" w:cs="Arial"/>
          <w:lang w:val="es-CR" w:eastAsia="en-US"/>
        </w:rPr>
        <w:footnoteReference w:id="26"/>
      </w:r>
      <w:r w:rsidR="005A6096" w:rsidRPr="00A562F4">
        <w:rPr>
          <w:rFonts w:ascii="Verdana" w:eastAsia="Calibri" w:hAnsi="Verdana" w:cs="Arial"/>
          <w:lang w:val="es-CR" w:eastAsia="en-US"/>
        </w:rPr>
        <w:t>, la cual no fue controvertida</w:t>
      </w:r>
      <w:r w:rsidR="00175E91" w:rsidRPr="00A562F4">
        <w:rPr>
          <w:rFonts w:ascii="Verdana" w:eastAsia="Calibri" w:hAnsi="Verdana" w:cs="Arial"/>
          <w:lang w:val="es-CR" w:eastAsia="en-US"/>
        </w:rPr>
        <w:t xml:space="preserve"> por los representantes ni la Comisión</w:t>
      </w:r>
      <w:r w:rsidR="007E626F" w:rsidRPr="00A562F4">
        <w:rPr>
          <w:rStyle w:val="Refdenotaalpie"/>
          <w:rFonts w:ascii="Verdana" w:eastAsia="Calibri" w:hAnsi="Verdana" w:cs="Arial"/>
          <w:lang w:val="es-CR" w:eastAsia="en-US"/>
        </w:rPr>
        <w:footnoteReference w:id="27"/>
      </w:r>
      <w:r w:rsidR="005A6096" w:rsidRPr="00A562F4">
        <w:rPr>
          <w:rFonts w:ascii="Verdana" w:eastAsia="Calibri" w:hAnsi="Verdana" w:cs="Arial"/>
          <w:lang w:val="es-CR" w:eastAsia="en-US"/>
        </w:rPr>
        <w:t xml:space="preserve">, la Corte </w:t>
      </w:r>
      <w:r w:rsidR="006A0FC3" w:rsidRPr="00A562F4">
        <w:rPr>
          <w:rFonts w:ascii="Verdana" w:eastAsia="Calibri" w:hAnsi="Verdana" w:cs="Arial"/>
          <w:lang w:val="es-CR" w:eastAsia="en-US"/>
        </w:rPr>
        <w:t xml:space="preserve">constata </w:t>
      </w:r>
      <w:r w:rsidR="005A6096" w:rsidRPr="00A562F4">
        <w:rPr>
          <w:rFonts w:ascii="Verdana" w:eastAsia="Calibri" w:hAnsi="Verdana" w:cs="Arial"/>
          <w:lang w:val="es-CR" w:eastAsia="en-US"/>
        </w:rPr>
        <w:t>que</w:t>
      </w:r>
      <w:r w:rsidR="000125C3" w:rsidRPr="00A562F4">
        <w:rPr>
          <w:rFonts w:ascii="Verdana" w:eastAsia="Calibri" w:hAnsi="Verdana" w:cs="Arial"/>
          <w:lang w:val="es-CR" w:eastAsia="en-US"/>
        </w:rPr>
        <w:t>,</w:t>
      </w:r>
      <w:r w:rsidR="005A6096" w:rsidRPr="00A562F4">
        <w:rPr>
          <w:rFonts w:ascii="Verdana" w:eastAsia="Calibri" w:hAnsi="Verdana" w:cs="Arial"/>
          <w:lang w:val="es-CR" w:eastAsia="en-US"/>
        </w:rPr>
        <w:t xml:space="preserve"> </w:t>
      </w:r>
      <w:r w:rsidR="006A0FC3" w:rsidRPr="00A562F4">
        <w:rPr>
          <w:rFonts w:ascii="Verdana" w:eastAsia="Calibri" w:hAnsi="Verdana" w:cs="Arial"/>
          <w:lang w:val="es-CR" w:eastAsia="en-US"/>
        </w:rPr>
        <w:t xml:space="preserve">dentro del plazo otorgado en la Sentencia, Ecuador pagó a cada una de las 27 víctimas o sus derechohabientes la cantidad fijada en la Sentencia </w:t>
      </w:r>
      <w:r w:rsidR="007232F8" w:rsidRPr="00A562F4">
        <w:rPr>
          <w:rFonts w:ascii="Verdana" w:eastAsia="Calibri" w:hAnsi="Verdana" w:cs="Arial"/>
          <w:lang w:val="es-CR" w:eastAsia="en-US"/>
        </w:rPr>
        <w:t>como compensación por la imposibilidad de</w:t>
      </w:r>
      <w:r w:rsidR="00723155" w:rsidRPr="00A562F4">
        <w:rPr>
          <w:rFonts w:ascii="Verdana" w:eastAsia="Calibri" w:hAnsi="Verdana" w:cs="Arial"/>
          <w:lang w:val="es-CR" w:eastAsia="en-US"/>
        </w:rPr>
        <w:t xml:space="preserve">l reintegro de las víctimas a </w:t>
      </w:r>
      <w:r w:rsidR="00175E91" w:rsidRPr="00A562F4">
        <w:rPr>
          <w:rFonts w:ascii="Verdana" w:eastAsia="Calibri" w:hAnsi="Verdana" w:cs="Arial"/>
          <w:lang w:val="es-CR" w:eastAsia="en-US"/>
        </w:rPr>
        <w:t xml:space="preserve">sus </w:t>
      </w:r>
      <w:r w:rsidR="00723155" w:rsidRPr="00A562F4">
        <w:rPr>
          <w:rFonts w:ascii="Verdana" w:eastAsia="Calibri" w:hAnsi="Verdana" w:cs="Arial"/>
          <w:lang w:val="es-CR" w:eastAsia="en-US"/>
        </w:rPr>
        <w:t>cargos de magistrados de la Corte Suprema de Justicia</w:t>
      </w:r>
      <w:r w:rsidR="005A6096" w:rsidRPr="00A562F4">
        <w:rPr>
          <w:rFonts w:ascii="Verdana" w:eastAsia="Calibri" w:hAnsi="Verdana" w:cs="Arial"/>
          <w:lang w:val="es-CR" w:eastAsia="en-US"/>
        </w:rPr>
        <w:t>.</w:t>
      </w:r>
      <w:r w:rsidR="006A0FC3" w:rsidRPr="00A562F4">
        <w:rPr>
          <w:rFonts w:ascii="Verdana" w:eastAsia="Calibri" w:hAnsi="Verdana" w:cs="Arial"/>
          <w:lang w:val="es-CR" w:eastAsia="en-US"/>
        </w:rPr>
        <w:t xml:space="preserve"> </w:t>
      </w:r>
      <w:r w:rsidR="008D7ACC" w:rsidRPr="00A562F4">
        <w:rPr>
          <w:rFonts w:ascii="Verdana" w:eastAsia="Calibri" w:hAnsi="Verdana" w:cs="Arial"/>
          <w:lang w:val="es-CR" w:eastAsia="en-US"/>
        </w:rPr>
        <w:t>En consecuencia</w:t>
      </w:r>
      <w:r w:rsidR="007232F8" w:rsidRPr="00A562F4">
        <w:rPr>
          <w:rFonts w:ascii="Verdana" w:eastAsia="Calibri" w:hAnsi="Verdana" w:cs="Arial"/>
          <w:lang w:val="es-CR" w:eastAsia="en-US"/>
        </w:rPr>
        <w:t xml:space="preserve">, </w:t>
      </w:r>
      <w:r w:rsidR="008D7ACC" w:rsidRPr="00A562F4">
        <w:rPr>
          <w:rFonts w:ascii="Verdana" w:eastAsia="Calibri" w:hAnsi="Verdana" w:cs="Arial"/>
          <w:lang w:val="es-CR" w:eastAsia="en-US"/>
        </w:rPr>
        <w:t>el Tribunal</w:t>
      </w:r>
      <w:r w:rsidR="007232F8" w:rsidRPr="00A562F4">
        <w:rPr>
          <w:rFonts w:ascii="Verdana" w:eastAsia="Calibri" w:hAnsi="Verdana" w:cs="Arial"/>
          <w:lang w:val="es-CR" w:eastAsia="en-US"/>
        </w:rPr>
        <w:t xml:space="preserve"> considera que el </w:t>
      </w:r>
      <w:r w:rsidR="008D7ACC" w:rsidRPr="00A562F4">
        <w:rPr>
          <w:rFonts w:ascii="Verdana" w:eastAsia="Calibri" w:hAnsi="Verdana" w:cs="Arial"/>
          <w:lang w:val="es-CR" w:eastAsia="en-US"/>
        </w:rPr>
        <w:t xml:space="preserve">Ecuador </w:t>
      </w:r>
      <w:r w:rsidR="007232F8" w:rsidRPr="00A562F4">
        <w:rPr>
          <w:rFonts w:ascii="Verdana" w:eastAsia="Calibri" w:hAnsi="Verdana" w:cs="Arial"/>
          <w:lang w:val="es-CR" w:eastAsia="en-US"/>
        </w:rPr>
        <w:t xml:space="preserve">ha dado cumplimiento total a la medida </w:t>
      </w:r>
      <w:r w:rsidR="008D7ACC" w:rsidRPr="00A562F4">
        <w:rPr>
          <w:rFonts w:ascii="Verdana" w:eastAsia="Calibri" w:hAnsi="Verdana" w:cs="Arial"/>
          <w:lang w:val="es-CR" w:eastAsia="en-US"/>
        </w:rPr>
        <w:t>ordenada en el punto dispositivo décimo de la Sentencia</w:t>
      </w:r>
      <w:r w:rsidR="00BE76BF" w:rsidRPr="00A562F4">
        <w:rPr>
          <w:rFonts w:ascii="Verdana" w:eastAsia="Calibri" w:hAnsi="Verdana" w:cs="Arial"/>
          <w:lang w:val="es-CR" w:eastAsia="en-US"/>
        </w:rPr>
        <w:t>.</w:t>
      </w:r>
    </w:p>
    <w:p w:rsidR="00144CA4" w:rsidRDefault="00144CA4" w:rsidP="000125C3">
      <w:pPr>
        <w:pStyle w:val="Prrafodelista"/>
        <w:widowControl/>
        <w:spacing w:before="120" w:after="120"/>
        <w:ind w:right="9"/>
        <w:jc w:val="both"/>
        <w:rPr>
          <w:rFonts w:ascii="Verdana" w:hAnsi="Verdana"/>
        </w:rPr>
      </w:pPr>
    </w:p>
    <w:p w:rsidR="00C61947" w:rsidRDefault="00C61947" w:rsidP="000125C3">
      <w:pPr>
        <w:pStyle w:val="Prrafodelista"/>
        <w:widowControl/>
        <w:spacing w:before="120" w:after="120"/>
        <w:ind w:right="9"/>
        <w:jc w:val="both"/>
        <w:rPr>
          <w:rFonts w:ascii="Verdana" w:hAnsi="Verdana"/>
        </w:rPr>
      </w:pPr>
    </w:p>
    <w:p w:rsidR="00F53D28" w:rsidRDefault="00F53D28" w:rsidP="000125C3">
      <w:pPr>
        <w:pStyle w:val="Prrafodelista"/>
        <w:widowControl/>
        <w:spacing w:before="120" w:after="120"/>
        <w:ind w:right="9"/>
        <w:jc w:val="both"/>
        <w:rPr>
          <w:rFonts w:ascii="Verdana" w:hAnsi="Verdana"/>
        </w:rPr>
      </w:pPr>
    </w:p>
    <w:p w:rsidR="00D41C5A" w:rsidRPr="00F93A77" w:rsidRDefault="00F93A77" w:rsidP="0058164F">
      <w:pPr>
        <w:pStyle w:val="Prrafodelista"/>
        <w:widowControl/>
        <w:numPr>
          <w:ilvl w:val="0"/>
          <w:numId w:val="25"/>
        </w:numPr>
        <w:spacing w:after="120"/>
        <w:jc w:val="both"/>
        <w:outlineLvl w:val="0"/>
        <w:rPr>
          <w:rFonts w:ascii="Verdana" w:hAnsi="Verdana"/>
          <w:b/>
          <w:i/>
        </w:rPr>
      </w:pPr>
      <w:bookmarkStart w:id="3" w:name="_Toc463857754"/>
      <w:r>
        <w:rPr>
          <w:rFonts w:ascii="Verdana" w:hAnsi="Verdana"/>
          <w:b/>
          <w:i/>
        </w:rPr>
        <w:t>I</w:t>
      </w:r>
      <w:r w:rsidR="00D41C5A" w:rsidRPr="00F93A77">
        <w:rPr>
          <w:rFonts w:ascii="Verdana" w:hAnsi="Verdana"/>
          <w:b/>
          <w:i/>
        </w:rPr>
        <w:t xml:space="preserve">ndemnización </w:t>
      </w:r>
      <w:r>
        <w:rPr>
          <w:rFonts w:ascii="Verdana" w:hAnsi="Verdana"/>
          <w:b/>
          <w:i/>
        </w:rPr>
        <w:t>por daño</w:t>
      </w:r>
      <w:r w:rsidR="006A4959">
        <w:rPr>
          <w:rFonts w:ascii="Verdana" w:hAnsi="Verdana"/>
          <w:b/>
          <w:i/>
        </w:rPr>
        <w:t>s</w:t>
      </w:r>
      <w:r>
        <w:rPr>
          <w:rFonts w:ascii="Verdana" w:hAnsi="Verdana"/>
          <w:b/>
          <w:i/>
        </w:rPr>
        <w:t xml:space="preserve"> material</w:t>
      </w:r>
      <w:r w:rsidR="006A4959">
        <w:rPr>
          <w:rFonts w:ascii="Verdana" w:hAnsi="Verdana"/>
          <w:b/>
          <w:i/>
        </w:rPr>
        <w:t>es</w:t>
      </w:r>
      <w:r>
        <w:rPr>
          <w:rFonts w:ascii="Verdana" w:hAnsi="Verdana"/>
          <w:b/>
          <w:i/>
        </w:rPr>
        <w:t xml:space="preserve"> e inmaterial</w:t>
      </w:r>
      <w:r w:rsidR="006A4959">
        <w:rPr>
          <w:rFonts w:ascii="Verdana" w:hAnsi="Verdana"/>
          <w:b/>
          <w:i/>
        </w:rPr>
        <w:t>es</w:t>
      </w:r>
      <w:r>
        <w:rPr>
          <w:rFonts w:ascii="Verdana" w:hAnsi="Verdana"/>
          <w:b/>
          <w:i/>
        </w:rPr>
        <w:t xml:space="preserve"> </w:t>
      </w:r>
      <w:r w:rsidR="00D41C5A" w:rsidRPr="00F93A77">
        <w:rPr>
          <w:rFonts w:ascii="Verdana" w:hAnsi="Verdana"/>
          <w:b/>
          <w:i/>
        </w:rPr>
        <w:t>y reintegro de costas y gastos</w:t>
      </w:r>
      <w:bookmarkEnd w:id="3"/>
    </w:p>
    <w:p w:rsidR="00D41C5A" w:rsidRPr="00D41C5A" w:rsidRDefault="00D41C5A" w:rsidP="00D41C5A">
      <w:pPr>
        <w:widowControl/>
        <w:spacing w:after="120"/>
        <w:ind w:left="709"/>
        <w:jc w:val="both"/>
        <w:rPr>
          <w:rFonts w:ascii="Verdana" w:hAnsi="Verdana"/>
          <w:i/>
        </w:rPr>
      </w:pPr>
      <w:r w:rsidRPr="00D41C5A">
        <w:rPr>
          <w:rFonts w:ascii="Verdana" w:hAnsi="Verdana"/>
          <w:i/>
        </w:rPr>
        <w:t xml:space="preserve">C.1. Medidas ordenadas por la Corte </w:t>
      </w:r>
      <w:r w:rsidR="004A31A8">
        <w:rPr>
          <w:rFonts w:ascii="Verdana" w:hAnsi="Verdana"/>
          <w:i/>
        </w:rPr>
        <w:t>y supervisión realizada en la resolución anterior</w:t>
      </w:r>
    </w:p>
    <w:p w:rsidR="000125C3" w:rsidRDefault="00D41C5A" w:rsidP="00D41C5A">
      <w:pPr>
        <w:widowControl/>
        <w:numPr>
          <w:ilvl w:val="0"/>
          <w:numId w:val="2"/>
        </w:numPr>
        <w:spacing w:before="120" w:after="120"/>
        <w:ind w:left="0" w:right="9" w:hanging="11"/>
        <w:jc w:val="both"/>
        <w:rPr>
          <w:rFonts w:ascii="Verdana" w:hAnsi="Verdana"/>
        </w:rPr>
      </w:pPr>
      <w:r>
        <w:rPr>
          <w:rFonts w:ascii="Verdana" w:hAnsi="Verdana"/>
        </w:rPr>
        <w:t xml:space="preserve">En el punto dispositivo </w:t>
      </w:r>
      <w:r w:rsidR="00655FE5">
        <w:rPr>
          <w:rFonts w:ascii="Verdana" w:hAnsi="Verdana"/>
        </w:rPr>
        <w:t>décimo</w:t>
      </w:r>
      <w:r w:rsidR="003E37C9">
        <w:rPr>
          <w:rFonts w:ascii="Verdana" w:hAnsi="Verdana"/>
        </w:rPr>
        <w:t xml:space="preserve"> primero</w:t>
      </w:r>
      <w:r w:rsidR="00655FE5">
        <w:rPr>
          <w:rFonts w:ascii="Verdana" w:hAnsi="Verdana"/>
        </w:rPr>
        <w:t xml:space="preserve"> de la Se</w:t>
      </w:r>
      <w:r w:rsidR="000125C3">
        <w:rPr>
          <w:rFonts w:ascii="Verdana" w:hAnsi="Verdana"/>
        </w:rPr>
        <w:t>ntencia, la Corte dispuso que e</w:t>
      </w:r>
      <w:r w:rsidR="00655FE5">
        <w:rPr>
          <w:rFonts w:ascii="Verdana" w:hAnsi="Verdana"/>
        </w:rPr>
        <w:t>l Estado debe pagar</w:t>
      </w:r>
      <w:r w:rsidR="000125C3">
        <w:rPr>
          <w:rFonts w:ascii="Verdana" w:hAnsi="Verdana"/>
        </w:rPr>
        <w:t>:</w:t>
      </w:r>
    </w:p>
    <w:p w:rsidR="000125C3" w:rsidRDefault="00655FE5" w:rsidP="006F507C">
      <w:pPr>
        <w:pStyle w:val="Prrafodelista"/>
        <w:widowControl/>
        <w:numPr>
          <w:ilvl w:val="0"/>
          <w:numId w:val="28"/>
        </w:numPr>
        <w:spacing w:before="120" w:after="120"/>
        <w:ind w:right="11"/>
        <w:contextualSpacing w:val="0"/>
        <w:jc w:val="both"/>
        <w:rPr>
          <w:rFonts w:ascii="Verdana" w:hAnsi="Verdana"/>
        </w:rPr>
      </w:pPr>
      <w:r w:rsidRPr="000125C3">
        <w:rPr>
          <w:rFonts w:ascii="Verdana" w:hAnsi="Verdana"/>
        </w:rPr>
        <w:t xml:space="preserve">las cantidades fijadas </w:t>
      </w:r>
      <w:r w:rsidR="000125C3" w:rsidRPr="000125C3">
        <w:rPr>
          <w:rFonts w:ascii="Verdana" w:hAnsi="Verdana"/>
        </w:rPr>
        <w:t>en los párrafos 248 a 252</w:t>
      </w:r>
      <w:r w:rsidR="000125C3">
        <w:rPr>
          <w:rFonts w:ascii="Verdana" w:hAnsi="Verdana"/>
        </w:rPr>
        <w:t xml:space="preserve"> de la </w:t>
      </w:r>
      <w:r w:rsidR="000125C3" w:rsidRPr="000F0E5A">
        <w:rPr>
          <w:rFonts w:ascii="Verdana" w:hAnsi="Verdana"/>
        </w:rPr>
        <w:t>Sentencia</w:t>
      </w:r>
      <w:r w:rsidR="003F1E29">
        <w:rPr>
          <w:rStyle w:val="Refdenotaalpie"/>
          <w:rFonts w:ascii="Verdana" w:hAnsi="Verdana"/>
        </w:rPr>
        <w:footnoteReference w:id="28"/>
      </w:r>
      <w:r w:rsidR="000125C3" w:rsidRPr="000F0E5A">
        <w:rPr>
          <w:rFonts w:ascii="Verdana" w:hAnsi="Verdana"/>
        </w:rPr>
        <w:t xml:space="preserve"> </w:t>
      </w:r>
      <w:r w:rsidR="006F507C" w:rsidRPr="000F0E5A">
        <w:rPr>
          <w:rFonts w:ascii="Verdana" w:hAnsi="Verdana"/>
        </w:rPr>
        <w:t>por concepto de daño material por las remuneraciones y</w:t>
      </w:r>
      <w:r w:rsidR="00FF1306" w:rsidRPr="000F0E5A">
        <w:rPr>
          <w:rFonts w:ascii="Verdana" w:hAnsi="Verdana"/>
        </w:rPr>
        <w:t xml:space="preserve"> beneficios dejados de percibir</w:t>
      </w:r>
      <w:r w:rsidR="000F0E5A" w:rsidRPr="000F0E5A">
        <w:rPr>
          <w:rFonts w:ascii="Verdana" w:hAnsi="Verdana"/>
        </w:rPr>
        <w:t xml:space="preserve"> hasta el 2008</w:t>
      </w:r>
      <w:r w:rsidR="006F507C" w:rsidRPr="000F0E5A">
        <w:rPr>
          <w:rFonts w:ascii="Verdana" w:hAnsi="Verdana"/>
        </w:rPr>
        <w:t>,</w:t>
      </w:r>
      <w:r w:rsidR="006F507C">
        <w:rPr>
          <w:rFonts w:ascii="Verdana" w:hAnsi="Verdana"/>
        </w:rPr>
        <w:t xml:space="preserve"> a favor de las 27 víctimas</w:t>
      </w:r>
      <w:r w:rsidR="00D66673">
        <w:rPr>
          <w:rFonts w:ascii="Verdana" w:hAnsi="Verdana"/>
        </w:rPr>
        <w:t xml:space="preserve">, las cuales debían ser pagadas </w:t>
      </w:r>
      <w:r w:rsidR="00D66673" w:rsidRPr="006F507C">
        <w:rPr>
          <w:rFonts w:ascii="Verdana" w:hAnsi="Verdana"/>
        </w:rPr>
        <w:t>“en tres tractos equivalentes, estableciendo los días 30 de marzo de cada año como fecha de pago, a saber: el primer pago, el 30 de marzo de 2014, el segundo pago el 30 de marzo de 2015, y el tercer pago el 30 de marzo de 2016”</w:t>
      </w:r>
      <w:r w:rsidR="00D66673">
        <w:rPr>
          <w:rStyle w:val="Refdenotaalpie"/>
          <w:rFonts w:ascii="Verdana" w:hAnsi="Verdana"/>
        </w:rPr>
        <w:footnoteReference w:id="29"/>
      </w:r>
      <w:r w:rsidR="00147FCA">
        <w:rPr>
          <w:rFonts w:ascii="Verdana" w:hAnsi="Verdana"/>
        </w:rPr>
        <w:t xml:space="preserve">; </w:t>
      </w:r>
    </w:p>
    <w:p w:rsidR="006F507C" w:rsidRDefault="00AC62E6" w:rsidP="006F507C">
      <w:pPr>
        <w:pStyle w:val="Prrafodelista"/>
        <w:widowControl/>
        <w:numPr>
          <w:ilvl w:val="0"/>
          <w:numId w:val="28"/>
        </w:numPr>
        <w:spacing w:before="120" w:after="120"/>
        <w:ind w:right="11"/>
        <w:contextualSpacing w:val="0"/>
        <w:jc w:val="both"/>
        <w:rPr>
          <w:rFonts w:ascii="Verdana" w:hAnsi="Verdana"/>
        </w:rPr>
      </w:pPr>
      <w:r>
        <w:rPr>
          <w:rFonts w:ascii="Verdana" w:hAnsi="Verdana"/>
        </w:rPr>
        <w:t>l</w:t>
      </w:r>
      <w:r w:rsidR="006F507C">
        <w:rPr>
          <w:rFonts w:ascii="Verdana" w:hAnsi="Verdana"/>
        </w:rPr>
        <w:t xml:space="preserve">a cantidad dispuesta en el párrafo </w:t>
      </w:r>
      <w:r w:rsidR="00655FE5" w:rsidRPr="006F507C">
        <w:rPr>
          <w:rFonts w:ascii="Verdana" w:hAnsi="Verdana"/>
        </w:rPr>
        <w:t>261</w:t>
      </w:r>
      <w:r w:rsidR="00F171BA">
        <w:rPr>
          <w:rStyle w:val="Refdenotaalpie"/>
          <w:rFonts w:ascii="Verdana" w:hAnsi="Verdana"/>
        </w:rPr>
        <w:footnoteReference w:id="30"/>
      </w:r>
      <w:r w:rsidR="00655FE5" w:rsidRPr="006F507C">
        <w:rPr>
          <w:rFonts w:ascii="Verdana" w:hAnsi="Verdana"/>
        </w:rPr>
        <w:t xml:space="preserve"> </w:t>
      </w:r>
      <w:r w:rsidR="00B82B51" w:rsidRPr="006F507C">
        <w:rPr>
          <w:rFonts w:ascii="Verdana" w:hAnsi="Verdana"/>
        </w:rPr>
        <w:t xml:space="preserve">de </w:t>
      </w:r>
      <w:r w:rsidR="006F507C">
        <w:rPr>
          <w:rFonts w:ascii="Verdana" w:hAnsi="Verdana"/>
        </w:rPr>
        <w:t xml:space="preserve">la Sentencia por concepto de indemnización </w:t>
      </w:r>
      <w:r w:rsidR="00EB1934">
        <w:rPr>
          <w:rFonts w:ascii="Verdana" w:hAnsi="Verdana"/>
        </w:rPr>
        <w:t>del</w:t>
      </w:r>
      <w:r w:rsidR="006F507C">
        <w:rPr>
          <w:rFonts w:ascii="Verdana" w:hAnsi="Verdana"/>
        </w:rPr>
        <w:t xml:space="preserve"> daño inmaterial para cada una de las 27 víctimas</w:t>
      </w:r>
      <w:r w:rsidR="00D66673">
        <w:rPr>
          <w:rFonts w:ascii="Verdana" w:hAnsi="Verdana"/>
        </w:rPr>
        <w:t xml:space="preserve">, la cual debía ser pagada </w:t>
      </w:r>
      <w:r w:rsidR="00D66673" w:rsidRPr="006F507C">
        <w:rPr>
          <w:rFonts w:ascii="Verdana" w:hAnsi="Verdana"/>
        </w:rPr>
        <w:t>“dentro del plazo de un año, contado a partir de la notificación de la […] Sentencia”</w:t>
      </w:r>
      <w:r w:rsidR="00147FCA">
        <w:rPr>
          <w:rFonts w:ascii="Verdana" w:hAnsi="Verdana"/>
        </w:rPr>
        <w:t>, y</w:t>
      </w:r>
    </w:p>
    <w:p w:rsidR="00D41C5A" w:rsidRPr="00D66673" w:rsidRDefault="006F507C" w:rsidP="00D66673">
      <w:pPr>
        <w:pStyle w:val="Prrafodelista"/>
        <w:widowControl/>
        <w:numPr>
          <w:ilvl w:val="0"/>
          <w:numId w:val="28"/>
        </w:numPr>
        <w:spacing w:before="120" w:after="120"/>
        <w:ind w:right="11"/>
        <w:contextualSpacing w:val="0"/>
        <w:jc w:val="both"/>
        <w:rPr>
          <w:rFonts w:ascii="Verdana" w:hAnsi="Verdana"/>
        </w:rPr>
      </w:pPr>
      <w:r>
        <w:rPr>
          <w:rFonts w:ascii="Verdana" w:hAnsi="Verdana"/>
        </w:rPr>
        <w:t xml:space="preserve">la cantidad dispuesta en el párrafo </w:t>
      </w:r>
      <w:r w:rsidR="00D66673">
        <w:rPr>
          <w:rFonts w:ascii="Verdana" w:hAnsi="Verdana"/>
        </w:rPr>
        <w:t>276</w:t>
      </w:r>
      <w:r w:rsidR="00147FCA">
        <w:rPr>
          <w:rStyle w:val="Refdenotaalpie"/>
          <w:rFonts w:ascii="Verdana" w:hAnsi="Verdana"/>
        </w:rPr>
        <w:footnoteReference w:id="31"/>
      </w:r>
      <w:r w:rsidR="00D66673">
        <w:rPr>
          <w:rFonts w:ascii="Verdana" w:hAnsi="Verdana"/>
        </w:rPr>
        <w:t xml:space="preserve"> de la Sentencia por concepto de reintegro de costas y gastos</w:t>
      </w:r>
      <w:r w:rsidR="00EB1934">
        <w:rPr>
          <w:rFonts w:ascii="Verdana" w:hAnsi="Verdana"/>
        </w:rPr>
        <w:t xml:space="preserve"> a los representantes</w:t>
      </w:r>
      <w:r w:rsidR="002B39DC">
        <w:rPr>
          <w:rFonts w:ascii="Verdana" w:hAnsi="Verdana"/>
        </w:rPr>
        <w:t xml:space="preserve"> de las víctimas</w:t>
      </w:r>
      <w:r w:rsidR="00D66673">
        <w:rPr>
          <w:rFonts w:ascii="Verdana" w:hAnsi="Verdana"/>
        </w:rPr>
        <w:t xml:space="preserve">, la cual debía ser pagada </w:t>
      </w:r>
      <w:r w:rsidR="00C41AE0" w:rsidRPr="00D66673">
        <w:rPr>
          <w:rFonts w:ascii="Verdana" w:hAnsi="Verdana"/>
        </w:rPr>
        <w:t>“dentro d</w:t>
      </w:r>
      <w:r w:rsidR="00F171BA" w:rsidRPr="00D66673">
        <w:rPr>
          <w:rFonts w:ascii="Verdana" w:hAnsi="Verdana"/>
        </w:rPr>
        <w:t>el plazo de un año</w:t>
      </w:r>
      <w:r w:rsidR="00C41AE0" w:rsidRPr="00D66673">
        <w:rPr>
          <w:rFonts w:ascii="Verdana" w:hAnsi="Verdana"/>
        </w:rPr>
        <w:t>, contado a partir de la notificación de la […] Sentencia”</w:t>
      </w:r>
      <w:r w:rsidR="00F171BA" w:rsidRPr="00D66673">
        <w:rPr>
          <w:rFonts w:ascii="Verdana" w:hAnsi="Verdana"/>
        </w:rPr>
        <w:t xml:space="preserve">. </w:t>
      </w:r>
    </w:p>
    <w:p w:rsidR="00924439" w:rsidRDefault="00DE63FA" w:rsidP="00D41C5A">
      <w:pPr>
        <w:widowControl/>
        <w:numPr>
          <w:ilvl w:val="0"/>
          <w:numId w:val="2"/>
        </w:numPr>
        <w:spacing w:before="120" w:after="120"/>
        <w:ind w:left="0" w:right="9" w:hanging="11"/>
        <w:jc w:val="both"/>
        <w:rPr>
          <w:rFonts w:ascii="Verdana" w:hAnsi="Verdana"/>
        </w:rPr>
      </w:pPr>
      <w:r>
        <w:rPr>
          <w:rFonts w:ascii="Verdana" w:hAnsi="Verdana"/>
        </w:rPr>
        <w:t>Adicionalmente, e</w:t>
      </w:r>
      <w:r w:rsidR="00AC62E6">
        <w:rPr>
          <w:rFonts w:ascii="Verdana" w:hAnsi="Verdana"/>
        </w:rPr>
        <w:t>n relación con los montos fijados por concepto de daño material</w:t>
      </w:r>
      <w:r w:rsidR="005366C0">
        <w:rPr>
          <w:rFonts w:ascii="Verdana" w:hAnsi="Verdana"/>
        </w:rPr>
        <w:t xml:space="preserve"> en los referidos párrafos 248 a 251 (</w:t>
      </w:r>
      <w:r w:rsidR="005366C0" w:rsidRPr="00FF1306">
        <w:rPr>
          <w:rFonts w:ascii="Verdana" w:hAnsi="Verdana"/>
          <w:i/>
        </w:rPr>
        <w:t>supra</w:t>
      </w:r>
      <w:r w:rsidR="005366C0">
        <w:rPr>
          <w:rFonts w:ascii="Verdana" w:hAnsi="Verdana"/>
        </w:rPr>
        <w:t xml:space="preserve"> Considerando 1</w:t>
      </w:r>
      <w:r w:rsidR="002E319D">
        <w:rPr>
          <w:rFonts w:ascii="Verdana" w:hAnsi="Verdana"/>
        </w:rPr>
        <w:t>2</w:t>
      </w:r>
      <w:r w:rsidR="005366C0">
        <w:rPr>
          <w:rFonts w:ascii="Verdana" w:hAnsi="Verdana"/>
        </w:rPr>
        <w:t>.a) respecto</w:t>
      </w:r>
      <w:r w:rsidR="009F7628">
        <w:rPr>
          <w:rFonts w:ascii="Verdana" w:hAnsi="Verdana"/>
        </w:rPr>
        <w:t xml:space="preserve"> a </w:t>
      </w:r>
      <w:r w:rsidR="005366C0">
        <w:rPr>
          <w:rFonts w:ascii="Verdana" w:hAnsi="Verdana"/>
        </w:rPr>
        <w:t xml:space="preserve">tres de </w:t>
      </w:r>
      <w:r w:rsidR="002B39DC">
        <w:rPr>
          <w:rFonts w:ascii="Verdana" w:hAnsi="Verdana"/>
        </w:rPr>
        <w:t xml:space="preserve">las </w:t>
      </w:r>
      <w:r w:rsidR="005171A6">
        <w:rPr>
          <w:rFonts w:ascii="Verdana" w:hAnsi="Verdana"/>
        </w:rPr>
        <w:t xml:space="preserve">víctimas </w:t>
      </w:r>
      <w:r w:rsidR="005366C0">
        <w:rPr>
          <w:rFonts w:ascii="Verdana" w:hAnsi="Verdana"/>
        </w:rPr>
        <w:t>(</w:t>
      </w:r>
      <w:r w:rsidR="005171A6" w:rsidRPr="00E96F7C">
        <w:rPr>
          <w:rFonts w:ascii="Verdana" w:hAnsi="Verdana"/>
        </w:rPr>
        <w:t>Jaime Gonzalo Velasco Dávila, Arturo Javier Donoso Castellón e Ignacio José Vicente Troya Jaramillo</w:t>
      </w:r>
      <w:r w:rsidR="005366C0">
        <w:rPr>
          <w:rFonts w:ascii="Verdana" w:hAnsi="Verdana"/>
        </w:rPr>
        <w:t>), la Corte recuerda que en el párrafo 240 de la Sentencia, tomando en cuenta que</w:t>
      </w:r>
      <w:r w:rsidR="005171A6">
        <w:rPr>
          <w:rFonts w:ascii="Verdana" w:hAnsi="Verdana"/>
        </w:rPr>
        <w:t xml:space="preserve"> habrían tenido </w:t>
      </w:r>
      <w:r w:rsidR="008449C3">
        <w:rPr>
          <w:rFonts w:ascii="Verdana" w:hAnsi="Verdana"/>
        </w:rPr>
        <w:t xml:space="preserve">otros </w:t>
      </w:r>
      <w:r w:rsidR="005171A6">
        <w:rPr>
          <w:rFonts w:ascii="Verdana" w:hAnsi="Verdana"/>
        </w:rPr>
        <w:t xml:space="preserve">cargos en </w:t>
      </w:r>
      <w:r w:rsidR="008449C3">
        <w:rPr>
          <w:rFonts w:ascii="Verdana" w:hAnsi="Verdana"/>
        </w:rPr>
        <w:t xml:space="preserve">la función </w:t>
      </w:r>
      <w:r w:rsidR="005171A6">
        <w:rPr>
          <w:rFonts w:ascii="Verdana" w:hAnsi="Verdana"/>
        </w:rPr>
        <w:t>públic</w:t>
      </w:r>
      <w:r w:rsidR="008449C3">
        <w:rPr>
          <w:rFonts w:ascii="Verdana" w:hAnsi="Verdana"/>
        </w:rPr>
        <w:t>a</w:t>
      </w:r>
      <w:r w:rsidR="005171A6">
        <w:rPr>
          <w:rFonts w:ascii="Verdana" w:hAnsi="Verdana"/>
        </w:rPr>
        <w:t xml:space="preserve"> con posterioridad a </w:t>
      </w:r>
      <w:r w:rsidR="002B39DC">
        <w:rPr>
          <w:rFonts w:ascii="Verdana" w:hAnsi="Verdana"/>
        </w:rPr>
        <w:t xml:space="preserve">su </w:t>
      </w:r>
      <w:r w:rsidR="008449C3">
        <w:rPr>
          <w:rFonts w:ascii="Verdana" w:hAnsi="Verdana"/>
        </w:rPr>
        <w:t xml:space="preserve">destitución </w:t>
      </w:r>
      <w:r w:rsidR="005171A6">
        <w:rPr>
          <w:rFonts w:ascii="Verdana" w:hAnsi="Verdana"/>
        </w:rPr>
        <w:t>como magistrados de la Corte Suprema de Justicia y “la normativ</w:t>
      </w:r>
      <w:r w:rsidR="002B39DC">
        <w:rPr>
          <w:rFonts w:ascii="Verdana" w:hAnsi="Verdana"/>
        </w:rPr>
        <w:t>idad</w:t>
      </w:r>
      <w:r w:rsidR="005171A6">
        <w:rPr>
          <w:rFonts w:ascii="Verdana" w:hAnsi="Verdana"/>
        </w:rPr>
        <w:t xml:space="preserve"> interna aplicable respecto a la prohibición de percibir dos salarios como funcionario público”, </w:t>
      </w:r>
    </w:p>
    <w:p w:rsidR="006707AF" w:rsidRPr="00E96F7C" w:rsidRDefault="00AC62E6" w:rsidP="00E96F7C">
      <w:pPr>
        <w:widowControl/>
        <w:spacing w:before="120" w:after="120"/>
        <w:ind w:left="851" w:right="900"/>
        <w:jc w:val="both"/>
        <w:rPr>
          <w:rFonts w:ascii="Verdana" w:hAnsi="Verdana"/>
          <w:sz w:val="16"/>
          <w:szCs w:val="16"/>
        </w:rPr>
      </w:pPr>
      <w:r>
        <w:rPr>
          <w:rFonts w:ascii="Verdana" w:hAnsi="Verdana"/>
          <w:sz w:val="16"/>
          <w:szCs w:val="16"/>
        </w:rPr>
        <w:lastRenderedPageBreak/>
        <w:t>240.</w:t>
      </w:r>
      <w:r>
        <w:rPr>
          <w:rFonts w:ascii="Verdana" w:hAnsi="Verdana"/>
          <w:sz w:val="16"/>
          <w:szCs w:val="16"/>
        </w:rPr>
        <w:tab/>
      </w:r>
      <w:r w:rsidR="00924439" w:rsidRPr="00E96F7C">
        <w:rPr>
          <w:rFonts w:ascii="Verdana" w:hAnsi="Verdana"/>
          <w:sz w:val="16"/>
          <w:szCs w:val="16"/>
        </w:rPr>
        <w:t xml:space="preserve">[…] </w:t>
      </w:r>
      <w:r w:rsidR="005171A6" w:rsidRPr="00E96F7C">
        <w:rPr>
          <w:rFonts w:ascii="Verdana" w:hAnsi="Verdana"/>
          <w:sz w:val="16"/>
          <w:szCs w:val="16"/>
        </w:rPr>
        <w:t>consider</w:t>
      </w:r>
      <w:r w:rsidR="00924439" w:rsidRPr="00E96F7C">
        <w:rPr>
          <w:rFonts w:ascii="Verdana" w:hAnsi="Verdana"/>
          <w:sz w:val="16"/>
          <w:szCs w:val="16"/>
        </w:rPr>
        <w:t>[</w:t>
      </w:r>
      <w:r w:rsidR="005171A6" w:rsidRPr="00E96F7C">
        <w:rPr>
          <w:rFonts w:ascii="Verdana" w:hAnsi="Verdana"/>
          <w:sz w:val="16"/>
          <w:szCs w:val="16"/>
        </w:rPr>
        <w:t>ó</w:t>
      </w:r>
      <w:r w:rsidR="00924439" w:rsidRPr="00E96F7C">
        <w:rPr>
          <w:rFonts w:ascii="Verdana" w:hAnsi="Verdana"/>
          <w:sz w:val="16"/>
          <w:szCs w:val="16"/>
        </w:rPr>
        <w:t>]</w:t>
      </w:r>
      <w:r w:rsidR="005171A6" w:rsidRPr="00E96F7C">
        <w:rPr>
          <w:rFonts w:ascii="Verdana" w:hAnsi="Verdana"/>
          <w:sz w:val="16"/>
          <w:szCs w:val="16"/>
        </w:rPr>
        <w:t xml:space="preserve"> necesario fijar un plazo de tres meses a partir de la notificación de la </w:t>
      </w:r>
      <w:r w:rsidR="008449C3">
        <w:rPr>
          <w:rFonts w:ascii="Verdana" w:hAnsi="Verdana"/>
          <w:sz w:val="16"/>
          <w:szCs w:val="16"/>
        </w:rPr>
        <w:t xml:space="preserve">[…] </w:t>
      </w:r>
      <w:r w:rsidR="005171A6" w:rsidRPr="00E96F7C">
        <w:rPr>
          <w:rFonts w:ascii="Verdana" w:hAnsi="Verdana"/>
          <w:sz w:val="16"/>
          <w:szCs w:val="16"/>
        </w:rPr>
        <w:t>Sentencia</w:t>
      </w:r>
      <w:r w:rsidR="00924439" w:rsidRPr="00E96F7C">
        <w:rPr>
          <w:rFonts w:ascii="Verdana" w:hAnsi="Verdana"/>
          <w:sz w:val="16"/>
          <w:szCs w:val="16"/>
        </w:rPr>
        <w:t>,</w:t>
      </w:r>
      <w:r w:rsidR="005171A6" w:rsidRPr="00E96F7C">
        <w:rPr>
          <w:rFonts w:ascii="Verdana" w:hAnsi="Verdana"/>
          <w:sz w:val="16"/>
          <w:szCs w:val="16"/>
        </w:rPr>
        <w:t xml:space="preserve"> para </w:t>
      </w:r>
      <w:r w:rsidR="00924439" w:rsidRPr="00E96F7C">
        <w:rPr>
          <w:rFonts w:ascii="Verdana" w:hAnsi="Verdana"/>
          <w:sz w:val="16"/>
          <w:szCs w:val="16"/>
        </w:rPr>
        <w:t>que el Estado estable[ciera] y remit[iera prueba] a este Tribunal [sobre] el monto específico que habrían recibido los magistrados</w:t>
      </w:r>
      <w:r w:rsidR="00577323">
        <w:rPr>
          <w:rFonts w:ascii="Verdana" w:hAnsi="Verdana"/>
          <w:sz w:val="16"/>
          <w:szCs w:val="16"/>
        </w:rPr>
        <w:t xml:space="preserve"> Donoso,</w:t>
      </w:r>
      <w:r w:rsidR="00924439" w:rsidRPr="00E96F7C">
        <w:rPr>
          <w:rFonts w:ascii="Verdana" w:hAnsi="Verdana"/>
          <w:sz w:val="16"/>
          <w:szCs w:val="16"/>
        </w:rPr>
        <w:t xml:space="preserve"> Troya y Velasco por su desempeño en otros cargos públicos, con el fin de que dicha suma sea descontada de la indemnización [por concepto de daño material] que se fijará posteriormente luego de escuchadas las víctimas y en el marco de la supervisión de cumplimiento de la </w:t>
      </w:r>
      <w:r w:rsidR="008449C3">
        <w:rPr>
          <w:rFonts w:ascii="Verdana" w:hAnsi="Verdana"/>
          <w:sz w:val="16"/>
          <w:szCs w:val="16"/>
        </w:rPr>
        <w:t>[…]</w:t>
      </w:r>
      <w:r w:rsidR="008449C3" w:rsidRPr="00E96F7C">
        <w:rPr>
          <w:rFonts w:ascii="Verdana" w:hAnsi="Verdana"/>
          <w:sz w:val="16"/>
          <w:szCs w:val="16"/>
        </w:rPr>
        <w:t xml:space="preserve"> </w:t>
      </w:r>
      <w:r w:rsidR="00924439" w:rsidRPr="00E96F7C">
        <w:rPr>
          <w:rFonts w:ascii="Verdana" w:hAnsi="Verdana"/>
          <w:sz w:val="16"/>
          <w:szCs w:val="16"/>
        </w:rPr>
        <w:t xml:space="preserve">Sentencia </w:t>
      </w:r>
      <w:r w:rsidR="008449C3">
        <w:rPr>
          <w:rFonts w:ascii="Verdana" w:hAnsi="Verdana"/>
          <w:sz w:val="16"/>
          <w:szCs w:val="16"/>
        </w:rPr>
        <w:t xml:space="preserve">[…]. </w:t>
      </w:r>
      <w:r w:rsidR="00924439" w:rsidRPr="00E96F7C">
        <w:rPr>
          <w:rFonts w:ascii="Verdana" w:hAnsi="Verdana"/>
          <w:sz w:val="16"/>
          <w:szCs w:val="16"/>
        </w:rPr>
        <w:t xml:space="preserve">En caso de que el Estado no </w:t>
      </w:r>
      <w:proofErr w:type="gramStart"/>
      <w:r w:rsidR="00924439" w:rsidRPr="00E96F7C">
        <w:rPr>
          <w:rFonts w:ascii="Verdana" w:hAnsi="Verdana"/>
          <w:sz w:val="16"/>
          <w:szCs w:val="16"/>
        </w:rPr>
        <w:t>prese</w:t>
      </w:r>
      <w:r w:rsidR="00DE63FA">
        <w:rPr>
          <w:rFonts w:ascii="Verdana" w:hAnsi="Verdana"/>
          <w:sz w:val="16"/>
          <w:szCs w:val="16"/>
        </w:rPr>
        <w:t>n</w:t>
      </w:r>
      <w:r w:rsidR="00924439" w:rsidRPr="00E96F7C">
        <w:rPr>
          <w:rFonts w:ascii="Verdana" w:hAnsi="Verdana"/>
          <w:sz w:val="16"/>
          <w:szCs w:val="16"/>
        </w:rPr>
        <w:t>t[</w:t>
      </w:r>
      <w:proofErr w:type="gramEnd"/>
      <w:r w:rsidR="00924439" w:rsidRPr="00E96F7C">
        <w:rPr>
          <w:rFonts w:ascii="Verdana" w:hAnsi="Verdana"/>
          <w:sz w:val="16"/>
          <w:szCs w:val="16"/>
        </w:rPr>
        <w:t>ara] dicha información en el plazo establecido, se entender</w:t>
      </w:r>
      <w:r w:rsidR="008449C3">
        <w:rPr>
          <w:rFonts w:ascii="Verdana" w:hAnsi="Verdana"/>
          <w:sz w:val="16"/>
          <w:szCs w:val="16"/>
        </w:rPr>
        <w:t>[ía]</w:t>
      </w:r>
      <w:r w:rsidR="00924439" w:rsidRPr="00E96F7C">
        <w:rPr>
          <w:rFonts w:ascii="Verdana" w:hAnsi="Verdana"/>
          <w:sz w:val="16"/>
          <w:szCs w:val="16"/>
        </w:rPr>
        <w:t xml:space="preserve"> que el monto por concepto de daño material de los magistrados Donoso, Troya y Velasco ser</w:t>
      </w:r>
      <w:r>
        <w:rPr>
          <w:rFonts w:ascii="Verdana" w:hAnsi="Verdana"/>
          <w:sz w:val="16"/>
          <w:szCs w:val="16"/>
        </w:rPr>
        <w:t xml:space="preserve">á el fijado en </w:t>
      </w:r>
      <w:r w:rsidR="008449C3">
        <w:rPr>
          <w:rFonts w:ascii="Verdana" w:hAnsi="Verdana"/>
          <w:sz w:val="16"/>
          <w:szCs w:val="16"/>
        </w:rPr>
        <w:t xml:space="preserve">[los párrafos 248, 249 y 251 de] </w:t>
      </w:r>
      <w:r>
        <w:rPr>
          <w:rFonts w:ascii="Verdana" w:hAnsi="Verdana"/>
          <w:sz w:val="16"/>
          <w:szCs w:val="16"/>
        </w:rPr>
        <w:t>la […] Sentencia […]</w:t>
      </w:r>
      <w:r w:rsidR="00924439" w:rsidRPr="00E96F7C">
        <w:rPr>
          <w:rFonts w:ascii="Verdana" w:hAnsi="Verdana"/>
          <w:sz w:val="16"/>
          <w:szCs w:val="16"/>
        </w:rPr>
        <w:t>.</w:t>
      </w:r>
    </w:p>
    <w:p w:rsidR="00904FC5" w:rsidRPr="00E717E0" w:rsidRDefault="00805775" w:rsidP="00904FC5">
      <w:pPr>
        <w:widowControl/>
        <w:numPr>
          <w:ilvl w:val="0"/>
          <w:numId w:val="2"/>
        </w:numPr>
        <w:spacing w:before="120" w:after="120"/>
        <w:ind w:left="0" w:right="9" w:hanging="11"/>
        <w:jc w:val="both"/>
        <w:rPr>
          <w:rFonts w:ascii="Verdana" w:hAnsi="Verdana"/>
          <w:sz w:val="18"/>
        </w:rPr>
      </w:pPr>
      <w:r>
        <w:rPr>
          <w:rFonts w:ascii="Verdana" w:hAnsi="Verdana"/>
        </w:rPr>
        <w:t xml:space="preserve">De conformidad con lo dispuesto en el referido párrafo 240 de la Sentencia, en el marco de la supervisión de cumplimiento de la misma, recibió la información y prueba presentada por el Estado, los representantes y la Comisión con respecto a los montos indemnizatorios por concepto de daño material de las víctimas Donoso Castellón, Troya Jaramillo y Velasco Dávila. </w:t>
      </w:r>
      <w:r w:rsidR="008A6441">
        <w:rPr>
          <w:rFonts w:ascii="Verdana" w:hAnsi="Verdana"/>
        </w:rPr>
        <w:t>Al respecto, e</w:t>
      </w:r>
      <w:r w:rsidR="00924439">
        <w:rPr>
          <w:rFonts w:ascii="Verdana" w:hAnsi="Verdana"/>
        </w:rPr>
        <w:t>n la Resolución de supervisión de cumplimiento de agosto de 2014</w:t>
      </w:r>
      <w:r w:rsidR="008A6441">
        <w:rPr>
          <w:rStyle w:val="Refdenotaalpie"/>
          <w:rFonts w:ascii="Verdana" w:hAnsi="Verdana"/>
        </w:rPr>
        <w:footnoteReference w:id="32"/>
      </w:r>
      <w:r w:rsidR="00924439">
        <w:rPr>
          <w:rFonts w:ascii="Verdana" w:hAnsi="Verdana"/>
        </w:rPr>
        <w:t xml:space="preserve"> (</w:t>
      </w:r>
      <w:r w:rsidR="00924439" w:rsidRPr="00AC62E6">
        <w:rPr>
          <w:rFonts w:ascii="Verdana" w:hAnsi="Verdana"/>
          <w:i/>
        </w:rPr>
        <w:t>supra</w:t>
      </w:r>
      <w:r w:rsidR="00924439">
        <w:rPr>
          <w:rFonts w:ascii="Verdana" w:hAnsi="Verdana"/>
        </w:rPr>
        <w:t xml:space="preserve"> Visto </w:t>
      </w:r>
      <w:r w:rsidR="002E319D">
        <w:rPr>
          <w:rFonts w:ascii="Verdana" w:hAnsi="Verdana"/>
        </w:rPr>
        <w:t>2</w:t>
      </w:r>
      <w:r w:rsidR="00924439">
        <w:rPr>
          <w:rFonts w:ascii="Verdana" w:hAnsi="Verdana"/>
        </w:rPr>
        <w:t xml:space="preserve">), tomando en consideración </w:t>
      </w:r>
      <w:r>
        <w:rPr>
          <w:rFonts w:ascii="Verdana" w:hAnsi="Verdana"/>
        </w:rPr>
        <w:t xml:space="preserve">dicha </w:t>
      </w:r>
      <w:r w:rsidR="00924439">
        <w:rPr>
          <w:rFonts w:ascii="Verdana" w:hAnsi="Verdana"/>
        </w:rPr>
        <w:t xml:space="preserve">información, </w:t>
      </w:r>
      <w:r w:rsidR="00924439" w:rsidRPr="002E57E3">
        <w:rPr>
          <w:rFonts w:ascii="Verdana" w:hAnsi="Verdana"/>
        </w:rPr>
        <w:t xml:space="preserve">la Corte resolvió que </w:t>
      </w:r>
      <w:r w:rsidR="00DA5814" w:rsidRPr="002E57E3">
        <w:rPr>
          <w:rFonts w:ascii="Verdana" w:hAnsi="Verdana"/>
        </w:rPr>
        <w:t xml:space="preserve">el monto de </w:t>
      </w:r>
      <w:r w:rsidR="008A6441">
        <w:rPr>
          <w:rFonts w:ascii="Verdana" w:hAnsi="Verdana"/>
        </w:rPr>
        <w:t>la</w:t>
      </w:r>
      <w:r w:rsidR="00DA5814" w:rsidRPr="002E57E3">
        <w:rPr>
          <w:rFonts w:ascii="Verdana" w:hAnsi="Verdana"/>
        </w:rPr>
        <w:t xml:space="preserve"> indemnización </w:t>
      </w:r>
      <w:r w:rsidR="008A6441">
        <w:rPr>
          <w:rFonts w:ascii="Verdana" w:hAnsi="Verdana"/>
        </w:rPr>
        <w:t>del señor Donoso</w:t>
      </w:r>
      <w:r w:rsidR="00E23EE3">
        <w:rPr>
          <w:rFonts w:ascii="Verdana" w:hAnsi="Verdana"/>
        </w:rPr>
        <w:t xml:space="preserve"> Castellón</w:t>
      </w:r>
      <w:r w:rsidR="008A6441">
        <w:rPr>
          <w:rFonts w:ascii="Verdana" w:hAnsi="Verdana"/>
        </w:rPr>
        <w:t xml:space="preserve"> </w:t>
      </w:r>
      <w:r w:rsidR="00DA5814" w:rsidRPr="002E57E3">
        <w:rPr>
          <w:rFonts w:ascii="Verdana" w:hAnsi="Verdana"/>
        </w:rPr>
        <w:t>continuaba siendo el mismo fijado en el párrafo 249 de la Sentencia</w:t>
      </w:r>
      <w:r w:rsidR="00904FC5">
        <w:rPr>
          <w:rStyle w:val="Refdenotaalpie"/>
          <w:rFonts w:ascii="Verdana" w:hAnsi="Verdana"/>
        </w:rPr>
        <w:footnoteReference w:id="33"/>
      </w:r>
      <w:r w:rsidR="00DA5814" w:rsidRPr="002E57E3">
        <w:rPr>
          <w:rFonts w:ascii="Verdana" w:hAnsi="Verdana"/>
        </w:rPr>
        <w:t xml:space="preserve"> (</w:t>
      </w:r>
      <w:r w:rsidR="00DA5814" w:rsidRPr="002E57E3">
        <w:rPr>
          <w:rFonts w:ascii="Verdana" w:hAnsi="Verdana"/>
          <w:i/>
        </w:rPr>
        <w:t>supra</w:t>
      </w:r>
      <w:r w:rsidR="00DA5814" w:rsidRPr="002E57E3">
        <w:rPr>
          <w:rFonts w:ascii="Verdana" w:hAnsi="Verdana"/>
        </w:rPr>
        <w:t xml:space="preserve"> nota al pie </w:t>
      </w:r>
      <w:r w:rsidR="008449C3">
        <w:rPr>
          <w:rFonts w:ascii="Verdana" w:hAnsi="Verdana"/>
        </w:rPr>
        <w:t>27</w:t>
      </w:r>
      <w:r w:rsidR="00DA5814" w:rsidRPr="002E57E3">
        <w:rPr>
          <w:rFonts w:ascii="Verdana" w:hAnsi="Verdana"/>
        </w:rPr>
        <w:t>)</w:t>
      </w:r>
      <w:r w:rsidR="00DA5814">
        <w:rPr>
          <w:rFonts w:ascii="Verdana" w:hAnsi="Verdana"/>
        </w:rPr>
        <w:t xml:space="preserve">, y para los señores Troya </w:t>
      </w:r>
      <w:r w:rsidR="00E23EE3">
        <w:rPr>
          <w:rFonts w:ascii="Verdana" w:hAnsi="Verdana"/>
        </w:rPr>
        <w:t xml:space="preserve">Jaramillo </w:t>
      </w:r>
      <w:r w:rsidR="00DA5814">
        <w:rPr>
          <w:rFonts w:ascii="Verdana" w:hAnsi="Verdana"/>
        </w:rPr>
        <w:t>y Velasco</w:t>
      </w:r>
      <w:r w:rsidR="00E23EE3">
        <w:rPr>
          <w:rFonts w:ascii="Verdana" w:hAnsi="Verdana"/>
        </w:rPr>
        <w:t xml:space="preserve"> Dávila</w:t>
      </w:r>
      <w:r w:rsidR="00DA5814">
        <w:rPr>
          <w:rFonts w:ascii="Verdana" w:hAnsi="Verdana"/>
        </w:rPr>
        <w:t>, tomando en cuenta la prueba aportada por el Estado,</w:t>
      </w:r>
      <w:r w:rsidR="008449C3">
        <w:rPr>
          <w:rFonts w:ascii="Verdana" w:hAnsi="Verdana"/>
        </w:rPr>
        <w:t xml:space="preserve"> el Tribunal</w:t>
      </w:r>
      <w:r w:rsidR="00DA5814">
        <w:rPr>
          <w:rFonts w:ascii="Verdana" w:hAnsi="Verdana"/>
        </w:rPr>
        <w:t xml:space="preserve"> </w:t>
      </w:r>
      <w:r w:rsidR="002E57E3">
        <w:rPr>
          <w:rFonts w:ascii="Verdana" w:hAnsi="Verdana"/>
        </w:rPr>
        <w:t>disminuyó los montos indemnizatorios fijados en la Sentencia, disponiendo</w:t>
      </w:r>
      <w:r w:rsidR="00DA5814">
        <w:rPr>
          <w:rFonts w:ascii="Verdana" w:hAnsi="Verdana"/>
        </w:rPr>
        <w:t xml:space="preserve"> el monto definitivo de indemnización por daño material a su favor</w:t>
      </w:r>
      <w:r w:rsidR="00DA5814">
        <w:rPr>
          <w:rStyle w:val="Refdenotaalpie"/>
          <w:rFonts w:ascii="Verdana" w:hAnsi="Verdana"/>
        </w:rPr>
        <w:footnoteReference w:id="34"/>
      </w:r>
      <w:r w:rsidR="00DA5814">
        <w:rPr>
          <w:rFonts w:ascii="Verdana" w:hAnsi="Verdana"/>
        </w:rPr>
        <w:t xml:space="preserve">. </w:t>
      </w:r>
    </w:p>
    <w:p w:rsidR="00C61947" w:rsidRDefault="00C61947" w:rsidP="00904FC5">
      <w:pPr>
        <w:widowControl/>
        <w:autoSpaceDE w:val="0"/>
        <w:autoSpaceDN w:val="0"/>
        <w:adjustRightInd w:val="0"/>
        <w:spacing w:before="120" w:after="120"/>
        <w:ind w:firstLine="708"/>
        <w:jc w:val="both"/>
        <w:rPr>
          <w:rFonts w:ascii="Verdana" w:hAnsi="Verdana"/>
          <w:i/>
        </w:rPr>
      </w:pPr>
    </w:p>
    <w:p w:rsidR="00904FC5" w:rsidRDefault="00904FC5" w:rsidP="00904FC5">
      <w:pPr>
        <w:widowControl/>
        <w:autoSpaceDE w:val="0"/>
        <w:autoSpaceDN w:val="0"/>
        <w:adjustRightInd w:val="0"/>
        <w:spacing w:before="120" w:after="120"/>
        <w:ind w:firstLine="708"/>
        <w:jc w:val="both"/>
        <w:rPr>
          <w:rFonts w:ascii="Verdana" w:hAnsi="Verdana"/>
          <w:i/>
        </w:rPr>
      </w:pPr>
      <w:r w:rsidRPr="00721D61">
        <w:rPr>
          <w:rFonts w:ascii="Verdana" w:hAnsi="Verdana"/>
          <w:i/>
        </w:rPr>
        <w:t xml:space="preserve">C.2. </w:t>
      </w:r>
      <w:r>
        <w:rPr>
          <w:rFonts w:ascii="Verdana" w:hAnsi="Verdana"/>
          <w:i/>
        </w:rPr>
        <w:t>Consideraciones de la Corte</w:t>
      </w:r>
    </w:p>
    <w:p w:rsidR="00904FC5" w:rsidRDefault="00904FC5" w:rsidP="00904FC5">
      <w:pPr>
        <w:widowControl/>
        <w:autoSpaceDE w:val="0"/>
        <w:autoSpaceDN w:val="0"/>
        <w:adjustRightInd w:val="0"/>
        <w:spacing w:before="120" w:after="120"/>
        <w:ind w:firstLine="708"/>
        <w:jc w:val="both"/>
        <w:rPr>
          <w:rFonts w:ascii="Verdana" w:hAnsi="Verdana"/>
          <w:i/>
        </w:rPr>
      </w:pPr>
      <w:r>
        <w:rPr>
          <w:rFonts w:ascii="Verdana" w:hAnsi="Verdana"/>
          <w:i/>
        </w:rPr>
        <w:t xml:space="preserve">i) </w:t>
      </w:r>
      <w:r w:rsidR="00D46199">
        <w:rPr>
          <w:rFonts w:ascii="Verdana" w:hAnsi="Verdana"/>
          <w:i/>
        </w:rPr>
        <w:t>Indemnizaciones por d</w:t>
      </w:r>
      <w:r>
        <w:rPr>
          <w:rFonts w:ascii="Verdana" w:hAnsi="Verdana"/>
          <w:i/>
        </w:rPr>
        <w:t>años materiales e inmateriales</w:t>
      </w:r>
    </w:p>
    <w:p w:rsidR="0004568D" w:rsidRDefault="00D04A18" w:rsidP="00577323">
      <w:pPr>
        <w:widowControl/>
        <w:numPr>
          <w:ilvl w:val="0"/>
          <w:numId w:val="2"/>
        </w:numPr>
        <w:spacing w:before="120" w:after="120"/>
        <w:ind w:left="0" w:right="9" w:hanging="11"/>
        <w:jc w:val="both"/>
        <w:rPr>
          <w:rFonts w:ascii="Verdana" w:hAnsi="Verdana"/>
        </w:rPr>
      </w:pPr>
      <w:r w:rsidRPr="005238A7">
        <w:rPr>
          <w:rFonts w:ascii="Verdana" w:hAnsi="Verdana"/>
        </w:rPr>
        <w:t>C</w:t>
      </w:r>
      <w:r w:rsidR="00F127C8" w:rsidRPr="005238A7">
        <w:rPr>
          <w:rFonts w:ascii="Verdana" w:hAnsi="Verdana"/>
        </w:rPr>
        <w:t>on base en la documentación aportada por el Estado</w:t>
      </w:r>
      <w:r w:rsidR="00F127C8" w:rsidRPr="00473D9D">
        <w:rPr>
          <w:rStyle w:val="Refdenotaalpie"/>
          <w:rFonts w:ascii="Verdana" w:hAnsi="Verdana"/>
        </w:rPr>
        <w:footnoteReference w:id="35"/>
      </w:r>
      <w:r w:rsidR="00F127C8" w:rsidRPr="005238A7">
        <w:rPr>
          <w:rFonts w:ascii="Verdana" w:hAnsi="Verdana"/>
        </w:rPr>
        <w:t xml:space="preserve"> y lo afirmado por los representantes</w:t>
      </w:r>
      <w:r w:rsidR="00F127C8" w:rsidRPr="00473D9D">
        <w:rPr>
          <w:rStyle w:val="Refdenotaalpie"/>
          <w:rFonts w:ascii="Verdana" w:hAnsi="Verdana"/>
        </w:rPr>
        <w:footnoteReference w:id="36"/>
      </w:r>
      <w:r w:rsidR="00F127C8" w:rsidRPr="005238A7">
        <w:rPr>
          <w:rFonts w:ascii="Verdana" w:hAnsi="Verdana"/>
        </w:rPr>
        <w:t xml:space="preserve">, </w:t>
      </w:r>
      <w:r w:rsidRPr="005238A7">
        <w:rPr>
          <w:rFonts w:ascii="Verdana" w:hAnsi="Verdana"/>
        </w:rPr>
        <w:t xml:space="preserve">el Tribunal constata </w:t>
      </w:r>
      <w:r w:rsidR="005238A7" w:rsidRPr="005238A7">
        <w:rPr>
          <w:rFonts w:ascii="Verdana" w:hAnsi="Verdana"/>
        </w:rPr>
        <w:t xml:space="preserve">que Ecuador cumplió con pagar </w:t>
      </w:r>
      <w:r w:rsidR="00F127C8" w:rsidRPr="005238A7">
        <w:rPr>
          <w:rFonts w:ascii="Verdana" w:hAnsi="Verdana"/>
        </w:rPr>
        <w:t xml:space="preserve">a las 27 víctimas </w:t>
      </w:r>
      <w:r w:rsidR="00F127C8" w:rsidRPr="005238A7">
        <w:rPr>
          <w:rFonts w:ascii="Verdana" w:hAnsi="Verdana"/>
        </w:rPr>
        <w:lastRenderedPageBreak/>
        <w:t xml:space="preserve">o sus derechohabientes </w:t>
      </w:r>
      <w:r w:rsidR="009F7628" w:rsidRPr="005238A7">
        <w:rPr>
          <w:rFonts w:ascii="Verdana" w:hAnsi="Verdana"/>
        </w:rPr>
        <w:t>las sumas dispuestas por concepto de daño material</w:t>
      </w:r>
      <w:r w:rsidR="005238A7">
        <w:rPr>
          <w:rFonts w:ascii="Verdana" w:hAnsi="Verdana"/>
        </w:rPr>
        <w:t xml:space="preserve"> y daño </w:t>
      </w:r>
      <w:r w:rsidR="00577323">
        <w:rPr>
          <w:rFonts w:ascii="Verdana" w:hAnsi="Verdana"/>
        </w:rPr>
        <w:t>in</w:t>
      </w:r>
      <w:r w:rsidR="005238A7">
        <w:rPr>
          <w:rFonts w:ascii="Verdana" w:hAnsi="Verdana"/>
        </w:rPr>
        <w:t>material. El pago de la indemnización p</w:t>
      </w:r>
      <w:r w:rsidR="004F23CE">
        <w:rPr>
          <w:rFonts w:ascii="Verdana" w:hAnsi="Verdana"/>
        </w:rPr>
        <w:t xml:space="preserve">or concepto del daño inmaterial, así como </w:t>
      </w:r>
      <w:r w:rsidR="00F127C8" w:rsidRPr="005238A7">
        <w:rPr>
          <w:rFonts w:ascii="Verdana" w:hAnsi="Verdana"/>
        </w:rPr>
        <w:t>el primer y s</w:t>
      </w:r>
      <w:r w:rsidR="00F127C8" w:rsidRPr="00315F7A">
        <w:rPr>
          <w:rFonts w:ascii="Verdana" w:hAnsi="Verdana"/>
        </w:rPr>
        <w:t>egundo tractos del daño material</w:t>
      </w:r>
      <w:r w:rsidR="00F127C8" w:rsidRPr="00315F7A">
        <w:rPr>
          <w:rStyle w:val="Refdenotaalpie"/>
          <w:rFonts w:ascii="Verdana" w:hAnsi="Verdana"/>
        </w:rPr>
        <w:footnoteReference w:id="37"/>
      </w:r>
      <w:r w:rsidR="009F7628" w:rsidRPr="00315F7A">
        <w:rPr>
          <w:rFonts w:ascii="Verdana" w:hAnsi="Verdana"/>
        </w:rPr>
        <w:t xml:space="preserve"> </w:t>
      </w:r>
      <w:r w:rsidR="004E3CB4" w:rsidRPr="00315F7A">
        <w:rPr>
          <w:rFonts w:ascii="Verdana" w:hAnsi="Verdana"/>
        </w:rPr>
        <w:t>fueron realizados</w:t>
      </w:r>
      <w:r w:rsidR="004F23CE" w:rsidRPr="00315F7A">
        <w:rPr>
          <w:rFonts w:ascii="Verdana" w:hAnsi="Verdana"/>
        </w:rPr>
        <w:t xml:space="preserve"> por el Estado</w:t>
      </w:r>
      <w:r w:rsidR="004E3CB4" w:rsidRPr="00315F7A">
        <w:rPr>
          <w:rFonts w:ascii="Verdana" w:hAnsi="Verdana"/>
        </w:rPr>
        <w:t xml:space="preserve"> dentro del plazo otorgado en la Sentencia </w:t>
      </w:r>
      <w:r w:rsidR="0046223E" w:rsidRPr="00315F7A">
        <w:rPr>
          <w:rFonts w:ascii="Verdana" w:hAnsi="Verdana"/>
        </w:rPr>
        <w:t>(</w:t>
      </w:r>
      <w:r w:rsidR="0046223E" w:rsidRPr="00315F7A">
        <w:rPr>
          <w:rFonts w:ascii="Verdana" w:hAnsi="Verdana"/>
          <w:i/>
        </w:rPr>
        <w:t>supra</w:t>
      </w:r>
      <w:r w:rsidR="0046223E" w:rsidRPr="00315F7A">
        <w:rPr>
          <w:rFonts w:ascii="Verdana" w:hAnsi="Verdana"/>
        </w:rPr>
        <w:t xml:space="preserve"> Considerandos </w:t>
      </w:r>
      <w:r w:rsidR="002E319D">
        <w:rPr>
          <w:rFonts w:ascii="Verdana" w:hAnsi="Verdana"/>
        </w:rPr>
        <w:t>12</w:t>
      </w:r>
      <w:r w:rsidR="001166A7">
        <w:rPr>
          <w:rFonts w:ascii="Verdana" w:hAnsi="Verdana"/>
        </w:rPr>
        <w:t>.a y 12.b</w:t>
      </w:r>
      <w:r w:rsidR="0046223E" w:rsidRPr="00315F7A">
        <w:rPr>
          <w:rFonts w:ascii="Verdana" w:hAnsi="Verdana"/>
        </w:rPr>
        <w:t xml:space="preserve">). </w:t>
      </w:r>
      <w:r w:rsidR="00E37A3B" w:rsidRPr="0032051F">
        <w:rPr>
          <w:rFonts w:ascii="Verdana" w:hAnsi="Verdana"/>
        </w:rPr>
        <w:t>Según los comprobantes aportados por el Estado y lo alegado por los representantes de las víctimas, e</w:t>
      </w:r>
      <w:r w:rsidR="004E3CB4" w:rsidRPr="0032051F">
        <w:rPr>
          <w:rFonts w:ascii="Verdana" w:hAnsi="Verdana"/>
        </w:rPr>
        <w:t xml:space="preserve">l pago del </w:t>
      </w:r>
      <w:r w:rsidR="0046223E" w:rsidRPr="0032051F">
        <w:rPr>
          <w:rFonts w:ascii="Verdana" w:hAnsi="Verdana"/>
        </w:rPr>
        <w:t>tercer tracto de la indemnización por</w:t>
      </w:r>
      <w:r w:rsidR="00C573E2" w:rsidRPr="0032051F">
        <w:rPr>
          <w:rFonts w:ascii="Verdana" w:hAnsi="Verdana"/>
        </w:rPr>
        <w:t xml:space="preserve"> concepto de</w:t>
      </w:r>
      <w:r w:rsidR="0046223E" w:rsidRPr="0032051F">
        <w:rPr>
          <w:rFonts w:ascii="Verdana" w:hAnsi="Verdana"/>
        </w:rPr>
        <w:t xml:space="preserve"> daño material</w:t>
      </w:r>
      <w:r w:rsidR="004E3CB4" w:rsidRPr="0032051F">
        <w:rPr>
          <w:rFonts w:ascii="Verdana" w:hAnsi="Verdana"/>
        </w:rPr>
        <w:t xml:space="preserve"> fue realizado</w:t>
      </w:r>
      <w:r w:rsidR="00C573E2" w:rsidRPr="0032051F">
        <w:rPr>
          <w:rFonts w:ascii="Verdana" w:hAnsi="Verdana"/>
        </w:rPr>
        <w:t xml:space="preserve"> </w:t>
      </w:r>
      <w:r w:rsidR="00A325C1" w:rsidRPr="0032051F">
        <w:rPr>
          <w:rFonts w:ascii="Verdana" w:hAnsi="Verdana"/>
        </w:rPr>
        <w:t>a principios de agosto de 2016</w:t>
      </w:r>
      <w:r w:rsidR="00A325C1" w:rsidRPr="0032051F">
        <w:rPr>
          <w:rStyle w:val="Refdenotaalpie"/>
          <w:rFonts w:ascii="Verdana" w:hAnsi="Verdana"/>
        </w:rPr>
        <w:footnoteReference w:id="38"/>
      </w:r>
      <w:r w:rsidR="00BD64C2" w:rsidRPr="0032051F">
        <w:rPr>
          <w:rFonts w:ascii="Verdana" w:hAnsi="Verdana"/>
        </w:rPr>
        <w:t>. E</w:t>
      </w:r>
      <w:r w:rsidR="00A325C1" w:rsidRPr="0032051F">
        <w:rPr>
          <w:rFonts w:ascii="Verdana" w:hAnsi="Verdana"/>
        </w:rPr>
        <w:t xml:space="preserve">s decir, </w:t>
      </w:r>
      <w:r w:rsidR="00BD64C2" w:rsidRPr="0032051F">
        <w:rPr>
          <w:rFonts w:ascii="Verdana" w:hAnsi="Verdana"/>
        </w:rPr>
        <w:t xml:space="preserve">dicho pago se realizó </w:t>
      </w:r>
      <w:r w:rsidR="00C573E2" w:rsidRPr="0032051F">
        <w:rPr>
          <w:rFonts w:ascii="Verdana" w:hAnsi="Verdana"/>
        </w:rPr>
        <w:t>con</w:t>
      </w:r>
      <w:r w:rsidR="00C573E2" w:rsidRPr="00315F7A">
        <w:rPr>
          <w:rFonts w:ascii="Verdana" w:hAnsi="Verdana"/>
        </w:rPr>
        <w:t xml:space="preserve"> aproximadamente</w:t>
      </w:r>
      <w:r w:rsidR="004E3CB4" w:rsidRPr="00315F7A">
        <w:rPr>
          <w:rFonts w:ascii="Verdana" w:hAnsi="Verdana"/>
        </w:rPr>
        <w:t xml:space="preserve"> cuatro meses </w:t>
      </w:r>
      <w:r w:rsidR="00C573E2" w:rsidRPr="00315F7A">
        <w:rPr>
          <w:rFonts w:ascii="Verdana" w:hAnsi="Verdana"/>
        </w:rPr>
        <w:t xml:space="preserve">de atraso </w:t>
      </w:r>
      <w:r w:rsidR="00AE4394" w:rsidRPr="00315F7A">
        <w:rPr>
          <w:rFonts w:ascii="Verdana" w:hAnsi="Verdana"/>
        </w:rPr>
        <w:t>(</w:t>
      </w:r>
      <w:r w:rsidR="00AE4394" w:rsidRPr="00315F7A">
        <w:rPr>
          <w:rFonts w:ascii="Verdana" w:hAnsi="Verdana"/>
          <w:i/>
        </w:rPr>
        <w:t>supra</w:t>
      </w:r>
      <w:r w:rsidR="00AE4394" w:rsidRPr="00315F7A">
        <w:rPr>
          <w:rFonts w:ascii="Verdana" w:hAnsi="Verdana"/>
        </w:rPr>
        <w:t xml:space="preserve"> Considerando </w:t>
      </w:r>
      <w:r w:rsidR="001C3C82">
        <w:rPr>
          <w:rFonts w:ascii="Verdana" w:hAnsi="Verdana"/>
        </w:rPr>
        <w:t>12.a</w:t>
      </w:r>
      <w:r w:rsidR="00AE4394" w:rsidRPr="00315F7A">
        <w:rPr>
          <w:rFonts w:ascii="Verdana" w:hAnsi="Verdana"/>
        </w:rPr>
        <w:t>)</w:t>
      </w:r>
      <w:r w:rsidR="004E3CB4" w:rsidRPr="00315F7A">
        <w:rPr>
          <w:rFonts w:ascii="Verdana" w:hAnsi="Verdana"/>
        </w:rPr>
        <w:t>,</w:t>
      </w:r>
      <w:r w:rsidR="00AE4394" w:rsidRPr="00315F7A">
        <w:rPr>
          <w:rFonts w:ascii="Verdana" w:hAnsi="Verdana"/>
        </w:rPr>
        <w:t xml:space="preserve"> </w:t>
      </w:r>
      <w:r w:rsidR="004E3CB4" w:rsidRPr="00315F7A">
        <w:rPr>
          <w:rFonts w:ascii="Verdana" w:hAnsi="Verdana"/>
        </w:rPr>
        <w:t xml:space="preserve">por lo cual el </w:t>
      </w:r>
      <w:r w:rsidR="004F23CE" w:rsidRPr="00315F7A">
        <w:rPr>
          <w:rFonts w:ascii="Verdana" w:hAnsi="Verdana"/>
        </w:rPr>
        <w:t xml:space="preserve">Ecuador </w:t>
      </w:r>
      <w:r w:rsidR="004E3CB4" w:rsidRPr="00315F7A">
        <w:rPr>
          <w:rFonts w:ascii="Verdana" w:hAnsi="Verdana"/>
        </w:rPr>
        <w:t xml:space="preserve">incurrió en mora. </w:t>
      </w:r>
    </w:p>
    <w:p w:rsidR="0004568D" w:rsidRDefault="00D82674" w:rsidP="00577323">
      <w:pPr>
        <w:widowControl/>
        <w:numPr>
          <w:ilvl w:val="0"/>
          <w:numId w:val="2"/>
        </w:numPr>
        <w:spacing w:before="120" w:after="120"/>
        <w:ind w:left="0" w:right="9" w:hanging="11"/>
        <w:jc w:val="both"/>
        <w:rPr>
          <w:rFonts w:ascii="Verdana" w:hAnsi="Verdana"/>
        </w:rPr>
      </w:pPr>
      <w:r w:rsidRPr="00315F7A">
        <w:rPr>
          <w:rFonts w:ascii="Verdana" w:hAnsi="Verdana"/>
        </w:rPr>
        <w:t xml:space="preserve">Al respecto, </w:t>
      </w:r>
      <w:r w:rsidR="003009E3" w:rsidRPr="00315F7A">
        <w:rPr>
          <w:rFonts w:ascii="Verdana" w:hAnsi="Verdana"/>
        </w:rPr>
        <w:t>tanto los</w:t>
      </w:r>
      <w:r w:rsidRPr="00315F7A">
        <w:rPr>
          <w:rFonts w:ascii="Verdana" w:hAnsi="Verdana"/>
        </w:rPr>
        <w:t xml:space="preserve"> </w:t>
      </w:r>
      <w:r w:rsidRPr="00315F7A">
        <w:rPr>
          <w:rFonts w:ascii="Verdana" w:hAnsi="Verdana"/>
          <w:i/>
        </w:rPr>
        <w:t>representantes de las víctimas</w:t>
      </w:r>
      <w:r w:rsidR="003009E3" w:rsidRPr="00315F7A">
        <w:rPr>
          <w:rStyle w:val="Refdenotaalpie"/>
          <w:rFonts w:ascii="Verdana" w:hAnsi="Verdana"/>
          <w:i/>
        </w:rPr>
        <w:footnoteReference w:id="39"/>
      </w:r>
      <w:r w:rsidRPr="00315F7A">
        <w:rPr>
          <w:rFonts w:ascii="Verdana" w:hAnsi="Verdana"/>
        </w:rPr>
        <w:t xml:space="preserve"> </w:t>
      </w:r>
      <w:r w:rsidR="003009E3" w:rsidRPr="00315F7A">
        <w:rPr>
          <w:rFonts w:ascii="Verdana" w:hAnsi="Verdana"/>
        </w:rPr>
        <w:t xml:space="preserve">como la </w:t>
      </w:r>
      <w:r w:rsidR="003009E3" w:rsidRPr="00315F7A">
        <w:rPr>
          <w:rFonts w:ascii="Verdana" w:hAnsi="Verdana"/>
          <w:i/>
        </w:rPr>
        <w:t>Comisión Interamericana</w:t>
      </w:r>
      <w:r w:rsidR="003009E3" w:rsidRPr="00315F7A">
        <w:rPr>
          <w:rStyle w:val="Refdenotaalpie"/>
          <w:rFonts w:ascii="Verdana" w:hAnsi="Verdana"/>
          <w:i/>
        </w:rPr>
        <w:footnoteReference w:id="40"/>
      </w:r>
      <w:r w:rsidR="003009E3" w:rsidRPr="00315F7A">
        <w:rPr>
          <w:rFonts w:ascii="Verdana" w:hAnsi="Verdana"/>
        </w:rPr>
        <w:t xml:space="preserve"> coincidieron en que </w:t>
      </w:r>
      <w:r w:rsidR="00E37A3B">
        <w:rPr>
          <w:rFonts w:ascii="Verdana" w:hAnsi="Verdana"/>
        </w:rPr>
        <w:t>el</w:t>
      </w:r>
      <w:r w:rsidR="003009E3" w:rsidRPr="00315F7A">
        <w:rPr>
          <w:rFonts w:ascii="Verdana" w:hAnsi="Verdana"/>
        </w:rPr>
        <w:t xml:space="preserve"> Estado </w:t>
      </w:r>
      <w:r w:rsidR="00E37A3B">
        <w:rPr>
          <w:rFonts w:ascii="Verdana" w:hAnsi="Verdana"/>
        </w:rPr>
        <w:t xml:space="preserve">debe </w:t>
      </w:r>
      <w:r w:rsidRPr="00315F7A">
        <w:rPr>
          <w:rFonts w:ascii="Verdana" w:hAnsi="Verdana"/>
        </w:rPr>
        <w:t>el pag</w:t>
      </w:r>
      <w:r w:rsidR="00E37A3B">
        <w:rPr>
          <w:rFonts w:ascii="Verdana" w:hAnsi="Verdana"/>
        </w:rPr>
        <w:t>ar</w:t>
      </w:r>
      <w:r w:rsidRPr="00315F7A">
        <w:rPr>
          <w:rFonts w:ascii="Verdana" w:hAnsi="Verdana"/>
        </w:rPr>
        <w:t xml:space="preserve"> los intereses moratorios correspondientes. </w:t>
      </w:r>
      <w:r w:rsidR="00DD7D86" w:rsidRPr="00EC6C36">
        <w:rPr>
          <w:rFonts w:ascii="Verdana" w:hAnsi="Verdana"/>
        </w:rPr>
        <w:t xml:space="preserve">En sus observaciones a lo alegado por los representantes y la Comisión, el </w:t>
      </w:r>
      <w:r w:rsidR="00DD7D86" w:rsidRPr="00EC6C36">
        <w:rPr>
          <w:rFonts w:ascii="Verdana" w:hAnsi="Verdana"/>
          <w:i/>
        </w:rPr>
        <w:t xml:space="preserve">Estado </w:t>
      </w:r>
      <w:r w:rsidR="000716FB" w:rsidRPr="00EC6C36">
        <w:rPr>
          <w:rFonts w:ascii="Verdana" w:hAnsi="Verdana"/>
        </w:rPr>
        <w:t xml:space="preserve">solicitó que se declare el cumplimiento del </w:t>
      </w:r>
      <w:r w:rsidR="00E37A3B">
        <w:rPr>
          <w:rFonts w:ascii="Verdana" w:hAnsi="Verdana"/>
        </w:rPr>
        <w:t xml:space="preserve">pago de la indemnización del </w:t>
      </w:r>
      <w:r w:rsidR="000716FB" w:rsidRPr="00EC6C36">
        <w:rPr>
          <w:rFonts w:ascii="Verdana" w:hAnsi="Verdana"/>
        </w:rPr>
        <w:t>daño material ya que</w:t>
      </w:r>
      <w:r w:rsidR="00DD7D86" w:rsidRPr="00EC6C36">
        <w:rPr>
          <w:rFonts w:ascii="Verdana" w:hAnsi="Verdana"/>
        </w:rPr>
        <w:t xml:space="preserve">, tomando en consideración su “buena fe […] en el cumplimiento de los fallos en diferentes casos”, sus “dificultades económicas y financieras […] en </w:t>
      </w:r>
      <w:r w:rsidR="00AA1307" w:rsidRPr="00EC6C36">
        <w:rPr>
          <w:rFonts w:ascii="Verdana" w:hAnsi="Verdana"/>
        </w:rPr>
        <w:t>las que se encontró el Ecuador desde el año 2014</w:t>
      </w:r>
      <w:r w:rsidR="00DD7D86" w:rsidRPr="00EC6C36">
        <w:rPr>
          <w:rFonts w:ascii="Verdana" w:hAnsi="Verdana"/>
        </w:rPr>
        <w:t xml:space="preserve">” y “los efectos negativos en [su] economía provocados por el </w:t>
      </w:r>
      <w:r w:rsidR="00AA1307" w:rsidRPr="00EC6C36">
        <w:rPr>
          <w:rFonts w:ascii="Verdana" w:hAnsi="Verdana"/>
        </w:rPr>
        <w:t xml:space="preserve">[evento de fuerza mayor inesperado del] </w:t>
      </w:r>
      <w:r w:rsidR="00DD7D86" w:rsidRPr="00EC6C36">
        <w:rPr>
          <w:rFonts w:ascii="Verdana" w:hAnsi="Verdana"/>
        </w:rPr>
        <w:t>terremoto [</w:t>
      </w:r>
      <w:r w:rsidR="00AA1307" w:rsidRPr="00EC6C36">
        <w:rPr>
          <w:rFonts w:ascii="Verdana" w:hAnsi="Verdana"/>
        </w:rPr>
        <w:t>ocurrido el</w:t>
      </w:r>
      <w:r w:rsidR="00DD7D86" w:rsidRPr="00EC6C36">
        <w:rPr>
          <w:rFonts w:ascii="Verdana" w:hAnsi="Verdana"/>
        </w:rPr>
        <w:t xml:space="preserve"> 16 de abril de 2016</w:t>
      </w:r>
      <w:r w:rsidR="00AA1307" w:rsidRPr="00EC6C36">
        <w:rPr>
          <w:rFonts w:ascii="Verdana" w:hAnsi="Verdana"/>
        </w:rPr>
        <w:t>]</w:t>
      </w:r>
      <w:r w:rsidR="00DD7D86" w:rsidRPr="00EC6C36">
        <w:rPr>
          <w:rFonts w:ascii="Verdana" w:hAnsi="Verdana"/>
        </w:rPr>
        <w:t xml:space="preserve">”, </w:t>
      </w:r>
      <w:r w:rsidR="000716FB" w:rsidRPr="00EC6C36">
        <w:rPr>
          <w:rFonts w:ascii="Verdana" w:hAnsi="Verdana"/>
        </w:rPr>
        <w:t xml:space="preserve">“considera improcedente el pago de interés por mora, relacionados con el último tracto de </w:t>
      </w:r>
      <w:r w:rsidR="00A325C1">
        <w:rPr>
          <w:rFonts w:ascii="Verdana" w:hAnsi="Verdana"/>
        </w:rPr>
        <w:t>[esa]</w:t>
      </w:r>
      <w:r w:rsidR="00A325C1" w:rsidRPr="00EC6C36">
        <w:rPr>
          <w:rFonts w:ascii="Verdana" w:hAnsi="Verdana"/>
        </w:rPr>
        <w:t xml:space="preserve"> </w:t>
      </w:r>
      <w:r w:rsidR="000716FB" w:rsidRPr="00EC6C36">
        <w:rPr>
          <w:rFonts w:ascii="Verdana" w:hAnsi="Verdana"/>
        </w:rPr>
        <w:t xml:space="preserve">indemnización”. </w:t>
      </w:r>
    </w:p>
    <w:p w:rsidR="00577323" w:rsidRPr="00315F7A" w:rsidRDefault="00AA1307" w:rsidP="00577323">
      <w:pPr>
        <w:widowControl/>
        <w:numPr>
          <w:ilvl w:val="0"/>
          <w:numId w:val="2"/>
        </w:numPr>
        <w:spacing w:before="120" w:after="120"/>
        <w:ind w:left="0" w:right="9" w:hanging="11"/>
        <w:jc w:val="both"/>
        <w:rPr>
          <w:rFonts w:ascii="Verdana" w:hAnsi="Verdana"/>
        </w:rPr>
      </w:pPr>
      <w:r w:rsidRPr="00EC6C36">
        <w:rPr>
          <w:rFonts w:ascii="Verdana" w:hAnsi="Verdana"/>
        </w:rPr>
        <w:t>Este Tribunal valora muy positivamente los esfuerzos realizados por Ecuador para el cumplimiento de sus obligaciones. Sin embargo, s</w:t>
      </w:r>
      <w:r w:rsidR="004E3CB4" w:rsidRPr="00EC6C36">
        <w:rPr>
          <w:rFonts w:ascii="Verdana" w:hAnsi="Verdana"/>
        </w:rPr>
        <w:t>egún lo dispuesto en el párrafo 281 de la Sentencia</w:t>
      </w:r>
      <w:r w:rsidR="00C573E2" w:rsidRPr="00EC6C36">
        <w:rPr>
          <w:rStyle w:val="Refdenotaalpie"/>
          <w:rFonts w:ascii="Verdana" w:hAnsi="Verdana"/>
        </w:rPr>
        <w:footnoteReference w:id="41"/>
      </w:r>
      <w:r w:rsidRPr="00EC6C36">
        <w:rPr>
          <w:rFonts w:ascii="Verdana" w:hAnsi="Verdana"/>
        </w:rPr>
        <w:t xml:space="preserve">, si el Estado incurre en mora en el cumplimiento de los </w:t>
      </w:r>
      <w:r w:rsidRPr="00EC6C36">
        <w:rPr>
          <w:rFonts w:ascii="Verdana" w:hAnsi="Verdana"/>
        </w:rPr>
        <w:lastRenderedPageBreak/>
        <w:t xml:space="preserve">pagos </w:t>
      </w:r>
      <w:r w:rsidR="00314B3D" w:rsidRPr="00EC6C36">
        <w:rPr>
          <w:rFonts w:ascii="Verdana" w:hAnsi="Verdana"/>
        </w:rPr>
        <w:t xml:space="preserve">ordenados en la Sentencia, </w:t>
      </w:r>
      <w:r w:rsidRPr="00EC6C36">
        <w:rPr>
          <w:rFonts w:ascii="Verdana" w:hAnsi="Verdana"/>
        </w:rPr>
        <w:t>debe pagar el interés moratorio correspondiente. En consecuencia, en el presente caso</w:t>
      </w:r>
      <w:r w:rsidR="004E3CB4" w:rsidRPr="00EC6C36">
        <w:rPr>
          <w:rFonts w:ascii="Verdana" w:hAnsi="Verdana"/>
        </w:rPr>
        <w:t xml:space="preserve"> </w:t>
      </w:r>
      <w:r w:rsidR="004F23CE" w:rsidRPr="00EC6C36">
        <w:rPr>
          <w:rFonts w:ascii="Verdana" w:hAnsi="Verdana"/>
        </w:rPr>
        <w:t xml:space="preserve">el Estado </w:t>
      </w:r>
      <w:r w:rsidR="00AE4394" w:rsidRPr="00EC6C36">
        <w:rPr>
          <w:rFonts w:ascii="Verdana" w:hAnsi="Verdana"/>
        </w:rPr>
        <w:t>debe pagar a las</w:t>
      </w:r>
      <w:r w:rsidR="00C573E2" w:rsidRPr="00EC6C36">
        <w:rPr>
          <w:rFonts w:ascii="Verdana" w:hAnsi="Verdana"/>
        </w:rPr>
        <w:t xml:space="preserve"> 27</w:t>
      </w:r>
      <w:r w:rsidR="00AE4394" w:rsidRPr="00EC6C36">
        <w:rPr>
          <w:rFonts w:ascii="Verdana" w:hAnsi="Verdana"/>
        </w:rPr>
        <w:t xml:space="preserve"> víctimas o sus derechohabientes los </w:t>
      </w:r>
      <w:r w:rsidR="00AE4394" w:rsidRPr="00315F7A">
        <w:rPr>
          <w:rFonts w:ascii="Verdana" w:hAnsi="Verdana"/>
        </w:rPr>
        <w:t xml:space="preserve">intereses moratorios que les correspondan </w:t>
      </w:r>
      <w:r w:rsidR="004F23CE" w:rsidRPr="00315F7A">
        <w:rPr>
          <w:rFonts w:ascii="Verdana" w:hAnsi="Verdana"/>
        </w:rPr>
        <w:t xml:space="preserve">por el retraso generado </w:t>
      </w:r>
      <w:r w:rsidR="00C573E2" w:rsidRPr="00315F7A">
        <w:rPr>
          <w:rFonts w:ascii="Verdana" w:hAnsi="Verdana"/>
        </w:rPr>
        <w:t>entre el 30 de marzo de 2016 y las fechas de pago efectivo en agosto de 2016</w:t>
      </w:r>
      <w:r w:rsidR="00577323" w:rsidRPr="00315F7A">
        <w:rPr>
          <w:rFonts w:ascii="Verdana" w:hAnsi="Verdana"/>
        </w:rPr>
        <w:t>.</w:t>
      </w:r>
      <w:r w:rsidR="00BA5FAA" w:rsidRPr="00315F7A">
        <w:rPr>
          <w:rFonts w:ascii="Verdana" w:hAnsi="Verdana"/>
        </w:rPr>
        <w:t xml:space="preserve"> </w:t>
      </w:r>
      <w:r w:rsidR="00577323" w:rsidRPr="00315F7A">
        <w:rPr>
          <w:rFonts w:ascii="Verdana" w:hAnsi="Verdana"/>
        </w:rPr>
        <w:t>S</w:t>
      </w:r>
      <w:r w:rsidR="00BA5FAA" w:rsidRPr="00315F7A">
        <w:rPr>
          <w:rFonts w:ascii="Verdana" w:hAnsi="Verdana"/>
        </w:rPr>
        <w:t xml:space="preserve">egún lo sostenido por los </w:t>
      </w:r>
      <w:r w:rsidR="00BA5FAA" w:rsidRPr="000C7CDF">
        <w:rPr>
          <w:rFonts w:ascii="Verdana" w:hAnsi="Verdana"/>
          <w:i/>
        </w:rPr>
        <w:t>representantes de las víctimas</w:t>
      </w:r>
      <w:r w:rsidR="00BA5FAA" w:rsidRPr="00315F7A">
        <w:rPr>
          <w:rFonts w:ascii="Verdana" w:hAnsi="Verdana"/>
        </w:rPr>
        <w:t xml:space="preserve"> el </w:t>
      </w:r>
      <w:r w:rsidR="009C29AA" w:rsidRPr="00315F7A">
        <w:rPr>
          <w:rFonts w:ascii="Verdana" w:hAnsi="Verdana"/>
        </w:rPr>
        <w:t>2 de agosto de 2016</w:t>
      </w:r>
      <w:r w:rsidR="003009E3" w:rsidRPr="00315F7A">
        <w:rPr>
          <w:rFonts w:ascii="Verdana" w:hAnsi="Verdana"/>
        </w:rPr>
        <w:t xml:space="preserve"> dicho pago se efectuó</w:t>
      </w:r>
      <w:r w:rsidR="00C573E2" w:rsidRPr="00315F7A">
        <w:rPr>
          <w:rFonts w:ascii="Verdana" w:hAnsi="Verdana"/>
        </w:rPr>
        <w:t>.</w:t>
      </w:r>
      <w:r w:rsidR="009C29AA" w:rsidRPr="00315F7A">
        <w:rPr>
          <w:rFonts w:ascii="Verdana" w:hAnsi="Verdana"/>
        </w:rPr>
        <w:t xml:space="preserve"> </w:t>
      </w:r>
    </w:p>
    <w:p w:rsidR="00577323" w:rsidRPr="00315F7A" w:rsidRDefault="00E37A3B" w:rsidP="00577323">
      <w:pPr>
        <w:widowControl/>
        <w:numPr>
          <w:ilvl w:val="0"/>
          <w:numId w:val="2"/>
        </w:numPr>
        <w:spacing w:before="120" w:after="120"/>
        <w:ind w:left="0" w:right="9" w:hanging="11"/>
        <w:jc w:val="both"/>
        <w:rPr>
          <w:rFonts w:ascii="Verdana" w:hAnsi="Verdana"/>
        </w:rPr>
      </w:pPr>
      <w:r>
        <w:rPr>
          <w:rFonts w:ascii="Verdana" w:hAnsi="Verdana"/>
        </w:rPr>
        <w:t>Por otra parte</w:t>
      </w:r>
      <w:r w:rsidR="007D4876" w:rsidRPr="00315F7A">
        <w:rPr>
          <w:rFonts w:ascii="Verdana" w:hAnsi="Verdana"/>
        </w:rPr>
        <w:t xml:space="preserve">, durante la etapa de supervisión de cumplimiento de sentencia, los </w:t>
      </w:r>
      <w:r w:rsidR="007D4876" w:rsidRPr="00315F7A">
        <w:rPr>
          <w:rFonts w:ascii="Verdana" w:hAnsi="Verdana"/>
          <w:i/>
        </w:rPr>
        <w:t>representantes</w:t>
      </w:r>
      <w:r w:rsidR="00D82674" w:rsidRPr="00315F7A">
        <w:rPr>
          <w:rFonts w:ascii="Verdana" w:hAnsi="Verdana"/>
          <w:i/>
        </w:rPr>
        <w:t xml:space="preserve"> de las víctimas</w:t>
      </w:r>
      <w:r w:rsidR="007D4876" w:rsidRPr="00315F7A">
        <w:rPr>
          <w:rFonts w:ascii="Verdana" w:hAnsi="Verdana"/>
        </w:rPr>
        <w:t xml:space="preserve"> plantearon que, adicionalmente al pago de la indemnización del daño material ordenad</w:t>
      </w:r>
      <w:r w:rsidR="00994CA5">
        <w:rPr>
          <w:rFonts w:ascii="Verdana" w:hAnsi="Verdana"/>
        </w:rPr>
        <w:t>o</w:t>
      </w:r>
      <w:r w:rsidR="007D4876" w:rsidRPr="00315F7A">
        <w:rPr>
          <w:rFonts w:ascii="Verdana" w:hAnsi="Verdana"/>
        </w:rPr>
        <w:t xml:space="preserve"> en los párrafos 248 a 252 de la Sentencia (</w:t>
      </w:r>
      <w:r w:rsidR="007D4876" w:rsidRPr="00315F7A">
        <w:rPr>
          <w:rFonts w:ascii="Verdana" w:hAnsi="Verdana"/>
          <w:i/>
        </w:rPr>
        <w:t>supra</w:t>
      </w:r>
      <w:r w:rsidR="007D4876" w:rsidRPr="00315F7A">
        <w:rPr>
          <w:rFonts w:ascii="Verdana" w:hAnsi="Verdana"/>
        </w:rPr>
        <w:t xml:space="preserve"> Considerando </w:t>
      </w:r>
      <w:r w:rsidR="001166A7">
        <w:rPr>
          <w:rFonts w:ascii="Verdana" w:hAnsi="Verdana"/>
        </w:rPr>
        <w:t>12.a</w:t>
      </w:r>
      <w:r w:rsidR="007D4876" w:rsidRPr="00315F7A">
        <w:rPr>
          <w:rFonts w:ascii="Verdana" w:hAnsi="Verdana"/>
        </w:rPr>
        <w:t>), corresponde al Estado pagar al Instituto Ecuatoriano de Seguridad Social (</w:t>
      </w:r>
      <w:r w:rsidR="00994CA5">
        <w:rPr>
          <w:rFonts w:ascii="Verdana" w:hAnsi="Verdana"/>
        </w:rPr>
        <w:t>en adelante también “</w:t>
      </w:r>
      <w:r w:rsidR="007D4876" w:rsidRPr="00315F7A">
        <w:rPr>
          <w:rFonts w:ascii="Verdana" w:hAnsi="Verdana"/>
        </w:rPr>
        <w:t>IESS</w:t>
      </w:r>
      <w:r w:rsidR="00994CA5">
        <w:rPr>
          <w:rFonts w:ascii="Verdana" w:hAnsi="Verdana"/>
        </w:rPr>
        <w:t>”</w:t>
      </w:r>
      <w:r w:rsidR="007D4876" w:rsidRPr="00315F7A">
        <w:rPr>
          <w:rFonts w:ascii="Verdana" w:hAnsi="Verdana"/>
        </w:rPr>
        <w:t>) los aportes patronales relativos a</w:t>
      </w:r>
      <w:r w:rsidR="001C10EB" w:rsidRPr="00315F7A">
        <w:rPr>
          <w:rFonts w:ascii="Verdana" w:hAnsi="Verdana"/>
        </w:rPr>
        <w:t xml:space="preserve"> los </w:t>
      </w:r>
      <w:r w:rsidR="00B34B25" w:rsidRPr="00315F7A">
        <w:rPr>
          <w:rFonts w:ascii="Verdana" w:hAnsi="Verdana"/>
        </w:rPr>
        <w:t>años que estuvieron destituid</w:t>
      </w:r>
      <w:r w:rsidR="00994CA5">
        <w:rPr>
          <w:rFonts w:ascii="Verdana" w:hAnsi="Verdana"/>
        </w:rPr>
        <w:t>o</w:t>
      </w:r>
      <w:r w:rsidR="00B34B25" w:rsidRPr="00315F7A">
        <w:rPr>
          <w:rFonts w:ascii="Verdana" w:hAnsi="Verdana"/>
        </w:rPr>
        <w:t>s los magistrados</w:t>
      </w:r>
      <w:r w:rsidR="001C10EB" w:rsidRPr="00315F7A">
        <w:rPr>
          <w:rFonts w:ascii="Verdana" w:hAnsi="Verdana"/>
        </w:rPr>
        <w:t xml:space="preserve"> y que ello se encuentra pendiente de realizar por el Estado. Al respecto</w:t>
      </w:r>
      <w:r w:rsidR="00994CA5">
        <w:rPr>
          <w:rFonts w:ascii="Verdana" w:hAnsi="Verdana"/>
        </w:rPr>
        <w:t>,</w:t>
      </w:r>
      <w:r w:rsidR="001C10EB" w:rsidRPr="00315F7A">
        <w:rPr>
          <w:rFonts w:ascii="Verdana" w:hAnsi="Verdana"/>
        </w:rPr>
        <w:t xml:space="preserve"> los representantes consideraron que</w:t>
      </w:r>
      <w:r w:rsidR="00D82674" w:rsidRPr="00315F7A">
        <w:rPr>
          <w:rFonts w:ascii="Verdana" w:hAnsi="Verdana"/>
        </w:rPr>
        <w:t>,</w:t>
      </w:r>
      <w:r w:rsidR="00F20D50" w:rsidRPr="00315F7A">
        <w:rPr>
          <w:rFonts w:ascii="Verdana" w:hAnsi="Verdana"/>
        </w:rPr>
        <w:t xml:space="preserve"> debido a que al fijar los montos del daño material la Corte </w:t>
      </w:r>
      <w:r w:rsidR="008C0080" w:rsidRPr="00315F7A">
        <w:rPr>
          <w:rFonts w:ascii="Verdana" w:hAnsi="Verdana"/>
        </w:rPr>
        <w:t xml:space="preserve">“adoptó [la] propuesta del Estado”, según la cual “las víctimas debían recibir solo el valor neto de sus salarios, lo cual no incluía los aportes mensuales, ni anuales […] al </w:t>
      </w:r>
      <w:proofErr w:type="gramStart"/>
      <w:r w:rsidR="008C0080" w:rsidRPr="00315F7A">
        <w:rPr>
          <w:rFonts w:ascii="Verdana" w:hAnsi="Verdana"/>
        </w:rPr>
        <w:t>I[</w:t>
      </w:r>
      <w:proofErr w:type="gramEnd"/>
      <w:r w:rsidR="008C0080" w:rsidRPr="00315F7A">
        <w:rPr>
          <w:rFonts w:ascii="Verdana" w:hAnsi="Verdana"/>
        </w:rPr>
        <w:t>nstituto Ecuatoria</w:t>
      </w:r>
      <w:r w:rsidR="00F20D50" w:rsidRPr="00315F7A">
        <w:rPr>
          <w:rFonts w:ascii="Verdana" w:hAnsi="Verdana"/>
        </w:rPr>
        <w:t>no de Seguridad Social (IESS)]”,</w:t>
      </w:r>
      <w:r w:rsidR="008C0080" w:rsidRPr="00315F7A">
        <w:rPr>
          <w:rFonts w:ascii="Verdana" w:hAnsi="Verdana"/>
        </w:rPr>
        <w:t xml:space="preserve"> </w:t>
      </w:r>
      <w:r w:rsidR="00F20D50" w:rsidRPr="00315F7A">
        <w:rPr>
          <w:rFonts w:ascii="Verdana" w:hAnsi="Verdana"/>
        </w:rPr>
        <w:t>ello</w:t>
      </w:r>
      <w:r w:rsidR="008C0080" w:rsidRPr="00315F7A">
        <w:rPr>
          <w:rFonts w:ascii="Verdana" w:hAnsi="Verdana"/>
        </w:rPr>
        <w:t xml:space="preserve"> </w:t>
      </w:r>
      <w:r w:rsidR="00945D09" w:rsidRPr="00315F7A">
        <w:rPr>
          <w:rFonts w:ascii="Verdana" w:hAnsi="Verdana"/>
        </w:rPr>
        <w:t>“significa que dichos montos descontados deben ser pagados por parte del Estado al IESS”</w:t>
      </w:r>
      <w:r w:rsidR="00BA5638" w:rsidRPr="00315F7A">
        <w:rPr>
          <w:rStyle w:val="Refdenotaalpie"/>
          <w:rFonts w:ascii="Verdana" w:hAnsi="Verdana"/>
        </w:rPr>
        <w:footnoteReference w:id="42"/>
      </w:r>
      <w:r w:rsidR="00F20D50" w:rsidRPr="00315F7A">
        <w:rPr>
          <w:rFonts w:ascii="Verdana" w:hAnsi="Verdana"/>
        </w:rPr>
        <w:t>. Explicaron que estos aportes</w:t>
      </w:r>
      <w:r w:rsidR="00945D09" w:rsidRPr="00315F7A">
        <w:rPr>
          <w:rFonts w:ascii="Verdana" w:hAnsi="Verdana"/>
        </w:rPr>
        <w:t xml:space="preserve"> “sólo pueden venir del empleador”</w:t>
      </w:r>
      <w:r w:rsidR="00F20D50" w:rsidRPr="00315F7A">
        <w:rPr>
          <w:rFonts w:ascii="Verdana" w:hAnsi="Verdana"/>
        </w:rPr>
        <w:t xml:space="preserve">, y que </w:t>
      </w:r>
      <w:r w:rsidR="00F20D50" w:rsidRPr="00315F7A">
        <w:rPr>
          <w:rFonts w:ascii="Verdana" w:hAnsi="Verdana"/>
          <w:sz w:val="16"/>
          <w:szCs w:val="16"/>
        </w:rPr>
        <w:t>“</w:t>
      </w:r>
      <w:r w:rsidR="00F20D50" w:rsidRPr="00315F7A">
        <w:rPr>
          <w:rFonts w:ascii="Verdana" w:hAnsi="Verdana"/>
        </w:rPr>
        <w:t xml:space="preserve">aunque las víctimas </w:t>
      </w:r>
      <w:proofErr w:type="gramStart"/>
      <w:r w:rsidR="00F20D50" w:rsidRPr="00315F7A">
        <w:rPr>
          <w:rFonts w:ascii="Verdana" w:hAnsi="Verdana"/>
        </w:rPr>
        <w:t>quisie</w:t>
      </w:r>
      <w:r w:rsidR="00994CA5">
        <w:rPr>
          <w:rFonts w:ascii="Verdana" w:hAnsi="Verdana"/>
        </w:rPr>
        <w:t>[</w:t>
      </w:r>
      <w:proofErr w:type="gramEnd"/>
      <w:r w:rsidR="00F20D50" w:rsidRPr="00315F7A">
        <w:rPr>
          <w:rFonts w:ascii="Verdana" w:hAnsi="Verdana"/>
        </w:rPr>
        <w:t>ran</w:t>
      </w:r>
      <w:r w:rsidR="00994CA5">
        <w:rPr>
          <w:rFonts w:ascii="Verdana" w:hAnsi="Verdana"/>
        </w:rPr>
        <w:t>]</w:t>
      </w:r>
      <w:r w:rsidR="00F20D50" w:rsidRPr="00315F7A">
        <w:rPr>
          <w:rFonts w:ascii="Verdana" w:hAnsi="Verdana"/>
        </w:rPr>
        <w:t xml:space="preserve"> pagar al IESS lo correspondiente a los meses que el Estado no aportó, no podrían hacerlo” </w:t>
      </w:r>
      <w:r w:rsidR="00D82674" w:rsidRPr="00315F7A">
        <w:rPr>
          <w:rFonts w:ascii="Verdana" w:hAnsi="Verdana"/>
        </w:rPr>
        <w:t>por</w:t>
      </w:r>
      <w:r w:rsidR="00F20D50" w:rsidRPr="00315F7A">
        <w:rPr>
          <w:rFonts w:ascii="Verdana" w:hAnsi="Verdana"/>
        </w:rPr>
        <w:t xml:space="preserve">que “solamente el empleador tiene la facultad legal de pagar el aporte mensual al IESS” que corresponde a “la porción patronal”. También alegaron que la falta de pago de los referidos aportes está </w:t>
      </w:r>
      <w:r w:rsidR="00945D09" w:rsidRPr="00315F7A">
        <w:rPr>
          <w:rFonts w:ascii="Verdana" w:hAnsi="Verdana"/>
        </w:rPr>
        <w:t>afectando “derechos laborales irrenunciables como la seguridad social y el retiro” de las víctimas. Por ello, solicitaron que</w:t>
      </w:r>
      <w:r w:rsidR="00BA5638" w:rsidRPr="00315F7A">
        <w:rPr>
          <w:rFonts w:ascii="Verdana" w:hAnsi="Verdana"/>
        </w:rPr>
        <w:t xml:space="preserve"> </w:t>
      </w:r>
      <w:r w:rsidR="00D82674" w:rsidRPr="00315F7A">
        <w:rPr>
          <w:rFonts w:ascii="Verdana" w:hAnsi="Verdana"/>
        </w:rPr>
        <w:t xml:space="preserve">la Corte ordene al </w:t>
      </w:r>
      <w:r w:rsidR="00BA5638" w:rsidRPr="00315F7A">
        <w:rPr>
          <w:rFonts w:ascii="Verdana" w:hAnsi="Verdana"/>
        </w:rPr>
        <w:t>“</w:t>
      </w:r>
      <w:r w:rsidR="00D82674" w:rsidRPr="00315F7A">
        <w:rPr>
          <w:rFonts w:ascii="Verdana" w:hAnsi="Verdana"/>
        </w:rPr>
        <w:t>Estado cancel[ar]</w:t>
      </w:r>
      <w:r w:rsidR="00BA5638" w:rsidRPr="00315F7A">
        <w:rPr>
          <w:rFonts w:ascii="Verdana" w:hAnsi="Verdana"/>
        </w:rPr>
        <w:t xml:space="preserve"> al I</w:t>
      </w:r>
      <w:r w:rsidR="00F20D50" w:rsidRPr="00315F7A">
        <w:rPr>
          <w:rFonts w:ascii="Verdana" w:hAnsi="Verdana"/>
        </w:rPr>
        <w:t>[nsituto Ecuatoriano de Seguridad Social]</w:t>
      </w:r>
      <w:r w:rsidR="00BA5638" w:rsidRPr="00315F7A">
        <w:rPr>
          <w:rFonts w:ascii="Verdana" w:hAnsi="Verdana"/>
        </w:rPr>
        <w:t xml:space="preserve"> los aportes correspondientes a los meses que [la] Corte ordenó que sean pagados a las víctimas del caso”, y aclararon que “la discusión que h[an] planteado no va en el orden de pretender modificar [los] rubros [ordenados por la Corte</w:t>
      </w:r>
      <w:r w:rsidR="00994CA5">
        <w:rPr>
          <w:rFonts w:ascii="Verdana" w:hAnsi="Verdana"/>
        </w:rPr>
        <w:t>]</w:t>
      </w:r>
      <w:r w:rsidR="00BA5638" w:rsidRPr="00315F7A">
        <w:rPr>
          <w:rFonts w:ascii="Verdana" w:hAnsi="Verdana"/>
        </w:rPr>
        <w:t>, sin</w:t>
      </w:r>
      <w:r w:rsidR="00CE5657" w:rsidRPr="00315F7A">
        <w:rPr>
          <w:rFonts w:ascii="Verdana" w:hAnsi="Verdana"/>
        </w:rPr>
        <w:t>o</w:t>
      </w:r>
      <w:r w:rsidR="00BA5638" w:rsidRPr="00315F7A">
        <w:rPr>
          <w:rFonts w:ascii="Verdana" w:hAnsi="Verdana"/>
        </w:rPr>
        <w:t xml:space="preserve"> que las víctimas reciban los beneficios sociales a que todo trabajador tiene derecho y que, en su caso, fueron afectados por su destitución”. </w:t>
      </w:r>
    </w:p>
    <w:p w:rsidR="00577323" w:rsidRPr="00315F7A" w:rsidRDefault="00B34B25" w:rsidP="00577323">
      <w:pPr>
        <w:widowControl/>
        <w:numPr>
          <w:ilvl w:val="0"/>
          <w:numId w:val="2"/>
        </w:numPr>
        <w:spacing w:before="120" w:after="120"/>
        <w:ind w:left="0" w:right="9" w:hanging="11"/>
        <w:jc w:val="both"/>
        <w:rPr>
          <w:rFonts w:ascii="Verdana" w:hAnsi="Verdana"/>
        </w:rPr>
      </w:pPr>
      <w:r w:rsidRPr="00315F7A">
        <w:rPr>
          <w:rFonts w:ascii="Verdana" w:hAnsi="Verdana"/>
        </w:rPr>
        <w:t xml:space="preserve">Sobre esta solicitud de los representantes la </w:t>
      </w:r>
      <w:r w:rsidRPr="00315F7A">
        <w:rPr>
          <w:rFonts w:ascii="Verdana" w:hAnsi="Verdana"/>
          <w:i/>
        </w:rPr>
        <w:t>Comisión Interamericana</w:t>
      </w:r>
      <w:r w:rsidRPr="00315F7A">
        <w:rPr>
          <w:rFonts w:ascii="Verdana" w:hAnsi="Verdana"/>
        </w:rPr>
        <w:t xml:space="preserve"> consideró que “el cumplimiento de esta medida de reparación debe asegurar los beneficios sociales que hubiesen tenido las víctimas de no haberse realizado sus destituciones”. En ese sentido, observó que “correspondería al Estado adoptar las medidas que sean pertinentes para que se cancelen los montos adecuados al Instituto Ecuatoriano de Seguridad Social, ya que de haber permanecido en sus cargos los magistrados, tales montos habrían sido cubiertos dando lugar a los beneficios sociales correspondientes a las víctimas”. </w:t>
      </w:r>
    </w:p>
    <w:p w:rsidR="00577323" w:rsidRPr="00877B3A" w:rsidRDefault="00B46399" w:rsidP="00577323">
      <w:pPr>
        <w:widowControl/>
        <w:numPr>
          <w:ilvl w:val="0"/>
          <w:numId w:val="2"/>
        </w:numPr>
        <w:spacing w:before="120" w:after="120"/>
        <w:ind w:left="0" w:right="9" w:hanging="11"/>
        <w:jc w:val="both"/>
        <w:rPr>
          <w:rFonts w:ascii="Verdana" w:hAnsi="Verdana"/>
        </w:rPr>
      </w:pPr>
      <w:r w:rsidRPr="00315F7A">
        <w:rPr>
          <w:rFonts w:ascii="Verdana" w:hAnsi="Verdana"/>
        </w:rPr>
        <w:t>Con respecto al referido planteamiento</w:t>
      </w:r>
      <w:r w:rsidR="008505F3" w:rsidRPr="00315F7A">
        <w:rPr>
          <w:rFonts w:ascii="Verdana" w:hAnsi="Verdana"/>
        </w:rPr>
        <w:t xml:space="preserve">, el </w:t>
      </w:r>
      <w:r w:rsidR="008505F3" w:rsidRPr="00315F7A">
        <w:rPr>
          <w:rFonts w:ascii="Verdana" w:hAnsi="Verdana"/>
          <w:i/>
        </w:rPr>
        <w:t>Estado</w:t>
      </w:r>
      <w:r w:rsidR="008505F3" w:rsidRPr="00315F7A">
        <w:rPr>
          <w:rFonts w:ascii="Verdana" w:hAnsi="Verdana"/>
        </w:rPr>
        <w:t xml:space="preserve"> </w:t>
      </w:r>
      <w:r w:rsidR="00301A4B" w:rsidRPr="00315F7A">
        <w:rPr>
          <w:rFonts w:ascii="Verdana" w:hAnsi="Verdana"/>
        </w:rPr>
        <w:t>sostuvo que éste es “evidentemente improcedente”</w:t>
      </w:r>
      <w:r w:rsidR="005E7E78" w:rsidRPr="00315F7A">
        <w:rPr>
          <w:rFonts w:ascii="Verdana" w:hAnsi="Verdana"/>
        </w:rPr>
        <w:t xml:space="preserve"> y </w:t>
      </w:r>
      <w:r w:rsidR="002F65EF" w:rsidRPr="00315F7A">
        <w:rPr>
          <w:rFonts w:ascii="Verdana" w:hAnsi="Verdana"/>
        </w:rPr>
        <w:t xml:space="preserve">que dicha solicitud de los representantes debe </w:t>
      </w:r>
      <w:r w:rsidR="005E7E78" w:rsidRPr="00315F7A">
        <w:rPr>
          <w:rFonts w:ascii="Verdana" w:hAnsi="Verdana"/>
        </w:rPr>
        <w:t>ser “desechad</w:t>
      </w:r>
      <w:r w:rsidR="002F65EF" w:rsidRPr="00315F7A">
        <w:rPr>
          <w:rFonts w:ascii="Verdana" w:hAnsi="Verdana"/>
        </w:rPr>
        <w:t>[a]</w:t>
      </w:r>
      <w:r w:rsidR="005E7E78" w:rsidRPr="00315F7A">
        <w:rPr>
          <w:rFonts w:ascii="Verdana" w:hAnsi="Verdana"/>
        </w:rPr>
        <w:t>”,</w:t>
      </w:r>
      <w:r w:rsidR="00301A4B" w:rsidRPr="00315F7A">
        <w:rPr>
          <w:rFonts w:ascii="Verdana" w:hAnsi="Verdana"/>
        </w:rPr>
        <w:t xml:space="preserve"> </w:t>
      </w:r>
      <w:r w:rsidR="005E7E78" w:rsidRPr="00315F7A">
        <w:rPr>
          <w:rFonts w:ascii="Verdana" w:hAnsi="Verdana"/>
        </w:rPr>
        <w:t xml:space="preserve">puesto </w:t>
      </w:r>
      <w:r w:rsidR="008505F3" w:rsidRPr="00315F7A">
        <w:rPr>
          <w:rFonts w:ascii="Verdana" w:hAnsi="Verdana"/>
        </w:rPr>
        <w:t xml:space="preserve">que </w:t>
      </w:r>
      <w:r w:rsidR="005E7E78" w:rsidRPr="00315F7A">
        <w:rPr>
          <w:rFonts w:ascii="Verdana" w:hAnsi="Verdana"/>
        </w:rPr>
        <w:t>“</w:t>
      </w:r>
      <w:r w:rsidR="008505F3" w:rsidRPr="00315F7A">
        <w:rPr>
          <w:rFonts w:ascii="Verdana" w:hAnsi="Verdana"/>
        </w:rPr>
        <w:t xml:space="preserve">la </w:t>
      </w:r>
      <w:r w:rsidR="00994CA5">
        <w:rPr>
          <w:rFonts w:ascii="Verdana" w:hAnsi="Verdana"/>
        </w:rPr>
        <w:t>[</w:t>
      </w:r>
      <w:r w:rsidR="008505F3" w:rsidRPr="00315F7A">
        <w:rPr>
          <w:rFonts w:ascii="Verdana" w:hAnsi="Verdana"/>
        </w:rPr>
        <w:t>S</w:t>
      </w:r>
      <w:r w:rsidR="00994CA5">
        <w:rPr>
          <w:rFonts w:ascii="Verdana" w:hAnsi="Verdana"/>
        </w:rPr>
        <w:t>]</w:t>
      </w:r>
      <w:r w:rsidR="008505F3" w:rsidRPr="00315F7A">
        <w:rPr>
          <w:rFonts w:ascii="Verdana" w:hAnsi="Verdana"/>
        </w:rPr>
        <w:t xml:space="preserve">entencia consideró el valor total a pagar a las víctimas </w:t>
      </w:r>
      <w:r w:rsidR="005E7E78" w:rsidRPr="00315F7A">
        <w:rPr>
          <w:rFonts w:ascii="Verdana" w:hAnsi="Verdana"/>
        </w:rPr>
        <w:t xml:space="preserve">y lo resuelto </w:t>
      </w:r>
      <w:r w:rsidR="00994CA5">
        <w:rPr>
          <w:rFonts w:ascii="Verdana" w:hAnsi="Verdana"/>
        </w:rPr>
        <w:t>[</w:t>
      </w:r>
      <w:r w:rsidR="005E7E78" w:rsidRPr="00315F7A">
        <w:rPr>
          <w:rFonts w:ascii="Verdana" w:hAnsi="Verdana"/>
        </w:rPr>
        <w:t>conforme</w:t>
      </w:r>
      <w:r w:rsidR="00994CA5">
        <w:rPr>
          <w:rFonts w:ascii="Verdana" w:hAnsi="Verdana"/>
        </w:rPr>
        <w:t>]</w:t>
      </w:r>
      <w:r w:rsidR="005E7E78" w:rsidRPr="00315F7A">
        <w:rPr>
          <w:rFonts w:ascii="Verdana" w:hAnsi="Verdana"/>
        </w:rPr>
        <w:t xml:space="preserve"> al artículo 67 de la Convención Americana </w:t>
      </w:r>
      <w:r w:rsidR="00994CA5">
        <w:rPr>
          <w:rFonts w:ascii="Verdana" w:hAnsi="Verdana"/>
        </w:rPr>
        <w:t xml:space="preserve">[…] </w:t>
      </w:r>
      <w:r w:rsidR="005E7E78" w:rsidRPr="00315F7A">
        <w:rPr>
          <w:rFonts w:ascii="Verdana" w:hAnsi="Verdana"/>
        </w:rPr>
        <w:t xml:space="preserve">es inalterable”. </w:t>
      </w:r>
      <w:r w:rsidR="00EC3C0C" w:rsidRPr="00315F7A">
        <w:rPr>
          <w:rFonts w:ascii="Verdana" w:hAnsi="Verdana"/>
        </w:rPr>
        <w:t xml:space="preserve">Ecuador indicó que </w:t>
      </w:r>
      <w:r w:rsidR="005E7E78" w:rsidRPr="00315F7A">
        <w:rPr>
          <w:rFonts w:ascii="Verdana" w:hAnsi="Verdana"/>
        </w:rPr>
        <w:t>considera que “la Corte ha sido clara cuando realiz[ó] el cálculo de los beneficios sociales”</w:t>
      </w:r>
      <w:r w:rsidR="00EC3C0C" w:rsidRPr="00315F7A">
        <w:rPr>
          <w:rFonts w:ascii="Verdana" w:hAnsi="Verdana"/>
        </w:rPr>
        <w:t>, por lo</w:t>
      </w:r>
      <w:r w:rsidR="005E7E78" w:rsidRPr="00315F7A">
        <w:rPr>
          <w:rFonts w:ascii="Verdana" w:hAnsi="Verdana"/>
        </w:rPr>
        <w:t xml:space="preserve"> que “continuará con la ejecución </w:t>
      </w:r>
      <w:r w:rsidR="005E7E78" w:rsidRPr="00877B3A">
        <w:rPr>
          <w:rFonts w:ascii="Verdana" w:hAnsi="Verdana"/>
        </w:rPr>
        <w:t>de la […] Sentencia en los términos de la misma y así cumplir con las obligaciones internacionales que han sido adquiridas por el país”.</w:t>
      </w:r>
    </w:p>
    <w:p w:rsidR="00577323" w:rsidRPr="00877B3A" w:rsidRDefault="00994AA6" w:rsidP="00577323">
      <w:pPr>
        <w:widowControl/>
        <w:numPr>
          <w:ilvl w:val="0"/>
          <w:numId w:val="2"/>
        </w:numPr>
        <w:spacing w:before="120" w:after="120"/>
        <w:ind w:left="0" w:right="9" w:hanging="11"/>
        <w:jc w:val="both"/>
        <w:rPr>
          <w:rFonts w:ascii="Verdana" w:hAnsi="Verdana"/>
        </w:rPr>
      </w:pPr>
      <w:r w:rsidRPr="00877B3A">
        <w:rPr>
          <w:rFonts w:ascii="Verdana" w:hAnsi="Verdana"/>
        </w:rPr>
        <w:t>Antes de pronunciarse sobre dicho planteamiento de los representantes</w:t>
      </w:r>
      <w:r w:rsidR="00994CA5">
        <w:rPr>
          <w:rFonts w:ascii="Verdana" w:hAnsi="Verdana"/>
        </w:rPr>
        <w:t xml:space="preserve"> (</w:t>
      </w:r>
      <w:r w:rsidR="00994CA5" w:rsidRPr="000C7CDF">
        <w:rPr>
          <w:rFonts w:ascii="Verdana" w:hAnsi="Verdana"/>
          <w:i/>
        </w:rPr>
        <w:t>supra</w:t>
      </w:r>
      <w:r w:rsidR="00994CA5">
        <w:rPr>
          <w:rFonts w:ascii="Verdana" w:hAnsi="Verdana"/>
        </w:rPr>
        <w:t xml:space="preserve"> Considerando 18)</w:t>
      </w:r>
      <w:r w:rsidRPr="00877B3A">
        <w:rPr>
          <w:rFonts w:ascii="Verdana" w:hAnsi="Verdana"/>
        </w:rPr>
        <w:t>, este Tribunal estima necesario recordar que la Corte ordenó</w:t>
      </w:r>
      <w:r w:rsidR="00994CA5">
        <w:rPr>
          <w:rFonts w:ascii="Verdana" w:hAnsi="Verdana"/>
        </w:rPr>
        <w:t>,</w:t>
      </w:r>
      <w:r w:rsidRPr="00877B3A">
        <w:rPr>
          <w:rFonts w:ascii="Verdana" w:hAnsi="Verdana"/>
        </w:rPr>
        <w:t xml:space="preserve"> </w:t>
      </w:r>
      <w:r w:rsidR="00994CA5">
        <w:rPr>
          <w:rFonts w:ascii="Verdana" w:hAnsi="Verdana"/>
        </w:rPr>
        <w:t xml:space="preserve">a </w:t>
      </w:r>
      <w:r w:rsidR="00994CA5">
        <w:rPr>
          <w:rFonts w:ascii="Verdana" w:hAnsi="Verdana"/>
        </w:rPr>
        <w:lastRenderedPageBreak/>
        <w:t xml:space="preserve">favor de las víctimas, </w:t>
      </w:r>
      <w:r w:rsidRPr="00877B3A">
        <w:rPr>
          <w:rFonts w:ascii="Verdana" w:hAnsi="Verdana"/>
        </w:rPr>
        <w:t>indemnizaciones “por concepto de daño material por las remuneraciones más beneficios sociales dejados de percibir hasta el 2008” (</w:t>
      </w:r>
      <w:r w:rsidRPr="00877B3A">
        <w:rPr>
          <w:rFonts w:ascii="Verdana" w:hAnsi="Verdana"/>
          <w:i/>
        </w:rPr>
        <w:t>supra</w:t>
      </w:r>
      <w:r w:rsidRPr="00877B3A">
        <w:rPr>
          <w:rFonts w:ascii="Verdana" w:hAnsi="Verdana"/>
        </w:rPr>
        <w:t xml:space="preserve"> Considerando </w:t>
      </w:r>
      <w:r w:rsidR="000F0E5A">
        <w:rPr>
          <w:rFonts w:ascii="Verdana" w:hAnsi="Verdana"/>
        </w:rPr>
        <w:t>12.a</w:t>
      </w:r>
      <w:r w:rsidRPr="00877B3A">
        <w:rPr>
          <w:rFonts w:ascii="Verdana" w:hAnsi="Verdana"/>
        </w:rPr>
        <w:t xml:space="preserve">). </w:t>
      </w:r>
    </w:p>
    <w:p w:rsidR="00577323" w:rsidRPr="000C7CDF" w:rsidRDefault="0096573D" w:rsidP="00577323">
      <w:pPr>
        <w:widowControl/>
        <w:numPr>
          <w:ilvl w:val="0"/>
          <w:numId w:val="2"/>
        </w:numPr>
        <w:spacing w:before="120" w:after="120"/>
        <w:ind w:left="0" w:right="9" w:hanging="11"/>
        <w:jc w:val="both"/>
        <w:rPr>
          <w:rFonts w:ascii="Verdana" w:hAnsi="Verdana"/>
        </w:rPr>
      </w:pPr>
      <w:r w:rsidRPr="00E23EE3">
        <w:rPr>
          <w:rFonts w:ascii="Verdana" w:hAnsi="Verdana"/>
        </w:rPr>
        <w:t xml:space="preserve">Para realizar </w:t>
      </w:r>
      <w:r w:rsidR="002F65EF" w:rsidRPr="00E23EE3">
        <w:rPr>
          <w:rFonts w:ascii="Verdana" w:hAnsi="Verdana"/>
        </w:rPr>
        <w:t xml:space="preserve">los cálculos y determinaciones sobre los montos de daño material que quedaron establecidos en la Sentencia, la Corte analizó las </w:t>
      </w:r>
      <w:r w:rsidRPr="00E23EE3">
        <w:rPr>
          <w:rFonts w:ascii="Verdana" w:hAnsi="Verdana"/>
        </w:rPr>
        <w:t>solicitudes</w:t>
      </w:r>
      <w:r w:rsidRPr="00E23EE3">
        <w:rPr>
          <w:rStyle w:val="Refdenotaalpie"/>
          <w:rFonts w:ascii="Verdana" w:hAnsi="Verdana"/>
        </w:rPr>
        <w:footnoteReference w:id="43"/>
      </w:r>
      <w:r w:rsidRPr="00E23EE3">
        <w:rPr>
          <w:rFonts w:ascii="Verdana" w:hAnsi="Verdana"/>
        </w:rPr>
        <w:t xml:space="preserve">, alegatos y prueba presentados por las partes durante la etapa de fondo del presente caso. </w:t>
      </w:r>
      <w:r w:rsidR="00B27C31" w:rsidRPr="000C7CDF">
        <w:rPr>
          <w:rFonts w:ascii="Verdana" w:hAnsi="Verdana"/>
        </w:rPr>
        <w:t>Entre los párrafos 241 a 247 de la Sentencia</w:t>
      </w:r>
      <w:r w:rsidR="00EC3C0C" w:rsidRPr="000C7CDF">
        <w:rPr>
          <w:rFonts w:ascii="Verdana" w:hAnsi="Verdana"/>
        </w:rPr>
        <w:t>,</w:t>
      </w:r>
      <w:r w:rsidR="00B27C31" w:rsidRPr="000C7CDF">
        <w:rPr>
          <w:rFonts w:ascii="Verdana" w:hAnsi="Verdana"/>
        </w:rPr>
        <w:t xml:space="preserve"> la Corte analizó la prueba o información que fue aportada por el E</w:t>
      </w:r>
      <w:r w:rsidR="00D13DB6" w:rsidRPr="000C7CDF">
        <w:rPr>
          <w:rFonts w:ascii="Verdana" w:hAnsi="Verdana"/>
        </w:rPr>
        <w:t>stado y los representantes en relación con los “criterios y determinación del monto” de</w:t>
      </w:r>
      <w:r w:rsidR="00026CF1" w:rsidRPr="000C7CDF">
        <w:rPr>
          <w:rFonts w:ascii="Verdana" w:hAnsi="Verdana"/>
        </w:rPr>
        <w:t>l</w:t>
      </w:r>
      <w:r w:rsidR="00D13DB6" w:rsidRPr="000C7CDF">
        <w:rPr>
          <w:rFonts w:ascii="Verdana" w:hAnsi="Verdana"/>
        </w:rPr>
        <w:t xml:space="preserve"> daño material causado a las víctimas. La decisión del Tribunal sobre la indemnización por daño material a </w:t>
      </w:r>
      <w:r w:rsidR="002F65EF" w:rsidRPr="000C7CDF">
        <w:rPr>
          <w:rFonts w:ascii="Verdana" w:hAnsi="Verdana"/>
        </w:rPr>
        <w:t xml:space="preserve">favor de </w:t>
      </w:r>
      <w:r w:rsidR="00D13DB6" w:rsidRPr="000C7CDF">
        <w:rPr>
          <w:rFonts w:ascii="Verdana" w:hAnsi="Verdana"/>
        </w:rPr>
        <w:t xml:space="preserve">las </w:t>
      </w:r>
      <w:r w:rsidR="002F65EF" w:rsidRPr="000C7CDF">
        <w:rPr>
          <w:rFonts w:ascii="Verdana" w:hAnsi="Verdana"/>
        </w:rPr>
        <w:t xml:space="preserve">27 </w:t>
      </w:r>
      <w:r w:rsidR="00D13DB6" w:rsidRPr="000C7CDF">
        <w:rPr>
          <w:rFonts w:ascii="Verdana" w:hAnsi="Verdana"/>
        </w:rPr>
        <w:t xml:space="preserve">víctimas es la que consta en los párrafos 248 a 251 de </w:t>
      </w:r>
      <w:r w:rsidRPr="000C7CDF">
        <w:rPr>
          <w:rFonts w:ascii="Verdana" w:hAnsi="Verdana"/>
        </w:rPr>
        <w:t xml:space="preserve">la Sentencia, y </w:t>
      </w:r>
      <w:r w:rsidR="00EC3C0C" w:rsidRPr="000C7CDF">
        <w:rPr>
          <w:rFonts w:ascii="Verdana" w:hAnsi="Verdana"/>
        </w:rPr>
        <w:t xml:space="preserve">los montos finales </w:t>
      </w:r>
      <w:r w:rsidRPr="000C7CDF">
        <w:rPr>
          <w:rFonts w:ascii="Verdana" w:hAnsi="Verdana"/>
        </w:rPr>
        <w:t xml:space="preserve">para las víctimas Donoso Castellón, Troya Jaramillo y Velasco Dávila </w:t>
      </w:r>
      <w:r w:rsidR="00EC3C0C" w:rsidRPr="000C7CDF">
        <w:rPr>
          <w:rFonts w:ascii="Verdana" w:hAnsi="Verdana"/>
        </w:rPr>
        <w:t xml:space="preserve">fueron definidos </w:t>
      </w:r>
      <w:r w:rsidRPr="000C7CDF">
        <w:rPr>
          <w:rFonts w:ascii="Verdana" w:hAnsi="Verdana"/>
        </w:rPr>
        <w:t>en los Considerandos 13, 15 y 17 de la Resolución de supervisión de cumplimiento de agosto de 2014 (</w:t>
      </w:r>
      <w:r w:rsidRPr="000C7CDF">
        <w:rPr>
          <w:rFonts w:ascii="Verdana" w:hAnsi="Verdana"/>
          <w:i/>
        </w:rPr>
        <w:t>supra</w:t>
      </w:r>
      <w:r w:rsidRPr="000C7CDF">
        <w:rPr>
          <w:rFonts w:ascii="Verdana" w:hAnsi="Verdana"/>
        </w:rPr>
        <w:t xml:space="preserve"> Visto </w:t>
      </w:r>
      <w:r w:rsidR="000F0E5A" w:rsidRPr="000C7CDF">
        <w:rPr>
          <w:rFonts w:ascii="Verdana" w:hAnsi="Verdana"/>
        </w:rPr>
        <w:t>2</w:t>
      </w:r>
      <w:r w:rsidRPr="000C7CDF">
        <w:rPr>
          <w:rFonts w:ascii="Verdana" w:hAnsi="Verdana"/>
        </w:rPr>
        <w:t xml:space="preserve"> y Considerando </w:t>
      </w:r>
      <w:r w:rsidR="000F0E5A" w:rsidRPr="000C7CDF">
        <w:rPr>
          <w:rFonts w:ascii="Verdana" w:hAnsi="Verdana"/>
        </w:rPr>
        <w:t>14</w:t>
      </w:r>
      <w:r w:rsidRPr="000C7CDF">
        <w:rPr>
          <w:rFonts w:ascii="Verdana" w:hAnsi="Verdana"/>
        </w:rPr>
        <w:t>).</w:t>
      </w:r>
      <w:r w:rsidR="00D13DB6" w:rsidRPr="000C7CDF">
        <w:rPr>
          <w:rFonts w:ascii="Verdana" w:hAnsi="Verdana"/>
        </w:rPr>
        <w:t xml:space="preserve"> </w:t>
      </w:r>
    </w:p>
    <w:p w:rsidR="00577323" w:rsidRPr="00877B3A" w:rsidRDefault="00D13DB6" w:rsidP="00577323">
      <w:pPr>
        <w:widowControl/>
        <w:numPr>
          <w:ilvl w:val="0"/>
          <w:numId w:val="2"/>
        </w:numPr>
        <w:spacing w:before="120" w:after="120"/>
        <w:ind w:left="0" w:right="9" w:hanging="11"/>
        <w:jc w:val="both"/>
        <w:rPr>
          <w:rFonts w:ascii="Verdana" w:hAnsi="Verdana"/>
        </w:rPr>
      </w:pPr>
      <w:r w:rsidRPr="00877B3A">
        <w:rPr>
          <w:rFonts w:ascii="Verdana" w:hAnsi="Verdana"/>
        </w:rPr>
        <w:t xml:space="preserve">De los referidos párrafos </w:t>
      </w:r>
      <w:r w:rsidR="0096573D" w:rsidRPr="00877B3A">
        <w:rPr>
          <w:rFonts w:ascii="Verdana" w:hAnsi="Verdana"/>
        </w:rPr>
        <w:t xml:space="preserve">de la Sentencia y los mencionados Considerandos de la Resolución </w:t>
      </w:r>
      <w:r w:rsidR="002F65EF" w:rsidRPr="00877B3A">
        <w:rPr>
          <w:rFonts w:ascii="Verdana" w:hAnsi="Verdana"/>
        </w:rPr>
        <w:t>de supervisión d</w:t>
      </w:r>
      <w:r w:rsidRPr="00877B3A">
        <w:rPr>
          <w:rFonts w:ascii="Verdana" w:hAnsi="Verdana"/>
        </w:rPr>
        <w:t>e</w:t>
      </w:r>
      <w:r w:rsidR="002F65EF" w:rsidRPr="00877B3A">
        <w:rPr>
          <w:rFonts w:ascii="Verdana" w:hAnsi="Verdana"/>
        </w:rPr>
        <w:t xml:space="preserve"> cumplimiento de agosto de 2014 se</w:t>
      </w:r>
      <w:r w:rsidRPr="00877B3A">
        <w:rPr>
          <w:rFonts w:ascii="Verdana" w:hAnsi="Verdana"/>
        </w:rPr>
        <w:t xml:space="preserve"> desprende que la Corte no ordenó al Estado que pagara directamente los aportes patronales al Instituto Ecuatoriano de Seguridad Social, ni le ordenó que pagara un monto adicional a las </w:t>
      </w:r>
      <w:r w:rsidR="004E5FEC" w:rsidRPr="00877B3A">
        <w:rPr>
          <w:rFonts w:ascii="Verdana" w:hAnsi="Verdana"/>
        </w:rPr>
        <w:t xml:space="preserve">27 </w:t>
      </w:r>
      <w:r w:rsidRPr="00877B3A">
        <w:rPr>
          <w:rFonts w:ascii="Verdana" w:hAnsi="Verdana"/>
        </w:rPr>
        <w:t xml:space="preserve">víctimas por este concepto. En ese sentido, respecto de lo solicitado por los representantes en </w:t>
      </w:r>
      <w:r w:rsidRPr="00E23EE3">
        <w:rPr>
          <w:rFonts w:ascii="Verdana" w:hAnsi="Verdana"/>
        </w:rPr>
        <w:t xml:space="preserve">la etapa de supervisión de cumplimiento de sentencia en relación con </w:t>
      </w:r>
      <w:r w:rsidR="004E5FEC" w:rsidRPr="00E23EE3">
        <w:rPr>
          <w:rFonts w:ascii="Verdana" w:hAnsi="Verdana"/>
        </w:rPr>
        <w:t>dichos</w:t>
      </w:r>
      <w:r w:rsidRPr="00E23EE3">
        <w:rPr>
          <w:rFonts w:ascii="Verdana" w:hAnsi="Verdana"/>
        </w:rPr>
        <w:t xml:space="preserve"> aportes </w:t>
      </w:r>
      <w:r w:rsidRPr="000C7CDF">
        <w:rPr>
          <w:rFonts w:ascii="Verdana" w:hAnsi="Verdana"/>
        </w:rPr>
        <w:t>(</w:t>
      </w:r>
      <w:r w:rsidRPr="000C7CDF">
        <w:rPr>
          <w:rFonts w:ascii="Verdana" w:hAnsi="Verdana"/>
          <w:i/>
        </w:rPr>
        <w:t>supra</w:t>
      </w:r>
      <w:r w:rsidRPr="000C7CDF">
        <w:rPr>
          <w:rFonts w:ascii="Verdana" w:hAnsi="Verdana"/>
        </w:rPr>
        <w:t xml:space="preserve"> Considerandos </w:t>
      </w:r>
      <w:r w:rsidR="00E23EE3" w:rsidRPr="000C7CDF">
        <w:rPr>
          <w:rFonts w:ascii="Verdana" w:hAnsi="Verdana"/>
        </w:rPr>
        <w:t>18</w:t>
      </w:r>
      <w:r w:rsidRPr="000C7CDF">
        <w:rPr>
          <w:rFonts w:ascii="Verdana" w:hAnsi="Verdana"/>
        </w:rPr>
        <w:t>)</w:t>
      </w:r>
      <w:r w:rsidRPr="00E23EE3">
        <w:rPr>
          <w:rFonts w:ascii="Verdana" w:hAnsi="Verdana"/>
        </w:rPr>
        <w:t>,</w:t>
      </w:r>
      <w:r w:rsidRPr="00877B3A">
        <w:rPr>
          <w:rFonts w:ascii="Verdana" w:hAnsi="Verdana"/>
        </w:rPr>
        <w:t xml:space="preserve"> la Corte no puede durante esta etapa analizar cuestiones de hecho o derecho que debieron ser planteadas en su oportunidad procesal y sobre las cuales ya adoptó una decisión, así como</w:t>
      </w:r>
      <w:r w:rsidR="004E5FEC" w:rsidRPr="00877B3A">
        <w:rPr>
          <w:rFonts w:ascii="Verdana" w:hAnsi="Verdana"/>
        </w:rPr>
        <w:t xml:space="preserve"> </w:t>
      </w:r>
      <w:r w:rsidR="00877B3A" w:rsidRPr="00877B3A">
        <w:rPr>
          <w:rFonts w:ascii="Verdana" w:hAnsi="Verdana"/>
        </w:rPr>
        <w:t xml:space="preserve">tampoco </w:t>
      </w:r>
      <w:r w:rsidR="004E5FEC" w:rsidRPr="00877B3A">
        <w:rPr>
          <w:rFonts w:ascii="Verdana" w:hAnsi="Verdana"/>
        </w:rPr>
        <w:t>se puede</w:t>
      </w:r>
      <w:r w:rsidRPr="00877B3A">
        <w:rPr>
          <w:rFonts w:ascii="Verdana" w:hAnsi="Verdana"/>
        </w:rPr>
        <w:t xml:space="preserve"> pretender que el Tribunal ordene medidas adicionales a las ya ordenadas oportunamente en la Sentencia. Es decir, en el marco de la supervisión de cumplimiento, la labor de la Corte es valorar el cumplimiento de la Sentencia tal como fue emitida, no imponer nuevas obligaciones al Estado. Declarar procedente la referida solicitud de los representantes de que se ordene al Estado </w:t>
      </w:r>
      <w:r w:rsidR="004E5FEC" w:rsidRPr="00877B3A">
        <w:rPr>
          <w:rFonts w:ascii="Verdana" w:hAnsi="Verdana"/>
        </w:rPr>
        <w:t>el pago de</w:t>
      </w:r>
      <w:r w:rsidRPr="00877B3A">
        <w:rPr>
          <w:rFonts w:ascii="Verdana" w:hAnsi="Verdana"/>
        </w:rPr>
        <w:t xml:space="preserve"> los aportes al Instituto Ecuatoriano de Seguridad Social conllevaría imponerle una nueva obligación no dispuesta al ordenar las reparaciones en la Sentencia. </w:t>
      </w:r>
    </w:p>
    <w:p w:rsidR="00D13DB6" w:rsidRPr="00877B3A" w:rsidRDefault="00D13DB6" w:rsidP="00577323">
      <w:pPr>
        <w:widowControl/>
        <w:numPr>
          <w:ilvl w:val="0"/>
          <w:numId w:val="2"/>
        </w:numPr>
        <w:spacing w:before="120" w:after="120"/>
        <w:ind w:left="0" w:right="9" w:hanging="11"/>
        <w:jc w:val="both"/>
        <w:rPr>
          <w:rFonts w:ascii="Verdana" w:hAnsi="Verdana"/>
        </w:rPr>
      </w:pPr>
      <w:r w:rsidRPr="00877B3A">
        <w:rPr>
          <w:rFonts w:ascii="Verdana" w:hAnsi="Verdana"/>
        </w:rPr>
        <w:t xml:space="preserve">Ahora bien, lo anterior no obsta que el Estado, en comunicación con los representantes y las víctimas, tome en cuenta la referida solicitud para que los derechos de pensión y retiro </w:t>
      </w:r>
      <w:r w:rsidR="004E5FEC" w:rsidRPr="00877B3A">
        <w:rPr>
          <w:rFonts w:ascii="Verdana" w:hAnsi="Verdana"/>
        </w:rPr>
        <w:t xml:space="preserve">de las víctimas </w:t>
      </w:r>
      <w:r w:rsidRPr="00877B3A">
        <w:rPr>
          <w:rFonts w:ascii="Verdana" w:hAnsi="Verdana"/>
        </w:rPr>
        <w:t>no se vean afectados según lo alegado por los representantes en sus escritos, o bien, que cualquiera de las víctimas que considere que conforme al derecho interno tiene un derecho sobre dichos aportes al Instituto Ecuatoriano de Seguridad Social pueda presentar su pretensión ante los órganos judiciales o administrativos competentes de la jurisdicción ecuatoriana, y que dichos órganos puedan hacer las determinaciones correspondientes. Para los efectos del cumplimiento de la Sentencia de la Corte Interamericana, la obligación estatal se limitaba a pagar los montos ordenados en la Sentencia</w:t>
      </w:r>
      <w:r w:rsidR="004E5FEC" w:rsidRPr="00877B3A">
        <w:rPr>
          <w:rFonts w:ascii="Verdana" w:hAnsi="Verdana"/>
        </w:rPr>
        <w:t xml:space="preserve"> y en la Resolución de agosto de 2014</w:t>
      </w:r>
      <w:r w:rsidRPr="00877B3A">
        <w:rPr>
          <w:rFonts w:ascii="Verdana" w:hAnsi="Verdana"/>
        </w:rPr>
        <w:t xml:space="preserve">, lo cual ha sido cumplido por el Estado </w:t>
      </w:r>
      <w:r w:rsidR="00877B3A" w:rsidRPr="00877B3A">
        <w:rPr>
          <w:rFonts w:ascii="Verdana" w:hAnsi="Verdana"/>
        </w:rPr>
        <w:t xml:space="preserve">en los términos constatados en </w:t>
      </w:r>
      <w:r w:rsidR="00E23EE3">
        <w:rPr>
          <w:rFonts w:ascii="Verdana" w:hAnsi="Verdana"/>
        </w:rPr>
        <w:t xml:space="preserve">los </w:t>
      </w:r>
      <w:r w:rsidRPr="00877B3A">
        <w:rPr>
          <w:rFonts w:ascii="Verdana" w:hAnsi="Verdana"/>
        </w:rPr>
        <w:t>Considerando</w:t>
      </w:r>
      <w:r w:rsidR="00E23EE3">
        <w:rPr>
          <w:rFonts w:ascii="Verdana" w:hAnsi="Verdana"/>
        </w:rPr>
        <w:t>s</w:t>
      </w:r>
      <w:r w:rsidR="000F0E5A">
        <w:rPr>
          <w:rFonts w:ascii="Verdana" w:hAnsi="Verdana"/>
        </w:rPr>
        <w:t xml:space="preserve"> </w:t>
      </w:r>
      <w:r w:rsidR="000F0E5A" w:rsidRPr="00E23EE3">
        <w:rPr>
          <w:rFonts w:ascii="Verdana" w:hAnsi="Verdana"/>
        </w:rPr>
        <w:t>15</w:t>
      </w:r>
      <w:r w:rsidR="00E23EE3" w:rsidRPr="00E23EE3">
        <w:rPr>
          <w:rFonts w:ascii="Verdana" w:hAnsi="Verdana"/>
        </w:rPr>
        <w:t xml:space="preserve"> y 17</w:t>
      </w:r>
      <w:r w:rsidR="00E37A3B">
        <w:rPr>
          <w:rFonts w:ascii="Verdana" w:hAnsi="Verdana"/>
        </w:rPr>
        <w:t xml:space="preserve"> de la presente Resolución</w:t>
      </w:r>
      <w:r w:rsidRPr="00E23EE3">
        <w:rPr>
          <w:rFonts w:ascii="Verdana" w:hAnsi="Verdana"/>
        </w:rPr>
        <w:t>.</w:t>
      </w:r>
      <w:r w:rsidRPr="00877B3A">
        <w:rPr>
          <w:rFonts w:ascii="Verdana" w:hAnsi="Verdana"/>
        </w:rPr>
        <w:t xml:space="preserve"> </w:t>
      </w:r>
    </w:p>
    <w:p w:rsidR="0046223E" w:rsidRDefault="0046223E" w:rsidP="0046223E">
      <w:pPr>
        <w:pStyle w:val="Prrafodelista"/>
        <w:widowControl/>
        <w:autoSpaceDE w:val="0"/>
        <w:autoSpaceDN w:val="0"/>
        <w:adjustRightInd w:val="0"/>
        <w:spacing w:before="120" w:after="120"/>
        <w:ind w:left="0"/>
        <w:contextualSpacing w:val="0"/>
        <w:jc w:val="both"/>
        <w:rPr>
          <w:rFonts w:ascii="Verdana" w:hAnsi="Verdana"/>
        </w:rPr>
      </w:pPr>
    </w:p>
    <w:p w:rsidR="00460508" w:rsidRPr="00460508" w:rsidRDefault="00460508" w:rsidP="0046223E">
      <w:pPr>
        <w:pStyle w:val="Prrafodelista"/>
        <w:widowControl/>
        <w:autoSpaceDE w:val="0"/>
        <w:autoSpaceDN w:val="0"/>
        <w:adjustRightInd w:val="0"/>
        <w:spacing w:before="120" w:after="120"/>
        <w:ind w:left="0"/>
        <w:contextualSpacing w:val="0"/>
        <w:jc w:val="both"/>
        <w:rPr>
          <w:rFonts w:ascii="Verdana" w:hAnsi="Verdana"/>
        </w:rPr>
      </w:pPr>
    </w:p>
    <w:p w:rsidR="0080251F" w:rsidRPr="00877B3A" w:rsidRDefault="006A4959" w:rsidP="006A4959">
      <w:pPr>
        <w:pStyle w:val="Prrafodelista"/>
        <w:widowControl/>
        <w:autoSpaceDE w:val="0"/>
        <w:autoSpaceDN w:val="0"/>
        <w:adjustRightInd w:val="0"/>
        <w:spacing w:before="120" w:after="120"/>
        <w:ind w:left="708"/>
        <w:contextualSpacing w:val="0"/>
        <w:jc w:val="both"/>
        <w:rPr>
          <w:rFonts w:ascii="Verdana" w:hAnsi="Verdana"/>
        </w:rPr>
      </w:pPr>
      <w:r w:rsidRPr="00877B3A">
        <w:rPr>
          <w:rFonts w:ascii="Verdana" w:hAnsi="Verdana"/>
        </w:rPr>
        <w:t xml:space="preserve">ii) </w:t>
      </w:r>
      <w:r w:rsidRPr="00877B3A">
        <w:rPr>
          <w:rFonts w:ascii="Verdana" w:hAnsi="Verdana"/>
          <w:i/>
        </w:rPr>
        <w:t>Reintegro de costas y gastos</w:t>
      </w:r>
    </w:p>
    <w:p w:rsidR="00577323" w:rsidRDefault="00A31067" w:rsidP="00577323">
      <w:pPr>
        <w:pStyle w:val="Prrafodelista"/>
        <w:widowControl/>
        <w:numPr>
          <w:ilvl w:val="0"/>
          <w:numId w:val="2"/>
        </w:numPr>
        <w:autoSpaceDE w:val="0"/>
        <w:autoSpaceDN w:val="0"/>
        <w:adjustRightInd w:val="0"/>
        <w:spacing w:before="120" w:after="120"/>
        <w:ind w:left="0" w:firstLine="0"/>
        <w:contextualSpacing w:val="0"/>
        <w:jc w:val="both"/>
        <w:rPr>
          <w:rFonts w:ascii="Verdana" w:hAnsi="Verdana"/>
        </w:rPr>
      </w:pPr>
      <w:r w:rsidRPr="00877B3A">
        <w:rPr>
          <w:rFonts w:ascii="Verdana" w:hAnsi="Verdana"/>
        </w:rPr>
        <w:t xml:space="preserve">Con base en </w:t>
      </w:r>
      <w:r w:rsidR="000754A1" w:rsidRPr="00877B3A">
        <w:rPr>
          <w:rFonts w:ascii="Verdana" w:hAnsi="Verdana"/>
        </w:rPr>
        <w:t>la información y los</w:t>
      </w:r>
      <w:r w:rsidRPr="00877B3A">
        <w:rPr>
          <w:rFonts w:ascii="Verdana" w:hAnsi="Verdana"/>
        </w:rPr>
        <w:t xml:space="preserve"> comprobantes aportados por el Estado</w:t>
      </w:r>
      <w:r w:rsidR="000754A1" w:rsidRPr="00877B3A">
        <w:rPr>
          <w:rStyle w:val="Refdenotaalpie"/>
          <w:rFonts w:ascii="Verdana" w:hAnsi="Verdana"/>
        </w:rPr>
        <w:footnoteReference w:id="44"/>
      </w:r>
      <w:r w:rsidR="000754A1" w:rsidRPr="00877B3A">
        <w:rPr>
          <w:rFonts w:ascii="Verdana" w:hAnsi="Verdana"/>
        </w:rPr>
        <w:t xml:space="preserve">, los cuales </w:t>
      </w:r>
      <w:r w:rsidR="00877B3A" w:rsidRPr="00877B3A">
        <w:rPr>
          <w:rFonts w:ascii="Verdana" w:hAnsi="Verdana"/>
        </w:rPr>
        <w:t xml:space="preserve">no </w:t>
      </w:r>
      <w:r w:rsidR="000754A1" w:rsidRPr="00877B3A">
        <w:rPr>
          <w:rFonts w:ascii="Verdana" w:hAnsi="Verdana"/>
        </w:rPr>
        <w:t>fueron controvertidos por los representantes</w:t>
      </w:r>
      <w:r w:rsidR="000754A1" w:rsidRPr="00877B3A">
        <w:rPr>
          <w:rStyle w:val="Refdenotaalpie"/>
          <w:rFonts w:ascii="Verdana" w:hAnsi="Verdana"/>
        </w:rPr>
        <w:footnoteReference w:id="45"/>
      </w:r>
      <w:r w:rsidR="000754A1" w:rsidRPr="00877B3A">
        <w:rPr>
          <w:rFonts w:ascii="Verdana" w:hAnsi="Verdana"/>
        </w:rPr>
        <w:t xml:space="preserve">, </w:t>
      </w:r>
      <w:r w:rsidR="00877B3A" w:rsidRPr="00877B3A">
        <w:rPr>
          <w:rFonts w:ascii="Verdana" w:hAnsi="Verdana"/>
        </w:rPr>
        <w:t xml:space="preserve">la </w:t>
      </w:r>
      <w:r w:rsidRPr="00877B3A">
        <w:rPr>
          <w:rFonts w:ascii="Verdana" w:hAnsi="Verdana"/>
        </w:rPr>
        <w:t>Corte constata que</w:t>
      </w:r>
      <w:r w:rsidR="000754A1" w:rsidRPr="00877B3A">
        <w:rPr>
          <w:rFonts w:ascii="Verdana" w:hAnsi="Verdana"/>
        </w:rPr>
        <w:t xml:space="preserve"> el Estado pagó</w:t>
      </w:r>
      <w:r w:rsidRPr="00877B3A">
        <w:rPr>
          <w:rFonts w:ascii="Verdana" w:hAnsi="Verdana"/>
        </w:rPr>
        <w:t xml:space="preserve"> </w:t>
      </w:r>
      <w:r w:rsidR="000754A1" w:rsidRPr="00877B3A">
        <w:rPr>
          <w:rFonts w:ascii="Verdana" w:hAnsi="Verdana"/>
        </w:rPr>
        <w:t>a los dos representantes de las víctimas el total de lo dispuesto en la Sentencia por concepto de</w:t>
      </w:r>
      <w:r w:rsidRPr="00877B3A">
        <w:rPr>
          <w:rFonts w:ascii="Verdana" w:hAnsi="Verdana"/>
        </w:rPr>
        <w:t xml:space="preserve"> reintegro de costas y gastos</w:t>
      </w:r>
      <w:r w:rsidR="00CF1820" w:rsidRPr="00877B3A">
        <w:rPr>
          <w:rFonts w:ascii="Verdana" w:hAnsi="Verdana"/>
        </w:rPr>
        <w:t>.</w:t>
      </w:r>
    </w:p>
    <w:p w:rsidR="00577323" w:rsidRPr="00877B3A" w:rsidRDefault="00577323" w:rsidP="00577323">
      <w:pPr>
        <w:widowControl/>
        <w:autoSpaceDE w:val="0"/>
        <w:autoSpaceDN w:val="0"/>
        <w:adjustRightInd w:val="0"/>
        <w:jc w:val="center"/>
        <w:rPr>
          <w:rFonts w:ascii="Verdana" w:hAnsi="Verdana"/>
        </w:rPr>
      </w:pPr>
      <w:r w:rsidRPr="00877B3A">
        <w:rPr>
          <w:rFonts w:ascii="Verdana" w:hAnsi="Verdana"/>
        </w:rPr>
        <w:t>*</w:t>
      </w:r>
    </w:p>
    <w:p w:rsidR="00577323" w:rsidRPr="00877B3A" w:rsidRDefault="00577323" w:rsidP="00577323">
      <w:pPr>
        <w:widowControl/>
        <w:autoSpaceDE w:val="0"/>
        <w:autoSpaceDN w:val="0"/>
        <w:adjustRightInd w:val="0"/>
        <w:jc w:val="center"/>
        <w:rPr>
          <w:rFonts w:ascii="Verdana" w:hAnsi="Verdana"/>
        </w:rPr>
      </w:pPr>
      <w:r w:rsidRPr="00877B3A">
        <w:rPr>
          <w:rFonts w:ascii="Verdana" w:hAnsi="Verdana"/>
        </w:rPr>
        <w:t>*     *</w:t>
      </w:r>
    </w:p>
    <w:p w:rsidR="00526D83" w:rsidRPr="00877B3A" w:rsidRDefault="007F6A24" w:rsidP="00577323">
      <w:pPr>
        <w:pStyle w:val="Prrafodelista"/>
        <w:widowControl/>
        <w:numPr>
          <w:ilvl w:val="0"/>
          <w:numId w:val="2"/>
        </w:numPr>
        <w:autoSpaceDE w:val="0"/>
        <w:autoSpaceDN w:val="0"/>
        <w:adjustRightInd w:val="0"/>
        <w:spacing w:before="120" w:after="120"/>
        <w:ind w:left="0" w:firstLine="0"/>
        <w:contextualSpacing w:val="0"/>
        <w:jc w:val="both"/>
        <w:rPr>
          <w:rFonts w:ascii="Verdana" w:hAnsi="Verdana"/>
        </w:rPr>
      </w:pPr>
      <w:r w:rsidRPr="00877B3A">
        <w:rPr>
          <w:rFonts w:ascii="Verdana" w:hAnsi="Verdana"/>
        </w:rPr>
        <w:t>En conclusión, la Corte declara, c</w:t>
      </w:r>
      <w:r w:rsidR="00B54C19" w:rsidRPr="00877B3A">
        <w:rPr>
          <w:rFonts w:ascii="Verdana" w:hAnsi="Verdana"/>
        </w:rPr>
        <w:t xml:space="preserve">on base en todas las anteriores consideraciones, </w:t>
      </w:r>
      <w:r w:rsidRPr="00877B3A">
        <w:rPr>
          <w:rFonts w:ascii="Verdana" w:hAnsi="Verdana"/>
        </w:rPr>
        <w:t xml:space="preserve">que el Estado ha dado cumplimiento parcial a la medida de reparación ordenada en el punto dispositivo décimo primero de la </w:t>
      </w:r>
      <w:r w:rsidRPr="0032051F">
        <w:rPr>
          <w:rFonts w:ascii="Verdana" w:hAnsi="Verdana"/>
        </w:rPr>
        <w:t>Sentencia</w:t>
      </w:r>
      <w:r w:rsidR="00E76106" w:rsidRPr="0032051F">
        <w:rPr>
          <w:rFonts w:ascii="Verdana" w:hAnsi="Verdana"/>
        </w:rPr>
        <w:t>.</w:t>
      </w:r>
      <w:r w:rsidRPr="0032051F">
        <w:rPr>
          <w:rFonts w:ascii="Verdana" w:hAnsi="Verdana"/>
        </w:rPr>
        <w:t xml:space="preserve"> </w:t>
      </w:r>
      <w:r w:rsidR="00E76106" w:rsidRPr="0032051F">
        <w:rPr>
          <w:rFonts w:ascii="Verdana" w:hAnsi="Verdana"/>
        </w:rPr>
        <w:t xml:space="preserve">Ello en razón de que el Estado pagó las cantidades fijadas en la Sentencia por concepto de indemnizaciones por daños materiales e inmateriales y por el reintegro de costas y gastos, </w:t>
      </w:r>
      <w:r w:rsidRPr="0032051F">
        <w:rPr>
          <w:rFonts w:ascii="Verdana" w:hAnsi="Verdana"/>
        </w:rPr>
        <w:t xml:space="preserve">quedando pendiente </w:t>
      </w:r>
      <w:r w:rsidR="00E76106" w:rsidRPr="0032051F">
        <w:rPr>
          <w:rFonts w:ascii="Verdana" w:hAnsi="Verdana"/>
        </w:rPr>
        <w:t xml:space="preserve">únicamente </w:t>
      </w:r>
      <w:r w:rsidRPr="0032051F">
        <w:rPr>
          <w:rFonts w:ascii="Verdana" w:hAnsi="Verdana"/>
        </w:rPr>
        <w:t>el cumplimiento del pago a las 27 víctimas o sus derechohabientes de los intereses moratorios adeudados por el pago ta</w:t>
      </w:r>
      <w:r w:rsidRPr="00877B3A">
        <w:rPr>
          <w:rFonts w:ascii="Verdana" w:hAnsi="Verdana"/>
        </w:rPr>
        <w:t>rdío del tercer tracto de la indemnización por daño material (</w:t>
      </w:r>
      <w:r w:rsidRPr="00877B3A">
        <w:rPr>
          <w:rFonts w:ascii="Verdana" w:hAnsi="Verdana"/>
          <w:i/>
        </w:rPr>
        <w:t>supra</w:t>
      </w:r>
      <w:r w:rsidRPr="00877B3A">
        <w:rPr>
          <w:rFonts w:ascii="Verdana" w:hAnsi="Verdana"/>
        </w:rPr>
        <w:t xml:space="preserve"> Considerando</w:t>
      </w:r>
      <w:r w:rsidR="00E23EE3">
        <w:rPr>
          <w:rFonts w:ascii="Verdana" w:hAnsi="Verdana"/>
        </w:rPr>
        <w:t>s</w:t>
      </w:r>
      <w:r w:rsidRPr="00877B3A">
        <w:rPr>
          <w:rFonts w:ascii="Verdana" w:hAnsi="Verdana"/>
        </w:rPr>
        <w:t xml:space="preserve"> </w:t>
      </w:r>
      <w:r w:rsidR="000F0E5A">
        <w:rPr>
          <w:rFonts w:ascii="Verdana" w:hAnsi="Verdana"/>
        </w:rPr>
        <w:t>15</w:t>
      </w:r>
      <w:r w:rsidR="00E23EE3">
        <w:rPr>
          <w:rFonts w:ascii="Verdana" w:hAnsi="Verdana"/>
        </w:rPr>
        <w:t xml:space="preserve"> y 17</w:t>
      </w:r>
      <w:r w:rsidRPr="00877B3A">
        <w:rPr>
          <w:rFonts w:ascii="Verdana" w:hAnsi="Verdana"/>
        </w:rPr>
        <w:t xml:space="preserve">). </w:t>
      </w:r>
      <w:r w:rsidR="00B43377" w:rsidRPr="00877B3A">
        <w:rPr>
          <w:rFonts w:ascii="Verdana" w:hAnsi="Verdana"/>
        </w:rPr>
        <w:t xml:space="preserve">La Corte recuerda a Ecuador que debe continuar implementando las acciones necesarias para cumplir, a la mayor brevedad posible, con </w:t>
      </w:r>
      <w:r w:rsidRPr="00877B3A">
        <w:rPr>
          <w:rFonts w:ascii="Verdana" w:hAnsi="Verdana"/>
        </w:rPr>
        <w:t>el pago de los referidos intereses moratorios</w:t>
      </w:r>
      <w:r w:rsidR="00B43377" w:rsidRPr="00877B3A">
        <w:rPr>
          <w:rFonts w:ascii="Verdana" w:hAnsi="Verdana"/>
        </w:rPr>
        <w:t xml:space="preserve">, y remitir información actualizada </w:t>
      </w:r>
      <w:r w:rsidRPr="00877B3A">
        <w:rPr>
          <w:rFonts w:ascii="Verdana" w:hAnsi="Verdana"/>
        </w:rPr>
        <w:t>y los comprobantes que acrediten el cumplimiento del referido aspecto de esta reparación que se encuentra pendiente</w:t>
      </w:r>
      <w:r w:rsidR="00B43377" w:rsidRPr="00877B3A">
        <w:rPr>
          <w:rFonts w:ascii="Verdana" w:hAnsi="Verdana"/>
        </w:rPr>
        <w:t xml:space="preserve"> de cumplimiento</w:t>
      </w:r>
      <w:r w:rsidRPr="00877B3A">
        <w:rPr>
          <w:rFonts w:ascii="Verdana" w:hAnsi="Verdana"/>
        </w:rPr>
        <w:t>.</w:t>
      </w:r>
      <w:r w:rsidR="00B54C19" w:rsidRPr="00877B3A">
        <w:rPr>
          <w:rFonts w:ascii="Verdana" w:hAnsi="Verdana"/>
        </w:rPr>
        <w:t xml:space="preserve"> </w:t>
      </w:r>
    </w:p>
    <w:p w:rsidR="000F0E5A" w:rsidRDefault="000F0E5A" w:rsidP="003730E7">
      <w:pPr>
        <w:widowControl/>
        <w:autoSpaceDE w:val="0"/>
        <w:autoSpaceDN w:val="0"/>
        <w:adjustRightInd w:val="0"/>
        <w:spacing w:before="120" w:after="120"/>
        <w:jc w:val="both"/>
        <w:rPr>
          <w:rFonts w:ascii="Verdana" w:hAnsi="Verdana"/>
          <w:b/>
        </w:rPr>
      </w:pPr>
    </w:p>
    <w:p w:rsidR="007F0C22" w:rsidRPr="00877B3A" w:rsidRDefault="007F0C22" w:rsidP="003730E7">
      <w:pPr>
        <w:widowControl/>
        <w:autoSpaceDE w:val="0"/>
        <w:autoSpaceDN w:val="0"/>
        <w:adjustRightInd w:val="0"/>
        <w:spacing w:before="120" w:after="120"/>
        <w:jc w:val="both"/>
        <w:rPr>
          <w:rFonts w:ascii="Verdana" w:hAnsi="Verdana"/>
          <w:b/>
        </w:rPr>
      </w:pPr>
      <w:r w:rsidRPr="00877B3A">
        <w:rPr>
          <w:rFonts w:ascii="Verdana" w:hAnsi="Verdana"/>
          <w:b/>
        </w:rPr>
        <w:t xml:space="preserve">POR TANTO: </w:t>
      </w:r>
    </w:p>
    <w:p w:rsidR="007F0C22" w:rsidRPr="00877B3A" w:rsidRDefault="007F0C22" w:rsidP="003730E7">
      <w:pPr>
        <w:widowControl/>
        <w:autoSpaceDE w:val="0"/>
        <w:autoSpaceDN w:val="0"/>
        <w:adjustRightInd w:val="0"/>
        <w:spacing w:before="120" w:after="120"/>
        <w:jc w:val="both"/>
        <w:rPr>
          <w:rFonts w:ascii="Verdana" w:hAnsi="Verdana"/>
        </w:rPr>
      </w:pPr>
      <w:r w:rsidRPr="00877B3A">
        <w:rPr>
          <w:rFonts w:ascii="Verdana" w:hAnsi="Verdana"/>
          <w:b/>
        </w:rPr>
        <w:t>LA CORTE INTERAMERICANA DE DERECHOS HUMANOS,</w:t>
      </w:r>
      <w:r w:rsidRPr="00877B3A">
        <w:rPr>
          <w:rFonts w:ascii="Verdana" w:hAnsi="Verdana"/>
        </w:rPr>
        <w:t xml:space="preserve"> </w:t>
      </w:r>
    </w:p>
    <w:p w:rsidR="000B3D22" w:rsidRDefault="002F3577" w:rsidP="003730E7">
      <w:pPr>
        <w:widowControl/>
        <w:autoSpaceDE w:val="0"/>
        <w:autoSpaceDN w:val="0"/>
        <w:adjustRightInd w:val="0"/>
        <w:spacing w:before="120" w:after="120"/>
        <w:jc w:val="both"/>
        <w:rPr>
          <w:rFonts w:ascii="Verdana" w:hAnsi="Verdana"/>
        </w:rPr>
      </w:pPr>
      <w:r w:rsidRPr="00877B3A">
        <w:rPr>
          <w:rFonts w:ascii="Verdana" w:hAnsi="Verdana"/>
        </w:rPr>
        <w:t>E</w:t>
      </w:r>
      <w:r w:rsidR="00C056AD" w:rsidRPr="00877B3A">
        <w:rPr>
          <w:rFonts w:ascii="Verdana" w:hAnsi="Verdana"/>
        </w:rPr>
        <w:t>n el ejercicio de sus atribuciones de supervisión del cumplimiento de sus decisiones, de conformidad con los artículos 33, 62.1, 62.3, 65, 67 y 68.1 de la Convención Americana sobre Derechos Humanos, 24, 25 y 30 del Estatuto,</w:t>
      </w:r>
      <w:r w:rsidR="00C056AD" w:rsidRPr="00C056AD">
        <w:rPr>
          <w:rFonts w:ascii="Verdana" w:hAnsi="Verdana"/>
        </w:rPr>
        <w:t xml:space="preserve"> y 31.2 y 69 de su Reglamento, </w:t>
      </w:r>
    </w:p>
    <w:p w:rsidR="00E23EE3" w:rsidRDefault="00E23EE3" w:rsidP="003730E7">
      <w:pPr>
        <w:widowControl/>
        <w:autoSpaceDE w:val="0"/>
        <w:autoSpaceDN w:val="0"/>
        <w:adjustRightInd w:val="0"/>
        <w:spacing w:before="120" w:after="120"/>
        <w:jc w:val="both"/>
        <w:rPr>
          <w:rFonts w:ascii="Verdana" w:hAnsi="Verdana"/>
          <w:b/>
        </w:rPr>
      </w:pPr>
    </w:p>
    <w:p w:rsidR="007F0C22" w:rsidRDefault="007F0C22" w:rsidP="003730E7">
      <w:pPr>
        <w:widowControl/>
        <w:autoSpaceDE w:val="0"/>
        <w:autoSpaceDN w:val="0"/>
        <w:adjustRightInd w:val="0"/>
        <w:spacing w:before="120" w:after="120"/>
        <w:jc w:val="both"/>
        <w:rPr>
          <w:rFonts w:ascii="Verdana" w:hAnsi="Verdana"/>
          <w:b/>
        </w:rPr>
      </w:pPr>
      <w:r>
        <w:rPr>
          <w:rFonts w:ascii="Verdana" w:hAnsi="Verdana"/>
          <w:b/>
        </w:rPr>
        <w:t>RESUELVE:</w:t>
      </w:r>
    </w:p>
    <w:p w:rsidR="00C61DD5" w:rsidRDefault="00C61DD5" w:rsidP="00C056AD">
      <w:pPr>
        <w:pStyle w:val="Prrafodelista"/>
        <w:widowControl/>
        <w:numPr>
          <w:ilvl w:val="0"/>
          <w:numId w:val="17"/>
        </w:numPr>
        <w:autoSpaceDE w:val="0"/>
        <w:autoSpaceDN w:val="0"/>
        <w:adjustRightInd w:val="0"/>
        <w:spacing w:before="120" w:after="120"/>
        <w:ind w:left="0" w:firstLine="0"/>
        <w:contextualSpacing w:val="0"/>
        <w:jc w:val="both"/>
        <w:rPr>
          <w:rFonts w:ascii="Verdana" w:hAnsi="Verdana"/>
        </w:rPr>
      </w:pPr>
      <w:r w:rsidRPr="00C61DD5">
        <w:rPr>
          <w:rFonts w:ascii="Verdana" w:hAnsi="Verdana"/>
        </w:rPr>
        <w:t xml:space="preserve">Declarar, de conformidad con lo señalado en los Considerandos </w:t>
      </w:r>
      <w:r w:rsidR="0019477E">
        <w:rPr>
          <w:rFonts w:ascii="Verdana" w:hAnsi="Verdana"/>
        </w:rPr>
        <w:t>9 y 11</w:t>
      </w:r>
      <w:r w:rsidRPr="00C61DD5">
        <w:rPr>
          <w:rFonts w:ascii="Verdana" w:hAnsi="Verdana"/>
        </w:rPr>
        <w:t xml:space="preserve"> de la presente Resolución, que el Estado ha dado cumplimiento total a las siguientes reparaciones:</w:t>
      </w:r>
    </w:p>
    <w:p w:rsidR="00C61DD5" w:rsidRPr="00C61DD5" w:rsidRDefault="00C056AD" w:rsidP="00C056AD">
      <w:pPr>
        <w:pStyle w:val="Prrafodelista"/>
        <w:widowControl/>
        <w:numPr>
          <w:ilvl w:val="0"/>
          <w:numId w:val="11"/>
        </w:numPr>
        <w:autoSpaceDE w:val="0"/>
        <w:autoSpaceDN w:val="0"/>
        <w:adjustRightInd w:val="0"/>
        <w:spacing w:before="120" w:after="120"/>
        <w:contextualSpacing w:val="0"/>
        <w:jc w:val="both"/>
        <w:rPr>
          <w:rFonts w:ascii="Verdana" w:hAnsi="Verdana"/>
        </w:rPr>
      </w:pPr>
      <w:r w:rsidRPr="00C056AD">
        <w:rPr>
          <w:rFonts w:ascii="Verdana" w:hAnsi="Verdana"/>
          <w:color w:val="00B050"/>
          <w:sz w:val="16"/>
          <w:szCs w:val="16"/>
        </w:rPr>
        <w:t xml:space="preserve"> </w:t>
      </w:r>
      <w:r w:rsidR="000963B2">
        <w:rPr>
          <w:rFonts w:ascii="Verdana" w:hAnsi="Verdana"/>
        </w:rPr>
        <w:t>r</w:t>
      </w:r>
      <w:r w:rsidR="00C61DD5" w:rsidRPr="00C61DD5">
        <w:rPr>
          <w:rFonts w:ascii="Verdana" w:hAnsi="Verdana"/>
        </w:rPr>
        <w:t>ealizar las publicaciones</w:t>
      </w:r>
      <w:r w:rsidR="00C61DD5">
        <w:rPr>
          <w:rFonts w:ascii="Verdana" w:hAnsi="Verdana"/>
        </w:rPr>
        <w:t xml:space="preserve"> de la Sentencia dispuestas en</w:t>
      </w:r>
      <w:r w:rsidR="00C61DD5" w:rsidRPr="00C61DD5">
        <w:rPr>
          <w:rFonts w:ascii="Verdana" w:hAnsi="Verdana"/>
        </w:rPr>
        <w:t xml:space="preserve"> el párr</w:t>
      </w:r>
      <w:r w:rsidR="00C61DD5">
        <w:rPr>
          <w:rFonts w:ascii="Verdana" w:hAnsi="Verdana"/>
        </w:rPr>
        <w:t xml:space="preserve">afo 208 de la misma </w:t>
      </w:r>
      <w:r w:rsidR="00C61DD5" w:rsidRPr="000963B2">
        <w:rPr>
          <w:rFonts w:ascii="Verdana" w:hAnsi="Verdana"/>
          <w:i/>
        </w:rPr>
        <w:t>(punto dispositivo noveno</w:t>
      </w:r>
      <w:r w:rsidR="00E23EE3">
        <w:rPr>
          <w:rFonts w:ascii="Verdana" w:hAnsi="Verdana"/>
          <w:i/>
        </w:rPr>
        <w:t xml:space="preserve"> de la Sentencia</w:t>
      </w:r>
      <w:r w:rsidR="00C61DD5" w:rsidRPr="000963B2">
        <w:rPr>
          <w:rFonts w:ascii="Verdana" w:hAnsi="Verdana"/>
          <w:i/>
        </w:rPr>
        <w:t>)</w:t>
      </w:r>
      <w:r w:rsidR="00E76106">
        <w:rPr>
          <w:rFonts w:ascii="Verdana" w:hAnsi="Verdana"/>
        </w:rPr>
        <w:t>;</w:t>
      </w:r>
    </w:p>
    <w:p w:rsidR="001C5228" w:rsidRPr="00265A1D" w:rsidRDefault="000963B2" w:rsidP="001C5228">
      <w:pPr>
        <w:pStyle w:val="Prrafodelista"/>
        <w:widowControl/>
        <w:numPr>
          <w:ilvl w:val="0"/>
          <w:numId w:val="11"/>
        </w:numPr>
        <w:autoSpaceDE w:val="0"/>
        <w:autoSpaceDN w:val="0"/>
        <w:adjustRightInd w:val="0"/>
        <w:spacing w:before="120" w:after="120"/>
        <w:contextualSpacing w:val="0"/>
        <w:jc w:val="both"/>
        <w:rPr>
          <w:rFonts w:ascii="Verdana" w:hAnsi="Verdana"/>
        </w:rPr>
      </w:pPr>
      <w:r>
        <w:rPr>
          <w:rFonts w:ascii="Verdana" w:hAnsi="Verdana"/>
        </w:rPr>
        <w:t>p</w:t>
      </w:r>
      <w:r w:rsidRPr="000963B2">
        <w:rPr>
          <w:rFonts w:ascii="Verdana" w:hAnsi="Verdana"/>
        </w:rPr>
        <w:t>agar a las 27 víctimas una indemnización, como compensación por la imposibilidad de retornar a sus funciones como magistrados de la Corte Suprema</w:t>
      </w:r>
      <w:r w:rsidR="00E23EE3">
        <w:rPr>
          <w:rFonts w:ascii="Verdana" w:hAnsi="Verdana"/>
        </w:rPr>
        <w:t xml:space="preserve"> de Justicia</w:t>
      </w:r>
      <w:r w:rsidR="001C5228" w:rsidRPr="0042644B">
        <w:rPr>
          <w:rFonts w:ascii="Verdana" w:hAnsi="Verdana"/>
        </w:rPr>
        <w:t xml:space="preserve"> </w:t>
      </w:r>
      <w:r>
        <w:rPr>
          <w:rFonts w:ascii="Verdana" w:hAnsi="Verdana"/>
          <w:i/>
        </w:rPr>
        <w:t>(punto dispositivo décimo</w:t>
      </w:r>
      <w:r w:rsidR="00E23EE3">
        <w:rPr>
          <w:rFonts w:ascii="Verdana" w:hAnsi="Verdana"/>
          <w:i/>
        </w:rPr>
        <w:t xml:space="preserve"> de la Sentencia</w:t>
      </w:r>
      <w:r w:rsidR="001C5228" w:rsidRPr="0042644B">
        <w:rPr>
          <w:rFonts w:ascii="Verdana" w:hAnsi="Verdana"/>
          <w:i/>
        </w:rPr>
        <w:t>)</w:t>
      </w:r>
      <w:r w:rsidR="00E76106">
        <w:rPr>
          <w:rFonts w:ascii="Verdana" w:hAnsi="Verdana"/>
          <w:i/>
        </w:rPr>
        <w:t>;</w:t>
      </w:r>
    </w:p>
    <w:p w:rsidR="00B4199B" w:rsidRDefault="00315383" w:rsidP="001C5228">
      <w:pPr>
        <w:pStyle w:val="Prrafodelista"/>
        <w:widowControl/>
        <w:numPr>
          <w:ilvl w:val="0"/>
          <w:numId w:val="11"/>
        </w:numPr>
        <w:autoSpaceDE w:val="0"/>
        <w:autoSpaceDN w:val="0"/>
        <w:adjustRightInd w:val="0"/>
        <w:spacing w:before="120" w:after="120"/>
        <w:contextualSpacing w:val="0"/>
        <w:jc w:val="both"/>
        <w:rPr>
          <w:rFonts w:ascii="Verdana" w:hAnsi="Verdana"/>
        </w:rPr>
      </w:pPr>
      <w:r>
        <w:rPr>
          <w:rFonts w:ascii="Verdana" w:hAnsi="Verdana"/>
        </w:rPr>
        <w:lastRenderedPageBreak/>
        <w:t>pagar a las 27 v</w:t>
      </w:r>
      <w:r w:rsidR="00E76106">
        <w:rPr>
          <w:rFonts w:ascii="Verdana" w:hAnsi="Verdana"/>
        </w:rPr>
        <w:t>íctimas la</w:t>
      </w:r>
      <w:r>
        <w:rPr>
          <w:rFonts w:ascii="Verdana" w:hAnsi="Verdana"/>
        </w:rPr>
        <w:t xml:space="preserve"> cantidad fijada en </w:t>
      </w:r>
      <w:r w:rsidR="00E76106">
        <w:rPr>
          <w:rFonts w:ascii="Verdana" w:hAnsi="Verdana"/>
        </w:rPr>
        <w:t xml:space="preserve">el párrafo 261 de la Sentencia por concepto de indemnización del daño inmaterial </w:t>
      </w:r>
      <w:r w:rsidR="00E76106" w:rsidRPr="005F4925">
        <w:rPr>
          <w:rFonts w:ascii="Verdana" w:hAnsi="Verdana"/>
          <w:i/>
        </w:rPr>
        <w:t>(punto dispositivo décimo primero de la Sentencia)</w:t>
      </w:r>
      <w:r w:rsidR="00E76106">
        <w:rPr>
          <w:rFonts w:ascii="Verdana" w:hAnsi="Verdana"/>
          <w:i/>
        </w:rPr>
        <w:t>, y</w:t>
      </w:r>
    </w:p>
    <w:p w:rsidR="00315383" w:rsidRPr="008966E0" w:rsidRDefault="00315383" w:rsidP="001C5228">
      <w:pPr>
        <w:pStyle w:val="Prrafodelista"/>
        <w:widowControl/>
        <w:numPr>
          <w:ilvl w:val="0"/>
          <w:numId w:val="11"/>
        </w:numPr>
        <w:autoSpaceDE w:val="0"/>
        <w:autoSpaceDN w:val="0"/>
        <w:adjustRightInd w:val="0"/>
        <w:spacing w:before="120" w:after="120"/>
        <w:contextualSpacing w:val="0"/>
        <w:jc w:val="both"/>
        <w:rPr>
          <w:rFonts w:ascii="Verdana" w:hAnsi="Verdana"/>
        </w:rPr>
      </w:pPr>
      <w:r>
        <w:rPr>
          <w:rFonts w:ascii="Verdana" w:hAnsi="Verdana"/>
        </w:rPr>
        <w:t xml:space="preserve">pagar a los representantes de las víctimas la cantidad fijada en el párrafo </w:t>
      </w:r>
      <w:r w:rsidR="00E76106">
        <w:rPr>
          <w:rFonts w:ascii="Verdana" w:hAnsi="Verdana"/>
        </w:rPr>
        <w:t>276</w:t>
      </w:r>
      <w:r>
        <w:rPr>
          <w:rFonts w:ascii="Verdana" w:hAnsi="Verdana"/>
        </w:rPr>
        <w:t xml:space="preserve"> de la Sentencia por concepto de reintegro de costas y gastos </w:t>
      </w:r>
      <w:r w:rsidRPr="00265A1D">
        <w:rPr>
          <w:rFonts w:ascii="Verdana" w:hAnsi="Verdana"/>
          <w:i/>
        </w:rPr>
        <w:t xml:space="preserve">(punto dispositivo </w:t>
      </w:r>
      <w:r w:rsidR="00E76106" w:rsidRPr="00265A1D">
        <w:rPr>
          <w:rFonts w:ascii="Verdana" w:hAnsi="Verdana"/>
          <w:i/>
        </w:rPr>
        <w:t>décimo primero de la Sentencia)</w:t>
      </w:r>
      <w:r w:rsidR="00E76106">
        <w:rPr>
          <w:rFonts w:ascii="Verdana" w:hAnsi="Verdana"/>
        </w:rPr>
        <w:t>.</w:t>
      </w:r>
    </w:p>
    <w:p w:rsidR="00C61947" w:rsidRDefault="00C61947" w:rsidP="008966E0">
      <w:pPr>
        <w:pStyle w:val="Prrafodelista"/>
        <w:widowControl/>
        <w:autoSpaceDE w:val="0"/>
        <w:autoSpaceDN w:val="0"/>
        <w:adjustRightInd w:val="0"/>
        <w:spacing w:before="120" w:after="120"/>
        <w:contextualSpacing w:val="0"/>
        <w:jc w:val="both"/>
        <w:rPr>
          <w:rFonts w:ascii="Verdana" w:hAnsi="Verdana"/>
        </w:rPr>
      </w:pPr>
    </w:p>
    <w:p w:rsidR="00C056AD" w:rsidRPr="00877B3A" w:rsidRDefault="00C056AD" w:rsidP="00C0454D">
      <w:pPr>
        <w:pStyle w:val="Prrafodelista"/>
        <w:widowControl/>
        <w:numPr>
          <w:ilvl w:val="0"/>
          <w:numId w:val="17"/>
        </w:numPr>
        <w:autoSpaceDE w:val="0"/>
        <w:autoSpaceDN w:val="0"/>
        <w:adjustRightInd w:val="0"/>
        <w:spacing w:before="120" w:after="120"/>
        <w:ind w:left="0" w:firstLine="0"/>
        <w:contextualSpacing w:val="0"/>
        <w:jc w:val="both"/>
        <w:rPr>
          <w:rFonts w:ascii="Verdana" w:hAnsi="Verdana"/>
        </w:rPr>
      </w:pPr>
      <w:r>
        <w:rPr>
          <w:rFonts w:ascii="Verdana" w:hAnsi="Verdana"/>
        </w:rPr>
        <w:t>Declarar, de conformidad con l</w:t>
      </w:r>
      <w:r w:rsidR="0019477E">
        <w:rPr>
          <w:rFonts w:ascii="Verdana" w:hAnsi="Verdana"/>
        </w:rPr>
        <w:t>o señalado en los Considerando</w:t>
      </w:r>
      <w:r w:rsidR="00506241">
        <w:rPr>
          <w:rFonts w:ascii="Verdana" w:hAnsi="Verdana"/>
        </w:rPr>
        <w:t xml:space="preserve">s </w:t>
      </w:r>
      <w:r w:rsidR="00506241" w:rsidRPr="00460508">
        <w:rPr>
          <w:rFonts w:ascii="Verdana" w:hAnsi="Verdana"/>
        </w:rPr>
        <w:t>15,</w:t>
      </w:r>
      <w:r w:rsidR="00A10C9E" w:rsidRPr="00460508">
        <w:rPr>
          <w:rFonts w:ascii="Verdana" w:hAnsi="Verdana"/>
        </w:rPr>
        <w:t xml:space="preserve"> 17</w:t>
      </w:r>
      <w:r w:rsidR="00460508" w:rsidRPr="00460508">
        <w:rPr>
          <w:rFonts w:ascii="Verdana" w:hAnsi="Verdana"/>
        </w:rPr>
        <w:t xml:space="preserve"> </w:t>
      </w:r>
      <w:r w:rsidR="00506241" w:rsidRPr="00460508">
        <w:rPr>
          <w:rFonts w:ascii="Verdana" w:hAnsi="Verdana"/>
        </w:rPr>
        <w:t>y</w:t>
      </w:r>
      <w:r w:rsidR="0019477E" w:rsidRPr="00460508">
        <w:rPr>
          <w:rFonts w:ascii="Verdana" w:hAnsi="Verdana"/>
        </w:rPr>
        <w:t xml:space="preserve"> </w:t>
      </w:r>
      <w:r w:rsidR="00A10C9E" w:rsidRPr="00460508">
        <w:rPr>
          <w:rFonts w:ascii="Verdana" w:hAnsi="Verdana"/>
        </w:rPr>
        <w:t>26</w:t>
      </w:r>
      <w:r w:rsidR="00A10C9E">
        <w:rPr>
          <w:rFonts w:ascii="Verdana" w:hAnsi="Verdana"/>
        </w:rPr>
        <w:t xml:space="preserve"> </w:t>
      </w:r>
      <w:r>
        <w:rPr>
          <w:rFonts w:ascii="Verdana" w:hAnsi="Verdana"/>
        </w:rPr>
        <w:t>de la presente Resolución, que el Estado ha dado cumplimento parcial a la medida de reparación rela</w:t>
      </w:r>
      <w:r w:rsidRPr="00877B3A">
        <w:rPr>
          <w:rFonts w:ascii="Verdana" w:hAnsi="Verdana"/>
        </w:rPr>
        <w:t>tiva a pagar las cantidades fijadas en los párrafos 248 a 252 de la Sentencia, por concepto de indemnizaci</w:t>
      </w:r>
      <w:r w:rsidR="00E76106">
        <w:rPr>
          <w:rFonts w:ascii="Verdana" w:hAnsi="Verdana"/>
        </w:rPr>
        <w:t>ó</w:t>
      </w:r>
      <w:r w:rsidRPr="00877B3A">
        <w:rPr>
          <w:rFonts w:ascii="Verdana" w:hAnsi="Verdana"/>
        </w:rPr>
        <w:t>n por daño material</w:t>
      </w:r>
      <w:r w:rsidRPr="00877B3A">
        <w:rPr>
          <w:rFonts w:ascii="Verdana" w:hAnsi="Verdana"/>
          <w:i/>
        </w:rPr>
        <w:t>(punto dispositivo décimo primero</w:t>
      </w:r>
      <w:r w:rsidR="00A10C9E">
        <w:rPr>
          <w:rFonts w:ascii="Verdana" w:hAnsi="Verdana"/>
          <w:i/>
        </w:rPr>
        <w:t xml:space="preserve"> de la Sentencia</w:t>
      </w:r>
      <w:r w:rsidRPr="00877B3A">
        <w:rPr>
          <w:rFonts w:ascii="Verdana" w:hAnsi="Verdana"/>
          <w:i/>
        </w:rPr>
        <w:t>)</w:t>
      </w:r>
      <w:r w:rsidR="00877B3A" w:rsidRPr="00877B3A">
        <w:rPr>
          <w:rFonts w:ascii="Verdana" w:hAnsi="Verdana"/>
          <w:i/>
        </w:rPr>
        <w:t xml:space="preserve">, </w:t>
      </w:r>
      <w:r w:rsidR="00877B3A" w:rsidRPr="00877B3A">
        <w:rPr>
          <w:rFonts w:ascii="Verdana" w:hAnsi="Verdana"/>
        </w:rPr>
        <w:t>quedando pendiente el pago a las 27 víctimas o sus derecho habientes de los intereses moratorios adeudados por el pago tardío del tercer tracto de la indemnización por daño material.</w:t>
      </w:r>
    </w:p>
    <w:p w:rsidR="000963B2" w:rsidRDefault="00C056AD" w:rsidP="00C0454D">
      <w:pPr>
        <w:pStyle w:val="Prrafodelista"/>
        <w:widowControl/>
        <w:numPr>
          <w:ilvl w:val="0"/>
          <w:numId w:val="17"/>
        </w:numPr>
        <w:autoSpaceDE w:val="0"/>
        <w:autoSpaceDN w:val="0"/>
        <w:adjustRightInd w:val="0"/>
        <w:spacing w:before="120" w:after="120"/>
        <w:ind w:left="0" w:firstLine="0"/>
        <w:contextualSpacing w:val="0"/>
        <w:jc w:val="both"/>
        <w:rPr>
          <w:rFonts w:ascii="Verdana" w:hAnsi="Verdana"/>
        </w:rPr>
      </w:pPr>
      <w:r w:rsidRPr="00877B3A">
        <w:rPr>
          <w:rFonts w:ascii="Verdana" w:hAnsi="Verdana"/>
        </w:rPr>
        <w:t xml:space="preserve">Mantener abierto el procedimiento de supervisión de cumplimiento de la medida de reparación relativa a pagar las cantidades fijadas en los párrafos 248 a 252 de la Sentencia, por concepto de </w:t>
      </w:r>
      <w:r w:rsidR="00E76106" w:rsidRPr="00877B3A">
        <w:rPr>
          <w:rFonts w:ascii="Verdana" w:hAnsi="Verdana"/>
        </w:rPr>
        <w:t>indemnización</w:t>
      </w:r>
      <w:r w:rsidRPr="00877B3A">
        <w:rPr>
          <w:rFonts w:ascii="Verdana" w:hAnsi="Verdana"/>
        </w:rPr>
        <w:t xml:space="preserve"> por daño material </w:t>
      </w:r>
      <w:r w:rsidRPr="00877B3A">
        <w:rPr>
          <w:rFonts w:ascii="Verdana" w:hAnsi="Verdana"/>
          <w:i/>
        </w:rPr>
        <w:t>(pu</w:t>
      </w:r>
      <w:r w:rsidR="009C29AA" w:rsidRPr="00877B3A">
        <w:rPr>
          <w:rFonts w:ascii="Verdana" w:hAnsi="Verdana"/>
          <w:i/>
        </w:rPr>
        <w:t>nto dispositivo décimo primero</w:t>
      </w:r>
      <w:r w:rsidR="00A10C9E">
        <w:rPr>
          <w:rFonts w:ascii="Verdana" w:hAnsi="Verdana"/>
          <w:i/>
        </w:rPr>
        <w:t xml:space="preserve"> de la Sentencia</w:t>
      </w:r>
      <w:r w:rsidR="009C29AA" w:rsidRPr="00877B3A">
        <w:rPr>
          <w:rFonts w:ascii="Verdana" w:hAnsi="Verdana"/>
          <w:i/>
        </w:rPr>
        <w:t>)</w:t>
      </w:r>
      <w:r w:rsidR="009C29AA" w:rsidRPr="00877B3A">
        <w:rPr>
          <w:rFonts w:ascii="Verdana" w:hAnsi="Verdana"/>
        </w:rPr>
        <w:t xml:space="preserve">, en lo que se refiere al pago de los </w:t>
      </w:r>
      <w:r w:rsidR="00877B3A" w:rsidRPr="00877B3A">
        <w:rPr>
          <w:rFonts w:ascii="Verdana" w:hAnsi="Verdana"/>
        </w:rPr>
        <w:t xml:space="preserve">referidos </w:t>
      </w:r>
      <w:r w:rsidR="009C29AA" w:rsidRPr="00877B3A">
        <w:rPr>
          <w:rFonts w:ascii="Verdana" w:hAnsi="Verdana"/>
        </w:rPr>
        <w:t>intereses moratorios</w:t>
      </w:r>
      <w:r w:rsidR="00877B3A">
        <w:rPr>
          <w:rFonts w:ascii="Verdana" w:hAnsi="Verdana"/>
        </w:rPr>
        <w:t>.</w:t>
      </w:r>
    </w:p>
    <w:p w:rsidR="000963B2" w:rsidRDefault="00C056AD" w:rsidP="00C0454D">
      <w:pPr>
        <w:pStyle w:val="Prrafodelista"/>
        <w:widowControl/>
        <w:numPr>
          <w:ilvl w:val="0"/>
          <w:numId w:val="17"/>
        </w:numPr>
        <w:autoSpaceDE w:val="0"/>
        <w:autoSpaceDN w:val="0"/>
        <w:adjustRightInd w:val="0"/>
        <w:spacing w:before="120" w:after="120"/>
        <w:ind w:left="0" w:firstLine="0"/>
        <w:contextualSpacing w:val="0"/>
        <w:jc w:val="both"/>
        <w:rPr>
          <w:rFonts w:ascii="Verdana" w:hAnsi="Verdana"/>
        </w:rPr>
      </w:pPr>
      <w:r w:rsidRPr="00C0454D">
        <w:rPr>
          <w:rFonts w:ascii="Verdana" w:hAnsi="Verdana"/>
        </w:rPr>
        <w:t>Disponer que el Estado adopte, en definitiva y a la mayor brevedad, las medidas que sean necesarias para dar efec</w:t>
      </w:r>
      <w:r w:rsidR="009C29AA">
        <w:rPr>
          <w:rFonts w:ascii="Verdana" w:hAnsi="Verdana"/>
        </w:rPr>
        <w:t>tivo y pronto cumplimiento al punto</w:t>
      </w:r>
      <w:r w:rsidRPr="00C0454D">
        <w:rPr>
          <w:rFonts w:ascii="Verdana" w:hAnsi="Verdana"/>
        </w:rPr>
        <w:t xml:space="preserve"> pendie</w:t>
      </w:r>
      <w:r w:rsidR="009C29AA">
        <w:rPr>
          <w:rFonts w:ascii="Verdana" w:hAnsi="Verdana"/>
        </w:rPr>
        <w:t>nte</w:t>
      </w:r>
      <w:r w:rsidRPr="00C056AD">
        <w:rPr>
          <w:rFonts w:ascii="Verdana" w:hAnsi="Verdana"/>
        </w:rPr>
        <w:t xml:space="preserve"> de la Sentencia de excepci</w:t>
      </w:r>
      <w:r>
        <w:rPr>
          <w:rFonts w:ascii="Verdana" w:hAnsi="Verdana"/>
        </w:rPr>
        <w:t>ón</w:t>
      </w:r>
      <w:r w:rsidRPr="00C0454D">
        <w:rPr>
          <w:rFonts w:ascii="Verdana" w:hAnsi="Verdana"/>
        </w:rPr>
        <w:t xml:space="preserve"> preliminar, fondo, reparaciones y costas emitida en el presente caso, de acuerdo con lo considerado en la presente Resolución, y con lo estipulado en el artículo 68.1 de la Convención Americana sobre Derechos Humanos.</w:t>
      </w:r>
    </w:p>
    <w:p w:rsidR="00C056AD" w:rsidRDefault="00C056AD" w:rsidP="00C0454D">
      <w:pPr>
        <w:pStyle w:val="Prrafodelista"/>
        <w:widowControl/>
        <w:numPr>
          <w:ilvl w:val="0"/>
          <w:numId w:val="17"/>
        </w:numPr>
        <w:autoSpaceDE w:val="0"/>
        <w:autoSpaceDN w:val="0"/>
        <w:adjustRightInd w:val="0"/>
        <w:spacing w:before="120" w:after="120"/>
        <w:ind w:left="0" w:firstLine="0"/>
        <w:contextualSpacing w:val="0"/>
        <w:jc w:val="both"/>
        <w:rPr>
          <w:rFonts w:ascii="Verdana" w:hAnsi="Verdana"/>
        </w:rPr>
      </w:pPr>
      <w:r w:rsidRPr="00460508">
        <w:rPr>
          <w:rFonts w:ascii="Verdana" w:hAnsi="Verdana"/>
        </w:rPr>
        <w:t xml:space="preserve">Disponer que el Estado presente a la Corte Interamericana de Derechos Humanos, a más tardar el </w:t>
      </w:r>
      <w:r w:rsidR="00A15E93" w:rsidRPr="00460508">
        <w:rPr>
          <w:rFonts w:ascii="Verdana" w:hAnsi="Verdana"/>
        </w:rPr>
        <w:t xml:space="preserve">10 </w:t>
      </w:r>
      <w:r w:rsidRPr="00460508">
        <w:rPr>
          <w:rFonts w:ascii="Verdana" w:hAnsi="Verdana"/>
        </w:rPr>
        <w:t xml:space="preserve">de </w:t>
      </w:r>
      <w:r w:rsidR="00A15E93" w:rsidRPr="00460508">
        <w:rPr>
          <w:rFonts w:ascii="Verdana" w:hAnsi="Verdana"/>
        </w:rPr>
        <w:t xml:space="preserve">marzo </w:t>
      </w:r>
      <w:r w:rsidRPr="00460508">
        <w:rPr>
          <w:rFonts w:ascii="Verdana" w:hAnsi="Verdana"/>
        </w:rPr>
        <w:t>de 201</w:t>
      </w:r>
      <w:r w:rsidR="00CF1820" w:rsidRPr="00460508">
        <w:rPr>
          <w:rFonts w:ascii="Verdana" w:hAnsi="Verdana"/>
        </w:rPr>
        <w:t>7</w:t>
      </w:r>
      <w:r w:rsidRPr="00460508">
        <w:rPr>
          <w:rFonts w:ascii="Verdana" w:hAnsi="Verdana"/>
        </w:rPr>
        <w:t>, un</w:t>
      </w:r>
      <w:r w:rsidRPr="00C0454D">
        <w:rPr>
          <w:rFonts w:ascii="Verdana" w:hAnsi="Verdana"/>
        </w:rPr>
        <w:t xml:space="preserve"> informe </w:t>
      </w:r>
      <w:r w:rsidR="00877B3A">
        <w:rPr>
          <w:rFonts w:ascii="Verdana" w:hAnsi="Verdana"/>
        </w:rPr>
        <w:t>sobre el cumplimiento de</w:t>
      </w:r>
      <w:r w:rsidRPr="00C0454D">
        <w:rPr>
          <w:rFonts w:ascii="Verdana" w:hAnsi="Verdana"/>
        </w:rPr>
        <w:t xml:space="preserve"> la reparación ordenada </w:t>
      </w:r>
      <w:r w:rsidR="00877B3A">
        <w:rPr>
          <w:rFonts w:ascii="Verdana" w:hAnsi="Verdana"/>
        </w:rPr>
        <w:t>por esta Corte que se encuentra</w:t>
      </w:r>
      <w:r w:rsidR="00F67910">
        <w:rPr>
          <w:rFonts w:ascii="Verdana" w:hAnsi="Verdana"/>
        </w:rPr>
        <w:t xml:space="preserve"> parcialmente</w:t>
      </w:r>
      <w:r w:rsidRPr="00C0454D">
        <w:rPr>
          <w:rFonts w:ascii="Verdana" w:hAnsi="Verdana"/>
        </w:rPr>
        <w:t xml:space="preserve"> pendiente</w:t>
      </w:r>
      <w:r w:rsidR="00F67910">
        <w:rPr>
          <w:rFonts w:ascii="Verdana" w:hAnsi="Verdana"/>
        </w:rPr>
        <w:t xml:space="preserve"> de cumplimiento</w:t>
      </w:r>
      <w:r w:rsidRPr="00C0454D">
        <w:rPr>
          <w:rFonts w:ascii="Verdana" w:hAnsi="Verdana"/>
        </w:rPr>
        <w:t xml:space="preserve">, de conformidad con </w:t>
      </w:r>
      <w:r w:rsidR="0019477E">
        <w:rPr>
          <w:rFonts w:ascii="Verdana" w:hAnsi="Verdana"/>
        </w:rPr>
        <w:t>los</w:t>
      </w:r>
      <w:r w:rsidRPr="00C0454D">
        <w:rPr>
          <w:rFonts w:ascii="Verdana" w:hAnsi="Verdana"/>
        </w:rPr>
        <w:t xml:space="preserve"> Considerandos </w:t>
      </w:r>
      <w:r w:rsidR="0019477E">
        <w:rPr>
          <w:rFonts w:ascii="Verdana" w:hAnsi="Verdana"/>
        </w:rPr>
        <w:t xml:space="preserve">15 y </w:t>
      </w:r>
      <w:r w:rsidR="00A15E93">
        <w:rPr>
          <w:rFonts w:ascii="Verdana" w:hAnsi="Verdana"/>
        </w:rPr>
        <w:t>26</w:t>
      </w:r>
      <w:r w:rsidRPr="00C0454D">
        <w:rPr>
          <w:rFonts w:ascii="Verdana" w:hAnsi="Verdana"/>
        </w:rPr>
        <w:t xml:space="preserve">, así como con </w:t>
      </w:r>
      <w:r w:rsidR="00A15E93">
        <w:rPr>
          <w:rFonts w:ascii="Verdana" w:hAnsi="Verdana"/>
        </w:rPr>
        <w:t>los</w:t>
      </w:r>
      <w:r w:rsidR="00A15E93" w:rsidRPr="00C0454D">
        <w:rPr>
          <w:rFonts w:ascii="Verdana" w:hAnsi="Verdana"/>
        </w:rPr>
        <w:t xml:space="preserve"> </w:t>
      </w:r>
      <w:r w:rsidRPr="00C0454D">
        <w:rPr>
          <w:rFonts w:ascii="Verdana" w:hAnsi="Verdana"/>
        </w:rPr>
        <w:t>puntos resolutivo</w:t>
      </w:r>
      <w:r w:rsidR="00F67910">
        <w:rPr>
          <w:rFonts w:ascii="Verdana" w:hAnsi="Verdana"/>
        </w:rPr>
        <w:t>s</w:t>
      </w:r>
      <w:r w:rsidRPr="00C0454D">
        <w:rPr>
          <w:rFonts w:ascii="Verdana" w:hAnsi="Verdana"/>
        </w:rPr>
        <w:t xml:space="preserve"> segundo</w:t>
      </w:r>
      <w:r w:rsidR="00F67910">
        <w:rPr>
          <w:rFonts w:ascii="Verdana" w:hAnsi="Verdana"/>
        </w:rPr>
        <w:t xml:space="preserve"> y tercero</w:t>
      </w:r>
      <w:r w:rsidRPr="00C0454D">
        <w:rPr>
          <w:rFonts w:ascii="Verdana" w:hAnsi="Verdana"/>
        </w:rPr>
        <w:t xml:space="preserve"> de esta Resolución.</w:t>
      </w:r>
    </w:p>
    <w:p w:rsidR="00CF1820" w:rsidRDefault="00C056AD" w:rsidP="00CF1820">
      <w:pPr>
        <w:pStyle w:val="Prrafodelista"/>
        <w:widowControl/>
        <w:numPr>
          <w:ilvl w:val="0"/>
          <w:numId w:val="17"/>
        </w:numPr>
        <w:autoSpaceDE w:val="0"/>
        <w:autoSpaceDN w:val="0"/>
        <w:adjustRightInd w:val="0"/>
        <w:spacing w:before="120" w:after="120"/>
        <w:ind w:left="0" w:firstLine="0"/>
        <w:contextualSpacing w:val="0"/>
        <w:jc w:val="both"/>
        <w:rPr>
          <w:rFonts w:ascii="Verdana" w:hAnsi="Verdana"/>
        </w:rPr>
      </w:pPr>
      <w:r w:rsidRPr="00C0454D">
        <w:rPr>
          <w:rFonts w:ascii="Verdana" w:hAnsi="Verdana"/>
        </w:rPr>
        <w:t>Disponer que los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rsidR="00330B68" w:rsidRDefault="000963B2" w:rsidP="00CF1820">
      <w:pPr>
        <w:pStyle w:val="Prrafodelista"/>
        <w:widowControl/>
        <w:numPr>
          <w:ilvl w:val="0"/>
          <w:numId w:val="17"/>
        </w:numPr>
        <w:autoSpaceDE w:val="0"/>
        <w:autoSpaceDN w:val="0"/>
        <w:adjustRightInd w:val="0"/>
        <w:spacing w:before="120" w:after="120"/>
        <w:ind w:left="0" w:firstLine="0"/>
        <w:contextualSpacing w:val="0"/>
        <w:jc w:val="both"/>
        <w:rPr>
          <w:rFonts w:ascii="Verdana" w:hAnsi="Verdana"/>
        </w:rPr>
      </w:pPr>
      <w:r w:rsidRPr="00CF1820">
        <w:rPr>
          <w:rFonts w:ascii="Verdana" w:hAnsi="Verdana"/>
        </w:rPr>
        <w:t>Disponer que la Secretaría de la Corte notifique la presente Resolución al Estado, a</w:t>
      </w:r>
      <w:r w:rsidR="00F67910">
        <w:rPr>
          <w:rFonts w:ascii="Verdana" w:hAnsi="Verdana"/>
        </w:rPr>
        <w:t xml:space="preserve"> </w:t>
      </w:r>
      <w:r w:rsidRPr="00CF1820">
        <w:rPr>
          <w:rFonts w:ascii="Verdana" w:hAnsi="Verdana"/>
        </w:rPr>
        <w:t>l</w:t>
      </w:r>
      <w:r w:rsidR="00F67910">
        <w:rPr>
          <w:rFonts w:ascii="Verdana" w:hAnsi="Verdana"/>
        </w:rPr>
        <w:t>os</w:t>
      </w:r>
      <w:r w:rsidRPr="00CF1820">
        <w:rPr>
          <w:rFonts w:ascii="Verdana" w:hAnsi="Verdana"/>
        </w:rPr>
        <w:t xml:space="preserve"> representante</w:t>
      </w:r>
      <w:r w:rsidR="00F67910">
        <w:rPr>
          <w:rFonts w:ascii="Verdana" w:hAnsi="Verdana"/>
        </w:rPr>
        <w:t>s</w:t>
      </w:r>
      <w:r w:rsidRPr="00CF1820">
        <w:rPr>
          <w:rFonts w:ascii="Verdana" w:hAnsi="Verdana"/>
        </w:rPr>
        <w:t xml:space="preserve"> de la</w:t>
      </w:r>
      <w:r w:rsidR="00F67910">
        <w:rPr>
          <w:rFonts w:ascii="Verdana" w:hAnsi="Verdana"/>
        </w:rPr>
        <w:t>s</w:t>
      </w:r>
      <w:r w:rsidRPr="00CF1820">
        <w:rPr>
          <w:rFonts w:ascii="Verdana" w:hAnsi="Verdana"/>
        </w:rPr>
        <w:t xml:space="preserve"> víctima</w:t>
      </w:r>
      <w:r w:rsidR="00F67910">
        <w:rPr>
          <w:rFonts w:ascii="Verdana" w:hAnsi="Verdana"/>
        </w:rPr>
        <w:t>s</w:t>
      </w:r>
      <w:r w:rsidRPr="00CF1820">
        <w:rPr>
          <w:rFonts w:ascii="Verdana" w:hAnsi="Verdana"/>
        </w:rPr>
        <w:t xml:space="preserve"> y a la Comisión Interamericana de Derechos Humanos. </w:t>
      </w:r>
    </w:p>
    <w:p w:rsidR="000E5791" w:rsidRDefault="000E5791" w:rsidP="000E5791">
      <w:pPr>
        <w:widowControl/>
        <w:autoSpaceDE w:val="0"/>
        <w:autoSpaceDN w:val="0"/>
        <w:adjustRightInd w:val="0"/>
        <w:spacing w:before="120" w:after="120"/>
        <w:jc w:val="both"/>
        <w:rPr>
          <w:rFonts w:ascii="Verdana" w:hAnsi="Verdana"/>
        </w:rPr>
      </w:pPr>
    </w:p>
    <w:p w:rsidR="000E5791" w:rsidRDefault="000E5791" w:rsidP="000E5791">
      <w:pPr>
        <w:widowControl/>
        <w:autoSpaceDE w:val="0"/>
        <w:autoSpaceDN w:val="0"/>
        <w:adjustRightInd w:val="0"/>
        <w:spacing w:before="120" w:after="120"/>
        <w:jc w:val="both"/>
        <w:rPr>
          <w:rFonts w:ascii="Verdana" w:hAnsi="Verdana"/>
        </w:rPr>
      </w:pPr>
    </w:p>
    <w:p w:rsidR="000E5791" w:rsidRDefault="000E5791" w:rsidP="000E5791">
      <w:pPr>
        <w:widowControl/>
        <w:autoSpaceDE w:val="0"/>
        <w:autoSpaceDN w:val="0"/>
        <w:adjustRightInd w:val="0"/>
        <w:spacing w:before="120" w:after="120"/>
        <w:jc w:val="both"/>
        <w:rPr>
          <w:rFonts w:ascii="Verdana" w:hAnsi="Verdana"/>
        </w:rPr>
      </w:pPr>
    </w:p>
    <w:p w:rsidR="000E5791" w:rsidRDefault="000E5791" w:rsidP="000E5791">
      <w:pPr>
        <w:widowControl/>
        <w:autoSpaceDE w:val="0"/>
        <w:autoSpaceDN w:val="0"/>
        <w:adjustRightInd w:val="0"/>
        <w:spacing w:before="120" w:after="120"/>
        <w:jc w:val="both"/>
        <w:rPr>
          <w:rFonts w:ascii="Verdana" w:hAnsi="Verdana"/>
        </w:rPr>
      </w:pPr>
    </w:p>
    <w:p w:rsidR="000E5791" w:rsidRDefault="000E5791" w:rsidP="000E5791">
      <w:pPr>
        <w:widowControl/>
        <w:autoSpaceDE w:val="0"/>
        <w:autoSpaceDN w:val="0"/>
        <w:adjustRightInd w:val="0"/>
        <w:spacing w:before="120" w:after="120"/>
        <w:jc w:val="both"/>
        <w:rPr>
          <w:rFonts w:ascii="Verdana" w:hAnsi="Verdana"/>
        </w:rPr>
      </w:pPr>
    </w:p>
    <w:p w:rsidR="000E5791" w:rsidRDefault="000E5791" w:rsidP="000E5791">
      <w:pPr>
        <w:widowControl/>
        <w:autoSpaceDE w:val="0"/>
        <w:autoSpaceDN w:val="0"/>
        <w:adjustRightInd w:val="0"/>
        <w:spacing w:before="120" w:after="120"/>
        <w:jc w:val="both"/>
        <w:rPr>
          <w:rFonts w:ascii="Verdana" w:hAnsi="Verdana"/>
        </w:rPr>
      </w:pPr>
    </w:p>
    <w:p w:rsidR="000E5791" w:rsidRDefault="000E5791" w:rsidP="000E5791">
      <w:pPr>
        <w:widowControl/>
        <w:autoSpaceDE w:val="0"/>
        <w:autoSpaceDN w:val="0"/>
        <w:adjustRightInd w:val="0"/>
        <w:spacing w:before="120" w:after="120"/>
        <w:jc w:val="both"/>
        <w:rPr>
          <w:rFonts w:ascii="Verdana" w:hAnsi="Verdana"/>
        </w:rPr>
      </w:pPr>
    </w:p>
    <w:p w:rsidR="000E5791" w:rsidRDefault="000E5791" w:rsidP="000E5791">
      <w:pPr>
        <w:widowControl/>
        <w:autoSpaceDE w:val="0"/>
        <w:autoSpaceDN w:val="0"/>
        <w:adjustRightInd w:val="0"/>
        <w:spacing w:before="120" w:after="120"/>
        <w:jc w:val="both"/>
        <w:rPr>
          <w:rFonts w:ascii="Verdana" w:hAnsi="Verdana"/>
        </w:rPr>
      </w:pPr>
    </w:p>
    <w:p w:rsidR="00F20372" w:rsidRPr="00F20372" w:rsidRDefault="00F20372" w:rsidP="00F20372">
      <w:pPr>
        <w:keepNext/>
        <w:widowControl/>
        <w:jc w:val="both"/>
        <w:outlineLvl w:val="0"/>
        <w:rPr>
          <w:rFonts w:ascii="Verdana" w:eastAsia="Times" w:hAnsi="Verdana"/>
          <w:lang w:val="es-CR" w:eastAsia="en-US"/>
        </w:rPr>
      </w:pPr>
      <w:r w:rsidRPr="00F20372">
        <w:rPr>
          <w:rFonts w:ascii="Verdana" w:eastAsia="Times" w:hAnsi="Verdana"/>
          <w:lang w:val="es-ES" w:eastAsia="en-US"/>
        </w:rPr>
        <w:lastRenderedPageBreak/>
        <w:t xml:space="preserve">Resolución de la Corte Interamericana de Derechos Humanos. </w:t>
      </w:r>
      <w:r w:rsidRPr="00F20372">
        <w:rPr>
          <w:rFonts w:ascii="Verdana" w:eastAsia="Times" w:hAnsi="Verdana"/>
          <w:lang w:val="es-CR" w:eastAsia="en-US"/>
        </w:rPr>
        <w:t>Caso Corte Suprema de Justicia (Quintana Coello y otros) Vs. Ecuador. Supervisión de cumplimiento de sentencia.</w:t>
      </w:r>
    </w:p>
    <w:p w:rsidR="00F20372" w:rsidRPr="00F20372" w:rsidRDefault="00F20372" w:rsidP="00F20372">
      <w:pPr>
        <w:widowControl/>
        <w:spacing w:before="120"/>
        <w:ind w:right="4"/>
        <w:rPr>
          <w:rFonts w:ascii="Verdana" w:eastAsia="Times" w:hAnsi="Verdana" w:cs="Verdana"/>
          <w:b/>
          <w:bCs/>
          <w:i/>
          <w:lang w:val="es-ES" w:eastAsia="en-US"/>
        </w:rPr>
      </w:pPr>
    </w:p>
    <w:p w:rsidR="00F20372" w:rsidRPr="00F20372" w:rsidRDefault="00F20372" w:rsidP="00F20372">
      <w:pPr>
        <w:widowControl/>
        <w:spacing w:after="120"/>
        <w:ind w:left="1440"/>
        <w:contextualSpacing/>
        <w:jc w:val="both"/>
        <w:rPr>
          <w:rFonts w:ascii="Calibri" w:eastAsia="Calibri" w:hAnsi="Calibri"/>
          <w:i/>
          <w:iCs/>
          <w:sz w:val="22"/>
          <w:szCs w:val="22"/>
          <w:lang w:val="es-CR" w:eastAsia="en-US"/>
        </w:rPr>
      </w:pPr>
    </w:p>
    <w:p w:rsidR="00F20372" w:rsidRPr="00F20372" w:rsidRDefault="00F20372" w:rsidP="00F20372">
      <w:pPr>
        <w:widowControl/>
        <w:jc w:val="center"/>
        <w:rPr>
          <w:rFonts w:ascii="Calibri" w:eastAsia="Calibri" w:hAnsi="Calibri"/>
          <w:b/>
          <w:bCs/>
          <w:i/>
          <w:iCs/>
          <w:sz w:val="22"/>
          <w:szCs w:val="22"/>
          <w:lang w:eastAsia="en-US"/>
        </w:rPr>
      </w:pPr>
    </w:p>
    <w:p w:rsidR="00F20372" w:rsidRPr="00F20372" w:rsidRDefault="00F20372" w:rsidP="00F20372">
      <w:pPr>
        <w:widowControl/>
        <w:jc w:val="center"/>
        <w:rPr>
          <w:rFonts w:ascii="Verdana" w:eastAsia="Times" w:hAnsi="Verdana"/>
          <w:lang w:val="es-ES" w:eastAsia="en-US"/>
        </w:rPr>
      </w:pPr>
    </w:p>
    <w:p w:rsidR="00F20372" w:rsidRPr="00F20372" w:rsidRDefault="00F20372" w:rsidP="00F20372">
      <w:pPr>
        <w:widowControl/>
        <w:jc w:val="center"/>
        <w:rPr>
          <w:rFonts w:ascii="Verdana" w:eastAsia="Times" w:hAnsi="Verdana"/>
          <w:lang w:val="es-ES" w:eastAsia="en-US"/>
        </w:rPr>
      </w:pPr>
    </w:p>
    <w:p w:rsidR="00F20372" w:rsidRPr="00F20372" w:rsidRDefault="00F20372" w:rsidP="00F20372">
      <w:pPr>
        <w:widowControl/>
        <w:jc w:val="center"/>
        <w:rPr>
          <w:rFonts w:ascii="Verdana" w:eastAsia="Times" w:hAnsi="Verdana"/>
          <w:lang w:val="es-ES" w:eastAsia="en-US"/>
        </w:rPr>
      </w:pPr>
      <w:r w:rsidRPr="00F20372">
        <w:rPr>
          <w:rFonts w:ascii="Verdana" w:eastAsia="Times" w:hAnsi="Verdana"/>
          <w:lang w:val="es-ES" w:eastAsia="en-US"/>
        </w:rPr>
        <w:t>Roberto F. Caldas</w:t>
      </w:r>
    </w:p>
    <w:p w:rsidR="00F20372" w:rsidRPr="00F20372" w:rsidRDefault="00F20372" w:rsidP="00F20372">
      <w:pPr>
        <w:widowControl/>
        <w:jc w:val="center"/>
        <w:rPr>
          <w:rFonts w:ascii="Verdana" w:eastAsia="Times" w:hAnsi="Verdana"/>
          <w:lang w:val="es-ES" w:eastAsia="en-US"/>
        </w:rPr>
      </w:pPr>
      <w:r w:rsidRPr="00F20372">
        <w:rPr>
          <w:rFonts w:ascii="Verdana" w:eastAsia="Times" w:hAnsi="Verdana"/>
          <w:lang w:val="es-ES" w:eastAsia="en-US"/>
        </w:rPr>
        <w:t xml:space="preserve">Presidente </w:t>
      </w: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tabs>
          <w:tab w:val="left" w:pos="1485"/>
        </w:tabs>
        <w:jc w:val="both"/>
        <w:rPr>
          <w:rFonts w:ascii="Verdana" w:eastAsia="Times" w:hAnsi="Verdana"/>
          <w:lang w:val="es-ES" w:eastAsia="en-US"/>
        </w:rPr>
      </w:pPr>
      <w:r w:rsidRPr="00F20372">
        <w:rPr>
          <w:rFonts w:ascii="Verdana" w:eastAsia="Times" w:hAnsi="Verdana"/>
          <w:lang w:val="es-ES" w:eastAsia="en-US"/>
        </w:rPr>
        <w:tab/>
      </w: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r w:rsidRPr="00F20372">
        <w:rPr>
          <w:rFonts w:ascii="Verdana" w:eastAsia="Times" w:hAnsi="Verdana"/>
          <w:lang w:val="es-ES" w:eastAsia="en-US"/>
        </w:rPr>
        <w:t>Eduardo Ferrer Mac-Gregor Poisot</w:t>
      </w:r>
      <w:r w:rsidRPr="00F20372">
        <w:rPr>
          <w:rFonts w:ascii="Verdana" w:eastAsia="Times" w:hAnsi="Verdana"/>
          <w:lang w:val="es-ES" w:eastAsia="en-US"/>
        </w:rPr>
        <w:tab/>
      </w:r>
      <w:r w:rsidRPr="00F20372">
        <w:rPr>
          <w:rFonts w:ascii="Verdana" w:eastAsia="Times" w:hAnsi="Verdana"/>
          <w:lang w:val="es-ES" w:eastAsia="en-US"/>
        </w:rPr>
        <w:tab/>
      </w:r>
      <w:r w:rsidRPr="00F20372">
        <w:rPr>
          <w:rFonts w:ascii="Verdana" w:eastAsia="Times" w:hAnsi="Verdana"/>
          <w:lang w:val="es-ES" w:eastAsia="en-US"/>
        </w:rPr>
        <w:tab/>
      </w:r>
      <w:r w:rsidRPr="00F20372">
        <w:rPr>
          <w:rFonts w:ascii="Verdana" w:eastAsia="Times" w:hAnsi="Verdana"/>
          <w:lang w:val="es-ES" w:eastAsia="en-US"/>
        </w:rPr>
        <w:tab/>
      </w:r>
      <w:r w:rsidRPr="00F20372">
        <w:rPr>
          <w:rFonts w:ascii="Verdana" w:eastAsia="Times" w:hAnsi="Verdana"/>
          <w:lang w:val="es-ES" w:eastAsia="en-US"/>
        </w:rPr>
        <w:tab/>
        <w:t xml:space="preserve">       Eduardo Vio Grossi</w:t>
      </w: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r w:rsidRPr="00F20372">
        <w:rPr>
          <w:rFonts w:ascii="Verdana" w:eastAsia="Times" w:hAnsi="Verdana"/>
          <w:lang w:val="es-ES" w:eastAsia="en-US"/>
        </w:rPr>
        <w:t>Humberto Antonio Sierra Porto</w:t>
      </w:r>
      <w:r w:rsidRPr="00F20372">
        <w:rPr>
          <w:rFonts w:ascii="Verdana" w:eastAsia="Times" w:hAnsi="Verdana"/>
          <w:lang w:val="es-ES" w:eastAsia="en-US"/>
        </w:rPr>
        <w:tab/>
      </w:r>
      <w:r w:rsidRPr="00F20372">
        <w:rPr>
          <w:rFonts w:ascii="Verdana" w:eastAsia="Times" w:hAnsi="Verdana"/>
          <w:lang w:val="es-ES" w:eastAsia="en-US"/>
        </w:rPr>
        <w:tab/>
      </w:r>
      <w:r w:rsidRPr="00F20372">
        <w:rPr>
          <w:rFonts w:ascii="Verdana" w:eastAsia="Times" w:hAnsi="Verdana"/>
          <w:lang w:val="es-ES" w:eastAsia="en-US"/>
        </w:rPr>
        <w:tab/>
      </w:r>
      <w:r w:rsidRPr="00F20372">
        <w:rPr>
          <w:rFonts w:ascii="Verdana" w:eastAsia="Times" w:hAnsi="Verdana"/>
          <w:lang w:val="es-ES" w:eastAsia="en-US"/>
        </w:rPr>
        <w:tab/>
      </w:r>
      <w:r w:rsidRPr="00F20372">
        <w:rPr>
          <w:rFonts w:ascii="Verdana" w:eastAsia="Times" w:hAnsi="Verdana"/>
          <w:lang w:val="es-ES" w:eastAsia="en-US"/>
        </w:rPr>
        <w:tab/>
        <w:t xml:space="preserve">    Elizabeth Odio Benito </w:t>
      </w: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center"/>
        <w:rPr>
          <w:rFonts w:ascii="Verdana" w:eastAsia="Times" w:hAnsi="Verdana"/>
          <w:lang w:val="es-ES" w:eastAsia="en-US"/>
        </w:rPr>
      </w:pPr>
      <w:r w:rsidRPr="00F20372">
        <w:rPr>
          <w:rFonts w:ascii="Verdana" w:eastAsia="Times" w:hAnsi="Verdana"/>
          <w:lang w:val="es-ES" w:eastAsia="en-US"/>
        </w:rPr>
        <w:t>Eugenio Raúl Zaffaroni</w:t>
      </w: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CR"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center"/>
        <w:rPr>
          <w:rFonts w:ascii="Verdana" w:eastAsia="Times" w:hAnsi="Verdana"/>
          <w:lang w:val="es-ES" w:eastAsia="en-US"/>
        </w:rPr>
      </w:pPr>
      <w:r w:rsidRPr="00F20372">
        <w:rPr>
          <w:rFonts w:ascii="Verdana" w:eastAsia="Times" w:hAnsi="Verdana"/>
          <w:lang w:val="es-ES" w:eastAsia="en-US"/>
        </w:rPr>
        <w:t>Pablo Saavedra Alessandri</w:t>
      </w:r>
    </w:p>
    <w:p w:rsidR="00F20372" w:rsidRPr="00F20372" w:rsidRDefault="00F20372" w:rsidP="00F20372">
      <w:pPr>
        <w:widowControl/>
        <w:jc w:val="center"/>
        <w:rPr>
          <w:rFonts w:ascii="Verdana" w:eastAsia="Times" w:hAnsi="Verdana"/>
          <w:lang w:val="es-ES" w:eastAsia="en-US"/>
        </w:rPr>
      </w:pPr>
      <w:r w:rsidRPr="00F20372">
        <w:rPr>
          <w:rFonts w:ascii="Verdana" w:eastAsia="Times" w:hAnsi="Verdana"/>
          <w:lang w:val="es-ES" w:eastAsia="en-US"/>
        </w:rPr>
        <w:t>Secretario</w:t>
      </w:r>
    </w:p>
    <w:p w:rsidR="00F20372" w:rsidRPr="00F20372" w:rsidRDefault="00F20372" w:rsidP="00F20372">
      <w:pPr>
        <w:widowControl/>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r w:rsidRPr="00F20372">
        <w:rPr>
          <w:rFonts w:ascii="Verdana" w:eastAsia="Times" w:hAnsi="Verdana"/>
          <w:lang w:val="es-ES" w:eastAsia="en-US"/>
        </w:rPr>
        <w:t>Comuníquese y ejecútese,</w:t>
      </w: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ind w:left="4956" w:firstLine="708"/>
        <w:jc w:val="center"/>
        <w:rPr>
          <w:rFonts w:ascii="Verdana" w:eastAsia="Times" w:hAnsi="Verdana"/>
          <w:lang w:val="es-ES" w:eastAsia="en-US"/>
        </w:rPr>
      </w:pPr>
      <w:r w:rsidRPr="00F20372">
        <w:rPr>
          <w:rFonts w:ascii="Verdana" w:eastAsia="Times" w:hAnsi="Verdana"/>
          <w:lang w:val="es-ES" w:eastAsia="en-US"/>
        </w:rPr>
        <w:t>Roberto F. Caldas</w:t>
      </w:r>
    </w:p>
    <w:p w:rsidR="00F20372" w:rsidRPr="00F20372" w:rsidRDefault="00F20372" w:rsidP="00F20372">
      <w:pPr>
        <w:widowControl/>
        <w:ind w:left="4956" w:firstLine="708"/>
        <w:jc w:val="center"/>
        <w:rPr>
          <w:rFonts w:ascii="Verdana" w:eastAsia="Times" w:hAnsi="Verdana"/>
          <w:lang w:val="es-ES" w:eastAsia="en-US"/>
        </w:rPr>
      </w:pPr>
      <w:r w:rsidRPr="00F20372">
        <w:rPr>
          <w:rFonts w:ascii="Verdana" w:eastAsia="Times" w:hAnsi="Verdana"/>
          <w:lang w:val="es-ES" w:eastAsia="en-US"/>
        </w:rPr>
        <w:t xml:space="preserve">Presidente </w:t>
      </w: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p>
    <w:p w:rsidR="00F20372" w:rsidRPr="00F20372" w:rsidRDefault="00F20372" w:rsidP="00F20372">
      <w:pPr>
        <w:widowControl/>
        <w:jc w:val="both"/>
        <w:rPr>
          <w:rFonts w:ascii="Verdana" w:eastAsia="Times" w:hAnsi="Verdana"/>
          <w:lang w:val="es-ES" w:eastAsia="en-US"/>
        </w:rPr>
      </w:pPr>
      <w:r w:rsidRPr="00F20372">
        <w:rPr>
          <w:rFonts w:ascii="Verdana" w:eastAsia="Times" w:hAnsi="Verdana"/>
          <w:lang w:val="es-ES" w:eastAsia="en-US"/>
        </w:rPr>
        <w:t>Pablo Saavedra Alessandri</w:t>
      </w:r>
    </w:p>
    <w:p w:rsidR="00F20372" w:rsidRPr="00F20372" w:rsidRDefault="00F20372" w:rsidP="00F20372">
      <w:pPr>
        <w:widowControl/>
        <w:rPr>
          <w:rFonts w:ascii="Verdana" w:eastAsia="Times" w:hAnsi="Verdana"/>
          <w:lang w:val="es-CR" w:eastAsia="en-US"/>
        </w:rPr>
      </w:pPr>
      <w:r w:rsidRPr="00F20372">
        <w:rPr>
          <w:rFonts w:ascii="Verdana" w:eastAsia="Times" w:hAnsi="Verdana"/>
          <w:lang w:val="es-ES" w:eastAsia="en-US"/>
        </w:rPr>
        <w:tab/>
      </w:r>
      <w:r w:rsidRPr="00F20372">
        <w:rPr>
          <w:rFonts w:ascii="Verdana" w:eastAsia="Times" w:hAnsi="Verdana"/>
          <w:lang w:val="es-CR" w:eastAsia="en-US"/>
        </w:rPr>
        <w:t>Secretario</w:t>
      </w:r>
    </w:p>
    <w:p w:rsidR="000E5791" w:rsidRPr="000E5791" w:rsidRDefault="000E5791" w:rsidP="000E5791">
      <w:pPr>
        <w:widowControl/>
        <w:autoSpaceDE w:val="0"/>
        <w:autoSpaceDN w:val="0"/>
        <w:adjustRightInd w:val="0"/>
        <w:spacing w:before="120" w:after="120"/>
        <w:jc w:val="both"/>
        <w:rPr>
          <w:rFonts w:ascii="Verdana" w:hAnsi="Verdana"/>
        </w:rPr>
      </w:pPr>
    </w:p>
    <w:sectPr w:rsidR="000E5791" w:rsidRPr="000E5791" w:rsidSect="003B5297">
      <w:headerReference w:type="even" r:id="rId8"/>
      <w:head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82B" w:rsidRDefault="007C782B" w:rsidP="000C3A59">
      <w:r>
        <w:separator/>
      </w:r>
    </w:p>
  </w:endnote>
  <w:endnote w:type="continuationSeparator" w:id="0">
    <w:p w:rsidR="007C782B" w:rsidRDefault="007C782B" w:rsidP="000C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Italic">
    <w:charset w:val="00"/>
    <w:family w:val="auto"/>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931" w:rsidRPr="009C057E" w:rsidRDefault="00AC4931">
    <w:pPr>
      <w:pStyle w:val="Piedepgina"/>
      <w:jc w:val="center"/>
      <w:rPr>
        <w:rFonts w:ascii="Verdana" w:hAnsi="Verdana"/>
      </w:rPr>
    </w:pPr>
  </w:p>
  <w:p w:rsidR="00AC4931" w:rsidRDefault="00AC49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82B" w:rsidRDefault="007C782B" w:rsidP="000C3A59">
      <w:r>
        <w:separator/>
      </w:r>
    </w:p>
  </w:footnote>
  <w:footnote w:type="continuationSeparator" w:id="0">
    <w:p w:rsidR="007C782B" w:rsidRDefault="007C782B" w:rsidP="000C3A59">
      <w:r>
        <w:continuationSeparator/>
      </w:r>
    </w:p>
  </w:footnote>
  <w:footnote w:id="1">
    <w:p w:rsidR="00AC4931" w:rsidRPr="00577323" w:rsidRDefault="00AC4931" w:rsidP="00142647">
      <w:pPr>
        <w:pStyle w:val="Textonotapie"/>
        <w:suppressLineNumbers/>
        <w:tabs>
          <w:tab w:val="left" w:pos="426"/>
        </w:tabs>
        <w:jc w:val="both"/>
        <w:rPr>
          <w:rFonts w:ascii="Verdana" w:hAnsi="Verdana"/>
          <w:sz w:val="16"/>
          <w:szCs w:val="16"/>
        </w:rPr>
      </w:pPr>
      <w:r w:rsidRPr="00577323">
        <w:rPr>
          <w:rFonts w:ascii="Verdana" w:hAnsi="Verdana"/>
          <w:sz w:val="16"/>
          <w:szCs w:val="16"/>
        </w:rPr>
        <w:t>*</w:t>
      </w:r>
      <w:r w:rsidRPr="00577323">
        <w:rPr>
          <w:rFonts w:ascii="Verdana" w:hAnsi="Verdana"/>
          <w:sz w:val="16"/>
          <w:szCs w:val="16"/>
        </w:rPr>
        <w:tab/>
        <w:t>El Juez L. Patricio Pazmiño Freire, de nacionalidad ecuatoriana, no participó en el conocimiento y deliberación de la presente Resolución, de conformidad con lo dispuesto en el artículo 19.1 del Reglamento de la Corte.</w:t>
      </w:r>
    </w:p>
  </w:footnote>
  <w:footnote w:id="2">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La Sentencia fue notificada el 4 de noviembre de 2013. </w:t>
      </w:r>
      <w:r w:rsidRPr="00577323">
        <w:rPr>
          <w:rFonts w:ascii="Verdana" w:hAnsi="Verdana"/>
          <w:i/>
          <w:sz w:val="16"/>
          <w:szCs w:val="16"/>
        </w:rPr>
        <w:t xml:space="preserve">Cfr. </w:t>
      </w:r>
      <w:r w:rsidRPr="00577323">
        <w:rPr>
          <w:rStyle w:val="Textoennegrita"/>
          <w:rFonts w:ascii="Verdana" w:hAnsi="Verdana"/>
          <w:b w:val="0"/>
          <w:i/>
          <w:color w:val="000000"/>
          <w:sz w:val="16"/>
          <w:szCs w:val="16"/>
          <w:shd w:val="clear" w:color="auto" w:fill="FFFFFF"/>
        </w:rPr>
        <w:t>Caso de la Corte Suprema de Justicia (Quintana Coello y otros) Vs. Ecuador. Excepción Preliminar, Fondo, Reparaciones y Costas.</w:t>
      </w:r>
      <w:r w:rsidRPr="00577323">
        <w:rPr>
          <w:rStyle w:val="Textoennegrita"/>
          <w:rFonts w:ascii="Verdana" w:hAnsi="Verdana"/>
          <w:b w:val="0"/>
          <w:color w:val="000000"/>
          <w:sz w:val="16"/>
          <w:szCs w:val="16"/>
          <w:shd w:val="clear" w:color="auto" w:fill="FFFFFF"/>
        </w:rPr>
        <w:t xml:space="preserve"> Sentencia de 23 de agosto de 2013. Serie C No. 266.</w:t>
      </w:r>
      <w:r w:rsidRPr="00577323">
        <w:rPr>
          <w:rStyle w:val="Textoennegrita"/>
          <w:rFonts w:ascii="Verdana" w:hAnsi="Verdana"/>
          <w:color w:val="000000"/>
          <w:sz w:val="16"/>
          <w:szCs w:val="16"/>
          <w:shd w:val="clear" w:color="auto" w:fill="FFFFFF"/>
        </w:rPr>
        <w:t xml:space="preserve"> </w:t>
      </w:r>
      <w:r w:rsidRPr="00577323">
        <w:rPr>
          <w:rFonts w:ascii="Verdana" w:hAnsi="Verdana"/>
          <w:sz w:val="16"/>
          <w:szCs w:val="16"/>
        </w:rPr>
        <w:t xml:space="preserve">El texto íntegro se encuentra disponible en: </w:t>
      </w:r>
      <w:hyperlink r:id="rId1" w:history="1">
        <w:r w:rsidRPr="00577323">
          <w:rPr>
            <w:rStyle w:val="Hipervnculo"/>
            <w:rFonts w:ascii="Verdana" w:hAnsi="Verdana"/>
            <w:sz w:val="16"/>
            <w:szCs w:val="16"/>
          </w:rPr>
          <w:t>http://www.corteidh.or.cr/docs/casos/articulos/seriec_266_esp.pdf</w:t>
        </w:r>
      </w:hyperlink>
      <w:r w:rsidRPr="00577323">
        <w:rPr>
          <w:rFonts w:ascii="Verdana" w:hAnsi="Verdana"/>
          <w:sz w:val="16"/>
          <w:szCs w:val="16"/>
        </w:rPr>
        <w:t xml:space="preserve">. </w:t>
      </w:r>
    </w:p>
    <w:p w:rsidR="003D5200" w:rsidRPr="00577323" w:rsidRDefault="003D5200" w:rsidP="00142647">
      <w:pPr>
        <w:pStyle w:val="Textonotapie"/>
        <w:tabs>
          <w:tab w:val="left" w:pos="426"/>
        </w:tabs>
        <w:jc w:val="both"/>
        <w:rPr>
          <w:rFonts w:ascii="Verdana" w:hAnsi="Verdana"/>
          <w:sz w:val="16"/>
          <w:szCs w:val="16"/>
        </w:rPr>
      </w:pPr>
      <w:r w:rsidRPr="00577323">
        <w:rPr>
          <w:rFonts w:ascii="Verdana" w:hAnsi="Verdana"/>
          <w:sz w:val="16"/>
          <w:szCs w:val="16"/>
        </w:rPr>
        <w:t xml:space="preserve">Mediante Sentencia de 21 de agosto de 2014 la Corte “rechaz[ó] por improcedente la solicitud de interpretación de la Sentencia de excepción preliminar, fondo y reparaciones dictada en [este] caso, interpuesta por los representantes de las víctimas”. </w:t>
      </w:r>
      <w:r w:rsidRPr="00577323">
        <w:rPr>
          <w:rFonts w:ascii="Verdana" w:hAnsi="Verdana"/>
          <w:i/>
          <w:sz w:val="16"/>
          <w:szCs w:val="16"/>
        </w:rPr>
        <w:t>Cfr.</w:t>
      </w:r>
      <w:r w:rsidRPr="00577323">
        <w:rPr>
          <w:rFonts w:ascii="Verdana" w:hAnsi="Verdana"/>
          <w:sz w:val="16"/>
          <w:szCs w:val="16"/>
        </w:rPr>
        <w:t xml:space="preserve"> </w:t>
      </w:r>
      <w:r w:rsidRPr="00577323">
        <w:rPr>
          <w:rStyle w:val="Textoennegrita"/>
          <w:rFonts w:ascii="Verdana" w:hAnsi="Verdana"/>
          <w:b w:val="0"/>
          <w:i/>
          <w:color w:val="000000"/>
          <w:sz w:val="16"/>
          <w:szCs w:val="16"/>
          <w:shd w:val="clear" w:color="auto" w:fill="FFFFFF"/>
        </w:rPr>
        <w:t>Caso de la Corte Suprema de Justicia (Quintana Coello y otros) Vs. Ecuador. Interpretación de la Sentencia de Excepción Preliminar, Fondo, Reparaciones y Costas.</w:t>
      </w:r>
      <w:r w:rsidRPr="00577323">
        <w:rPr>
          <w:rStyle w:val="Textoennegrita"/>
          <w:rFonts w:ascii="Verdana" w:hAnsi="Verdana"/>
          <w:b w:val="0"/>
          <w:color w:val="000000"/>
          <w:sz w:val="16"/>
          <w:szCs w:val="16"/>
          <w:shd w:val="clear" w:color="auto" w:fill="FFFFFF"/>
        </w:rPr>
        <w:t xml:space="preserve"> Sentencia de 21 de agosto de 2014. Serie C No. 280.</w:t>
      </w:r>
      <w:r w:rsidRPr="00577323">
        <w:rPr>
          <w:rFonts w:ascii="Verdana" w:hAnsi="Verdana"/>
          <w:sz w:val="16"/>
          <w:szCs w:val="16"/>
        </w:rPr>
        <w:t xml:space="preserve"> El texto íntegro se encuentra disponible en: </w:t>
      </w:r>
      <w:hyperlink r:id="rId2" w:history="1">
        <w:r w:rsidRPr="00577323">
          <w:rPr>
            <w:rStyle w:val="Hipervnculo"/>
            <w:rFonts w:ascii="Verdana" w:hAnsi="Verdana"/>
            <w:sz w:val="16"/>
            <w:szCs w:val="16"/>
          </w:rPr>
          <w:t>http://corteidh.or.cr/docs/casos/articulos/seriec_280_esp.pdf</w:t>
        </w:r>
      </w:hyperlink>
      <w:r w:rsidRPr="00577323">
        <w:rPr>
          <w:rFonts w:ascii="Verdana" w:hAnsi="Verdana"/>
          <w:sz w:val="16"/>
          <w:szCs w:val="16"/>
        </w:rPr>
        <w:t xml:space="preserve">. </w:t>
      </w:r>
    </w:p>
  </w:footnote>
  <w:footnote w:id="3">
    <w:p w:rsidR="00AC4931" w:rsidRPr="00577323" w:rsidRDefault="00AC4931" w:rsidP="00142647">
      <w:pPr>
        <w:pStyle w:val="Textonotapie"/>
        <w:tabs>
          <w:tab w:val="left" w:pos="426"/>
        </w:tabs>
        <w:jc w:val="both"/>
        <w:rPr>
          <w:rFonts w:ascii="Verdana" w:hAnsi="Verdana"/>
          <w:b/>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El reconocimiento parcial de responsabilidad del Estado se tradujo en el allanamiento respecto a algunos hechos y de algunas pretensiones de derecho. En particular, la Corte constató que el Estado “reconoció su responsabilidad frente a los artículos 8.1, 8.2, 9, 24 y 25 de la Convención Americana sobre Derechos Humanos”. </w:t>
      </w:r>
    </w:p>
  </w:footnote>
  <w:footnote w:id="4">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Alfonso Ernesto Albán Gómez, Jorge Aurelio Andrade Lara, José Santiago Andrade Ubidia, José Julio Benítez Astudillo, Armando Bermeo Castillo, Eduardo Enrique Brito Mieles, Nicolás Castro Patiño, Lucio Teodoro Coello Vázquez, Alfredo Roberto Contreras Villavicencio, Arturo Javier Donoso Castellón, Galo Miguel Galarza Paz, Luis Alberto Heredia Moreno, Estuardo Agustín Hurtado Larrea, Ángel Ignacio Lescano Fiallo, Teófilo Milton Moreno Aguirre, Galo Alonso Pico Mantilla, Hernán Gonzalo Quevedo Terán, Hugo Eduardo Quintana Coello, Jorge Enrique Ramírez Álvarez, Carlos Javier Riofrío Corral, Naum Clotario Salinas Montaño, Armando José Ramón Serrano Puig, Ignacio José Vicente Troya Jaramillo, Alberto Rodrigo Varea Avilés, Jaime Gonzalo Velasco Dávila, Miguel Elías Villacís Gómez y Gonzalo Augusto Zambrano Palacios.</w:t>
      </w:r>
    </w:p>
  </w:footnote>
  <w:footnote w:id="5">
    <w:p w:rsidR="00E13275" w:rsidRPr="00577323" w:rsidRDefault="00E13275"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La Corte declaró: </w:t>
      </w:r>
      <w:r w:rsidRPr="00577323">
        <w:rPr>
          <w:rFonts w:ascii="Verdana" w:hAnsi="Verdana" w:cs="Arial"/>
          <w:sz w:val="16"/>
          <w:szCs w:val="16"/>
        </w:rPr>
        <w:t xml:space="preserve">i) </w:t>
      </w:r>
      <w:r w:rsidRPr="00577323">
        <w:rPr>
          <w:rFonts w:ascii="Verdana" w:hAnsi="Verdana"/>
          <w:sz w:val="16"/>
          <w:szCs w:val="16"/>
          <w:lang w:val="es-CO"/>
        </w:rPr>
        <w:t>la violación del artículo 8.1 en relación con el  artículo 1.1 de la Convención Americana sobre Derechos Humanos (en adelante “la Convención Americana” o “la Convención”), en perjuicio de las 27 víctimas</w:t>
      </w:r>
      <w:r w:rsidRPr="00577323">
        <w:rPr>
          <w:rFonts w:ascii="Verdana" w:hAnsi="Verdana"/>
          <w:sz w:val="16"/>
          <w:szCs w:val="16"/>
          <w:lang w:val="es-CR"/>
        </w:rPr>
        <w:t xml:space="preserve">, </w:t>
      </w:r>
      <w:r w:rsidRPr="00577323">
        <w:rPr>
          <w:rFonts w:ascii="Verdana" w:hAnsi="Verdana"/>
          <w:sz w:val="16"/>
          <w:szCs w:val="16"/>
          <w:lang w:val="es-CO"/>
        </w:rPr>
        <w:t>por haber sido cesadas en sus funciones por un órgano incompetente que no les dio la oportunidad de ser oídos</w:t>
      </w:r>
      <w:r w:rsidRPr="00577323">
        <w:rPr>
          <w:rFonts w:ascii="Verdana" w:hAnsi="Verdana" w:cs="Arial"/>
          <w:sz w:val="16"/>
          <w:szCs w:val="16"/>
        </w:rPr>
        <w:t xml:space="preserve">; ii) </w:t>
      </w:r>
      <w:r w:rsidRPr="00577323">
        <w:rPr>
          <w:rFonts w:ascii="Verdana" w:hAnsi="Verdana"/>
          <w:sz w:val="16"/>
          <w:szCs w:val="16"/>
          <w:lang w:val="es-CO"/>
        </w:rPr>
        <w:t>la violación del artículo 8.1 en relación con el artículo 23.1.c y el artículo 1.1 de la Convención, por la afectación arbitraria a la permanencia en el ejercicio de la función judicial y la consecuente afectación a la independencia judicial, en perjuicio de las 27 víctimas del presente caso</w:t>
      </w:r>
      <w:r w:rsidRPr="00577323">
        <w:rPr>
          <w:rFonts w:ascii="Verdana" w:hAnsi="Verdana" w:cs="Arial"/>
          <w:sz w:val="16"/>
          <w:szCs w:val="16"/>
        </w:rPr>
        <w:t xml:space="preserve">, y iii) </w:t>
      </w:r>
      <w:r w:rsidRPr="00577323">
        <w:rPr>
          <w:rFonts w:ascii="Verdana" w:hAnsi="Verdana"/>
          <w:sz w:val="16"/>
          <w:szCs w:val="16"/>
        </w:rPr>
        <w:t xml:space="preserve">la violación del artículo 25.1 </w:t>
      </w:r>
      <w:r w:rsidRPr="00577323">
        <w:rPr>
          <w:rFonts w:ascii="Verdana" w:hAnsi="Verdana" w:cs="Arial"/>
          <w:bCs/>
          <w:sz w:val="16"/>
          <w:szCs w:val="16"/>
          <w:lang w:val="es-CL"/>
        </w:rPr>
        <w:t>en relación con el artículo 1.1 de la Convención, por la imposibilidad de acceder a un recurso judicial efectivo.</w:t>
      </w:r>
    </w:p>
  </w:footnote>
  <w:footnote w:id="6">
    <w:p w:rsidR="00654312" w:rsidRPr="00577323" w:rsidRDefault="00654312"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En el párrafo 194 de la Sentencia la Corte consideró que </w:t>
      </w:r>
      <w:r w:rsidR="008A0396">
        <w:rPr>
          <w:rFonts w:ascii="Verdana" w:hAnsi="Verdana"/>
          <w:sz w:val="16"/>
          <w:szCs w:val="16"/>
        </w:rPr>
        <w:t>“bajo los supuestos específicos d</w:t>
      </w:r>
      <w:r w:rsidRPr="00577323">
        <w:rPr>
          <w:rFonts w:ascii="Verdana" w:hAnsi="Verdana"/>
          <w:sz w:val="16"/>
          <w:szCs w:val="16"/>
        </w:rPr>
        <w:t xml:space="preserve">el presente caso </w:t>
      </w:r>
      <w:proofErr w:type="gramStart"/>
      <w:r w:rsidRPr="00577323">
        <w:rPr>
          <w:rFonts w:ascii="Verdana" w:hAnsi="Verdana"/>
          <w:sz w:val="16"/>
          <w:szCs w:val="16"/>
        </w:rPr>
        <w:t>esta[</w:t>
      </w:r>
      <w:proofErr w:type="gramEnd"/>
      <w:r w:rsidRPr="00577323">
        <w:rPr>
          <w:rFonts w:ascii="Verdana" w:hAnsi="Verdana"/>
          <w:sz w:val="16"/>
          <w:szCs w:val="16"/>
        </w:rPr>
        <w:t xml:space="preserve">ba] demostrado que los magistrados </w:t>
      </w:r>
      <w:r w:rsidR="008A0396">
        <w:rPr>
          <w:rFonts w:ascii="Verdana" w:hAnsi="Verdana"/>
          <w:sz w:val="16"/>
          <w:szCs w:val="16"/>
        </w:rPr>
        <w:t>se encontraban</w:t>
      </w:r>
      <w:r w:rsidR="008A0396" w:rsidRPr="00577323">
        <w:rPr>
          <w:rFonts w:ascii="Verdana" w:hAnsi="Verdana"/>
          <w:sz w:val="16"/>
          <w:szCs w:val="16"/>
        </w:rPr>
        <w:t xml:space="preserve"> </w:t>
      </w:r>
      <w:r w:rsidRPr="00577323">
        <w:rPr>
          <w:rFonts w:ascii="Verdana" w:hAnsi="Verdana"/>
          <w:sz w:val="16"/>
          <w:szCs w:val="16"/>
        </w:rPr>
        <w:t xml:space="preserve">impedidos para hacer uso del recurso de amparo y que el recurso de inconstitucionalidad no resultaba idóneo </w:t>
      </w:r>
      <w:r w:rsidR="008A0396">
        <w:rPr>
          <w:rFonts w:ascii="Verdana" w:hAnsi="Verdana"/>
          <w:sz w:val="16"/>
          <w:szCs w:val="16"/>
        </w:rPr>
        <w:t xml:space="preserve">y efectivo </w:t>
      </w:r>
      <w:r w:rsidRPr="00577323">
        <w:rPr>
          <w:rFonts w:ascii="Verdana" w:hAnsi="Verdana"/>
          <w:sz w:val="16"/>
          <w:szCs w:val="16"/>
        </w:rPr>
        <w:t xml:space="preserve">para proteger los derechos vulnerados a los magistrados de la Corte Suprema”. </w:t>
      </w:r>
    </w:p>
  </w:footnote>
  <w:footnote w:id="7">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Pr="00577323">
        <w:rPr>
          <w:rFonts w:ascii="Verdana" w:hAnsi="Verdana"/>
          <w:i/>
          <w:sz w:val="16"/>
          <w:szCs w:val="16"/>
        </w:rPr>
        <w:t>Cfr.</w:t>
      </w:r>
      <w:r w:rsidRPr="00577323">
        <w:rPr>
          <w:rFonts w:ascii="Verdana" w:hAnsi="Verdana"/>
          <w:sz w:val="16"/>
          <w:szCs w:val="16"/>
        </w:rPr>
        <w:t xml:space="preserve"> </w:t>
      </w:r>
      <w:r w:rsidRPr="00577323">
        <w:rPr>
          <w:rStyle w:val="Textoennegrita"/>
          <w:rFonts w:ascii="Verdana" w:hAnsi="Verdana"/>
          <w:b w:val="0"/>
          <w:i/>
          <w:color w:val="000000"/>
          <w:sz w:val="16"/>
          <w:szCs w:val="16"/>
          <w:shd w:val="clear" w:color="auto" w:fill="FFFFFF"/>
        </w:rPr>
        <w:t xml:space="preserve">Caso de la Corte Suprema de Justicia (Quintana Coello y otros) Vs. Ecuador. Supervisión de Cumplimiento de Sentencia. </w:t>
      </w:r>
      <w:r w:rsidRPr="00577323">
        <w:rPr>
          <w:rStyle w:val="Textoennegrita"/>
          <w:rFonts w:ascii="Verdana" w:hAnsi="Verdana"/>
          <w:b w:val="0"/>
          <w:color w:val="000000"/>
          <w:sz w:val="16"/>
          <w:szCs w:val="16"/>
          <w:shd w:val="clear" w:color="auto" w:fill="FFFFFF"/>
        </w:rPr>
        <w:t xml:space="preserve">Resolución de la Corte Interamericana de Derechos Humanos de 21 de agosto de 2014. </w:t>
      </w:r>
      <w:r w:rsidRPr="00577323">
        <w:rPr>
          <w:rFonts w:ascii="Verdana" w:hAnsi="Verdana"/>
          <w:sz w:val="16"/>
          <w:szCs w:val="16"/>
        </w:rPr>
        <w:t xml:space="preserve">El texto íntegro se encuentra disponible en: </w:t>
      </w:r>
      <w:hyperlink r:id="rId3" w:history="1">
        <w:r w:rsidRPr="00577323">
          <w:rPr>
            <w:rStyle w:val="Hipervnculo"/>
            <w:rFonts w:ascii="Verdana" w:hAnsi="Verdana"/>
            <w:sz w:val="16"/>
            <w:szCs w:val="16"/>
          </w:rPr>
          <w:t>http://www.corteidh.or.cr/docs/supervisiones/quintana_21_08_14.pdf</w:t>
        </w:r>
      </w:hyperlink>
      <w:r w:rsidRPr="00577323">
        <w:rPr>
          <w:rFonts w:ascii="Verdana" w:hAnsi="Verdana"/>
          <w:sz w:val="16"/>
          <w:szCs w:val="16"/>
        </w:rPr>
        <w:t xml:space="preserve">. </w:t>
      </w:r>
    </w:p>
  </w:footnote>
  <w:footnote w:id="8">
    <w:p w:rsidR="00AC4931" w:rsidRPr="00577323" w:rsidRDefault="00AC4931" w:rsidP="00142647">
      <w:pPr>
        <w:pStyle w:val="Textonotapie"/>
        <w:tabs>
          <w:tab w:val="left" w:pos="426"/>
        </w:tabs>
        <w:jc w:val="both"/>
        <w:rPr>
          <w:rFonts w:ascii="Verdana" w:hAnsi="Verdana"/>
          <w:color w:val="00B050"/>
          <w:sz w:val="16"/>
          <w:szCs w:val="16"/>
          <w:lang w:val="es-CR"/>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Escritos de 20 de mayo y 23 de octubre de 2014, de 19 de mayo, 15 y 21 de octubre de 2015, y de 22 de enero</w:t>
      </w:r>
      <w:r w:rsidR="00BA14A9" w:rsidRPr="00577323">
        <w:rPr>
          <w:rFonts w:ascii="Verdana" w:hAnsi="Verdana"/>
          <w:sz w:val="16"/>
          <w:szCs w:val="16"/>
        </w:rPr>
        <w:t>,</w:t>
      </w:r>
      <w:r w:rsidRPr="00577323">
        <w:rPr>
          <w:rFonts w:ascii="Verdana" w:hAnsi="Verdana"/>
          <w:sz w:val="16"/>
          <w:szCs w:val="16"/>
        </w:rPr>
        <w:t xml:space="preserve"> 11 de marzo</w:t>
      </w:r>
      <w:r w:rsidR="00BA14A9" w:rsidRPr="00577323">
        <w:rPr>
          <w:rFonts w:ascii="Verdana" w:hAnsi="Verdana"/>
          <w:sz w:val="16"/>
          <w:szCs w:val="16"/>
        </w:rPr>
        <w:t xml:space="preserve">, 8, 10 y 19 de agosto </w:t>
      </w:r>
      <w:r w:rsidR="000716FB">
        <w:rPr>
          <w:rFonts w:ascii="Verdana" w:hAnsi="Verdana"/>
          <w:b/>
          <w:sz w:val="16"/>
          <w:szCs w:val="16"/>
        </w:rPr>
        <w:t xml:space="preserve"> </w:t>
      </w:r>
      <w:r w:rsidR="008A0396">
        <w:rPr>
          <w:rFonts w:ascii="Verdana" w:hAnsi="Verdana"/>
          <w:sz w:val="16"/>
          <w:szCs w:val="16"/>
        </w:rPr>
        <w:t xml:space="preserve">y 19 de octubre </w:t>
      </w:r>
      <w:r w:rsidRPr="00577323">
        <w:rPr>
          <w:rFonts w:ascii="Verdana" w:hAnsi="Verdana"/>
          <w:sz w:val="16"/>
          <w:szCs w:val="16"/>
        </w:rPr>
        <w:t xml:space="preserve">de 2016. </w:t>
      </w:r>
    </w:p>
  </w:footnote>
  <w:footnote w:id="9">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Los señores Ramiro Ávila Santamaría y David Cordero Heredia. </w:t>
      </w:r>
    </w:p>
  </w:footnote>
  <w:footnote w:id="10">
    <w:p w:rsidR="00AC4931" w:rsidRPr="00577323" w:rsidRDefault="00AC4931" w:rsidP="00142647">
      <w:pPr>
        <w:widowControl/>
        <w:tabs>
          <w:tab w:val="left" w:pos="426"/>
        </w:tabs>
        <w:autoSpaceDE w:val="0"/>
        <w:autoSpaceDN w:val="0"/>
        <w:adjustRightInd w:val="0"/>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Escritos de 10 de julio de 2014, 26 de marzo y 11 de julio </w:t>
      </w:r>
      <w:r w:rsidR="0032237F" w:rsidRPr="00577323">
        <w:rPr>
          <w:rFonts w:ascii="Verdana" w:hAnsi="Verdana"/>
          <w:sz w:val="16"/>
          <w:szCs w:val="16"/>
        </w:rPr>
        <w:t>de 2015 y de 3 de febrero,</w:t>
      </w:r>
      <w:r w:rsidRPr="00577323">
        <w:rPr>
          <w:rFonts w:ascii="Verdana" w:hAnsi="Verdana"/>
          <w:sz w:val="16"/>
          <w:szCs w:val="16"/>
        </w:rPr>
        <w:t xml:space="preserve"> 9 de mayo</w:t>
      </w:r>
      <w:r w:rsidR="00A96460" w:rsidRPr="00577323">
        <w:rPr>
          <w:rFonts w:ascii="Verdana" w:hAnsi="Verdana"/>
          <w:sz w:val="16"/>
          <w:szCs w:val="16"/>
        </w:rPr>
        <w:t>,</w:t>
      </w:r>
      <w:r w:rsidR="0032237F" w:rsidRPr="00577323">
        <w:rPr>
          <w:rFonts w:ascii="Verdana" w:hAnsi="Verdana"/>
          <w:sz w:val="16"/>
          <w:szCs w:val="16"/>
        </w:rPr>
        <w:t xml:space="preserve"> 16 de junio</w:t>
      </w:r>
      <w:r w:rsidR="00A96460" w:rsidRPr="00577323">
        <w:rPr>
          <w:rFonts w:ascii="Verdana" w:hAnsi="Verdana"/>
          <w:sz w:val="16"/>
          <w:szCs w:val="16"/>
        </w:rPr>
        <w:t xml:space="preserve"> y 9 de septiembre </w:t>
      </w:r>
      <w:r w:rsidRPr="00577323">
        <w:rPr>
          <w:rFonts w:ascii="Verdana" w:hAnsi="Verdana"/>
          <w:sz w:val="16"/>
          <w:szCs w:val="16"/>
        </w:rPr>
        <w:t xml:space="preserve">de 2016. </w:t>
      </w:r>
    </w:p>
  </w:footnote>
  <w:footnote w:id="11">
    <w:p w:rsidR="00A623AA" w:rsidRPr="00577323" w:rsidRDefault="00A623AA" w:rsidP="00265A1D">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Escritos de 26 de marzo, 7 de agosto y 8 de diciembre de 2015, y de </w:t>
      </w:r>
      <w:r w:rsidR="00472D50" w:rsidRPr="00577323">
        <w:rPr>
          <w:rFonts w:ascii="Verdana" w:hAnsi="Verdana"/>
          <w:sz w:val="16"/>
          <w:szCs w:val="16"/>
        </w:rPr>
        <w:t xml:space="preserve">26 </w:t>
      </w:r>
      <w:r w:rsidRPr="00577323">
        <w:rPr>
          <w:rFonts w:ascii="Verdana" w:hAnsi="Verdana"/>
          <w:sz w:val="16"/>
          <w:szCs w:val="16"/>
        </w:rPr>
        <w:t xml:space="preserve">de </w:t>
      </w:r>
      <w:r w:rsidR="00472D50" w:rsidRPr="00577323">
        <w:rPr>
          <w:rFonts w:ascii="Verdana" w:hAnsi="Verdana"/>
          <w:sz w:val="16"/>
          <w:szCs w:val="16"/>
        </w:rPr>
        <w:t xml:space="preserve">septiembre </w:t>
      </w:r>
      <w:r w:rsidRPr="00577323">
        <w:rPr>
          <w:rFonts w:ascii="Verdana" w:hAnsi="Verdana"/>
          <w:sz w:val="16"/>
          <w:szCs w:val="16"/>
        </w:rPr>
        <w:t>de 2016.</w:t>
      </w:r>
    </w:p>
  </w:footnote>
  <w:footnote w:id="12">
    <w:p w:rsidR="00AC4931" w:rsidRPr="00577323" w:rsidRDefault="00AC4931" w:rsidP="00142647">
      <w:pPr>
        <w:pStyle w:val="Textonotapie"/>
        <w:tabs>
          <w:tab w:val="left" w:pos="426"/>
        </w:tabs>
        <w:jc w:val="both"/>
        <w:rPr>
          <w:rFonts w:ascii="Verdana" w:hAnsi="Verdana"/>
          <w:sz w:val="16"/>
          <w:szCs w:val="16"/>
          <w:lang w:val="es-CR"/>
        </w:rPr>
      </w:pPr>
      <w:r w:rsidRPr="00577323">
        <w:rPr>
          <w:rStyle w:val="Refdenotaalpie"/>
          <w:rFonts w:ascii="Verdana" w:hAnsi="Verdana"/>
          <w:sz w:val="16"/>
          <w:szCs w:val="16"/>
        </w:rPr>
        <w:footnoteRef/>
      </w:r>
      <w:r w:rsidRPr="00577323">
        <w:rPr>
          <w:rFonts w:ascii="Verdana" w:hAnsi="Verdana"/>
          <w:sz w:val="16"/>
          <w:szCs w:val="16"/>
          <w:lang w:val="es-CR"/>
        </w:rPr>
        <w:t xml:space="preserve"> </w:t>
      </w:r>
      <w:r w:rsidRPr="00577323">
        <w:rPr>
          <w:rFonts w:ascii="Verdana" w:hAnsi="Verdana"/>
          <w:sz w:val="16"/>
          <w:szCs w:val="16"/>
          <w:lang w:val="es-CR"/>
        </w:rPr>
        <w:tab/>
        <w:t xml:space="preserve">Facultad que además </w:t>
      </w:r>
      <w:r w:rsidRPr="00577323">
        <w:rPr>
          <w:rFonts w:ascii="Verdana" w:hAnsi="Verdana"/>
          <w:sz w:val="16"/>
          <w:szCs w:val="16"/>
          <w:lang w:val="es-ES"/>
        </w:rPr>
        <w:t xml:space="preserve">se desprende de lo dispuesto en los artículos 33, 62.1, 62.3 y 65 de la Convención Americana y </w:t>
      </w:r>
      <w:r w:rsidRPr="00577323">
        <w:rPr>
          <w:rFonts w:ascii="Verdana" w:hAnsi="Verdana"/>
          <w:sz w:val="16"/>
          <w:szCs w:val="16"/>
          <w:lang w:val="es-CR"/>
        </w:rPr>
        <w:t>30 de su Estatuto y se encuentra regulada en el artículo 69 de su Reglamento.</w:t>
      </w:r>
    </w:p>
  </w:footnote>
  <w:footnote w:id="13">
    <w:p w:rsidR="000B6141" w:rsidRPr="000C7CDF" w:rsidRDefault="000B6141" w:rsidP="000B6141">
      <w:pPr>
        <w:pStyle w:val="Textonotapie"/>
        <w:tabs>
          <w:tab w:val="left" w:pos="426"/>
        </w:tabs>
        <w:jc w:val="both"/>
        <w:rPr>
          <w:rFonts w:ascii="Verdana" w:hAnsi="Verdana"/>
          <w:sz w:val="16"/>
          <w:szCs w:val="16"/>
          <w:lang w:val="es-CR"/>
        </w:rPr>
      </w:pPr>
      <w:r w:rsidRPr="000C7CDF">
        <w:rPr>
          <w:rStyle w:val="Refdenotaalpie"/>
          <w:rFonts w:ascii="Verdana" w:hAnsi="Verdana"/>
          <w:sz w:val="16"/>
          <w:szCs w:val="16"/>
        </w:rPr>
        <w:footnoteRef/>
      </w:r>
      <w:r w:rsidRPr="000C7CDF">
        <w:rPr>
          <w:rFonts w:ascii="Verdana" w:hAnsi="Verdana"/>
          <w:sz w:val="16"/>
          <w:szCs w:val="16"/>
        </w:rPr>
        <w:t xml:space="preserve"> </w:t>
      </w:r>
      <w:r w:rsidRPr="000C7CDF">
        <w:rPr>
          <w:rFonts w:ascii="Verdana" w:hAnsi="Verdana"/>
          <w:sz w:val="16"/>
          <w:szCs w:val="16"/>
          <w:lang w:val="es-CR"/>
        </w:rPr>
        <w:tab/>
      </w:r>
      <w:r w:rsidRPr="000C7CDF">
        <w:rPr>
          <w:rFonts w:ascii="Verdana" w:hAnsi="Verdana"/>
          <w:i/>
          <w:sz w:val="16"/>
          <w:szCs w:val="16"/>
        </w:rPr>
        <w:t>Cfr. Caso Cinco Pensionistas Vs. Perú</w:t>
      </w:r>
      <w:r>
        <w:rPr>
          <w:rFonts w:ascii="Verdana" w:hAnsi="Verdana"/>
          <w:i/>
          <w:sz w:val="16"/>
          <w:szCs w:val="16"/>
        </w:rPr>
        <w:t>.</w:t>
      </w:r>
      <w:r w:rsidRPr="000C7CDF">
        <w:rPr>
          <w:rFonts w:ascii="Verdana" w:hAnsi="Verdana"/>
          <w:i/>
          <w:sz w:val="16"/>
          <w:szCs w:val="16"/>
        </w:rPr>
        <w:t xml:space="preserve"> Supervisión de Cumplimiento de Sentencia.</w:t>
      </w:r>
      <w:r>
        <w:rPr>
          <w:rFonts w:ascii="Verdana" w:hAnsi="Verdana"/>
          <w:sz w:val="16"/>
          <w:szCs w:val="16"/>
        </w:rPr>
        <w:t xml:space="preserve"> </w:t>
      </w:r>
      <w:r w:rsidRPr="000C7CDF">
        <w:rPr>
          <w:rFonts w:ascii="Verdana" w:hAnsi="Verdana"/>
          <w:sz w:val="16"/>
          <w:szCs w:val="16"/>
        </w:rPr>
        <w:t xml:space="preserve">Resolución de la Corte de 17 de noviembre de 2004, Considerando quinto, y </w:t>
      </w:r>
      <w:r w:rsidRPr="000C7CDF">
        <w:rPr>
          <w:rStyle w:val="Textoennegrita"/>
          <w:rFonts w:ascii="Verdana" w:hAnsi="Verdana"/>
          <w:b w:val="0"/>
          <w:i/>
          <w:color w:val="000000"/>
          <w:sz w:val="16"/>
          <w:szCs w:val="16"/>
          <w:shd w:val="clear" w:color="auto" w:fill="FFFFFF"/>
        </w:rPr>
        <w:t>Caso Palamara Iribarne Vs. Chile. Supervisión de Cumplimiento de Sentencia.</w:t>
      </w:r>
      <w:r w:rsidRPr="000C7CDF">
        <w:rPr>
          <w:rStyle w:val="Textoennegrita"/>
          <w:rFonts w:ascii="Verdana" w:hAnsi="Verdana"/>
          <w:b w:val="0"/>
          <w:color w:val="000000"/>
          <w:sz w:val="16"/>
          <w:szCs w:val="16"/>
          <w:shd w:val="clear" w:color="auto" w:fill="FFFFFF"/>
        </w:rPr>
        <w:t xml:space="preserve"> Resolución de la Corte Interamericana de Derechos Humanos de 1 de septiembre de 2016, Considerando segundo</w:t>
      </w:r>
      <w:r>
        <w:rPr>
          <w:rStyle w:val="Textoennegrita"/>
          <w:rFonts w:ascii="Verdana" w:hAnsi="Verdana"/>
          <w:b w:val="0"/>
          <w:color w:val="000000"/>
          <w:sz w:val="16"/>
          <w:szCs w:val="16"/>
          <w:shd w:val="clear" w:color="auto" w:fill="FFFFFF"/>
        </w:rPr>
        <w:t>.</w:t>
      </w:r>
    </w:p>
  </w:footnote>
  <w:footnote w:id="14">
    <w:p w:rsidR="000B6141" w:rsidRPr="000B6141" w:rsidRDefault="000B6141" w:rsidP="000B6141">
      <w:pPr>
        <w:pStyle w:val="Textonotapie"/>
        <w:tabs>
          <w:tab w:val="left" w:pos="426"/>
        </w:tabs>
        <w:jc w:val="both"/>
        <w:rPr>
          <w:rFonts w:ascii="Verdana" w:hAnsi="Verdana"/>
          <w:sz w:val="16"/>
          <w:szCs w:val="16"/>
          <w:lang w:val="es-CR"/>
        </w:rPr>
      </w:pPr>
      <w:r w:rsidRPr="00577323">
        <w:rPr>
          <w:rStyle w:val="Refdenotaalpie"/>
          <w:rFonts w:ascii="Verdana" w:hAnsi="Verdana"/>
          <w:sz w:val="16"/>
          <w:szCs w:val="16"/>
        </w:rPr>
        <w:footnoteRef/>
      </w:r>
      <w:r w:rsidRPr="00577323">
        <w:rPr>
          <w:rFonts w:ascii="Verdana" w:hAnsi="Verdana"/>
          <w:sz w:val="16"/>
          <w:szCs w:val="16"/>
          <w:lang w:val="de-DE"/>
        </w:rPr>
        <w:t xml:space="preserve"> </w:t>
      </w:r>
      <w:r w:rsidRPr="00577323">
        <w:rPr>
          <w:rFonts w:ascii="Verdana" w:hAnsi="Verdana"/>
          <w:sz w:val="16"/>
          <w:szCs w:val="16"/>
          <w:lang w:val="de-DE"/>
        </w:rPr>
        <w:tab/>
      </w:r>
      <w:r w:rsidRPr="00577323">
        <w:rPr>
          <w:rFonts w:ascii="Verdana" w:hAnsi="Verdana"/>
          <w:i/>
          <w:noProof/>
          <w:color w:val="000000"/>
          <w:sz w:val="16"/>
          <w:szCs w:val="16"/>
          <w:lang w:val="de-DE"/>
        </w:rPr>
        <w:t xml:space="preserve">Cfr. Caso Ivcher Bronstein Vs. </w:t>
      </w:r>
      <w:r w:rsidRPr="00577323">
        <w:rPr>
          <w:rFonts w:ascii="Verdana" w:hAnsi="Verdana"/>
          <w:i/>
          <w:noProof/>
          <w:color w:val="000000"/>
          <w:sz w:val="16"/>
          <w:szCs w:val="16"/>
          <w:lang w:val="es-ES"/>
        </w:rPr>
        <w:t>Perú. Competencia.</w:t>
      </w:r>
      <w:r w:rsidRPr="00577323">
        <w:rPr>
          <w:rFonts w:ascii="Verdana" w:hAnsi="Verdana"/>
          <w:noProof/>
          <w:color w:val="000000"/>
          <w:sz w:val="16"/>
          <w:szCs w:val="16"/>
          <w:lang w:val="es-ES"/>
        </w:rPr>
        <w:t xml:space="preserve"> Sentencia de de la Corte Interamericana de Derechos Humanos de 24 de septiembre de 1999.</w:t>
      </w:r>
      <w:r w:rsidRPr="00577323">
        <w:rPr>
          <w:rFonts w:ascii="Verdana" w:hAnsi="Verdana"/>
          <w:color w:val="000000"/>
          <w:sz w:val="16"/>
          <w:szCs w:val="16"/>
          <w:lang w:val="es-ES"/>
        </w:rPr>
        <w:t xml:space="preserve"> </w:t>
      </w:r>
      <w:r w:rsidRPr="00577323">
        <w:rPr>
          <w:rFonts w:ascii="Verdana" w:hAnsi="Verdana"/>
          <w:noProof/>
          <w:color w:val="000000"/>
          <w:sz w:val="16"/>
          <w:szCs w:val="16"/>
          <w:lang w:val="es-ES"/>
        </w:rPr>
        <w:t xml:space="preserve">Serie C No. 54, párr. 37, </w:t>
      </w:r>
      <w:r w:rsidRPr="00577323">
        <w:rPr>
          <w:rFonts w:ascii="Verdana" w:hAnsi="Verdana"/>
          <w:bCs/>
          <w:color w:val="000000"/>
          <w:sz w:val="16"/>
          <w:szCs w:val="16"/>
          <w:lang w:bidi="en-US"/>
        </w:rPr>
        <w:t xml:space="preserve">y </w:t>
      </w:r>
      <w:r w:rsidRPr="0043134D">
        <w:rPr>
          <w:rStyle w:val="Textoennegrita"/>
          <w:rFonts w:ascii="Verdana" w:hAnsi="Verdana"/>
          <w:b w:val="0"/>
          <w:i/>
          <w:color w:val="000000"/>
          <w:sz w:val="16"/>
          <w:szCs w:val="16"/>
          <w:shd w:val="clear" w:color="auto" w:fill="FFFFFF"/>
        </w:rPr>
        <w:t>Caso Palamara Iribarne Vs. Chile. Supervisión de Cumplimiento de Sentencia</w:t>
      </w:r>
      <w:r w:rsidR="0087250D">
        <w:rPr>
          <w:rStyle w:val="Textoennegrita"/>
          <w:rFonts w:ascii="Verdana" w:hAnsi="Verdana"/>
          <w:b w:val="0"/>
          <w:color w:val="000000"/>
          <w:sz w:val="16"/>
          <w:szCs w:val="16"/>
          <w:shd w:val="clear" w:color="auto" w:fill="FFFFFF"/>
        </w:rPr>
        <w:t xml:space="preserve">, </w:t>
      </w:r>
      <w:r w:rsidR="0087250D" w:rsidRPr="00265A1D">
        <w:rPr>
          <w:rStyle w:val="Textoennegrita"/>
          <w:rFonts w:ascii="Verdana" w:hAnsi="Verdana"/>
          <w:b w:val="0"/>
          <w:i/>
          <w:color w:val="000000"/>
          <w:sz w:val="16"/>
          <w:szCs w:val="16"/>
          <w:shd w:val="clear" w:color="auto" w:fill="FFFFFF"/>
        </w:rPr>
        <w:t>supra</w:t>
      </w:r>
      <w:r w:rsidR="0087250D">
        <w:rPr>
          <w:rStyle w:val="Textoennegrita"/>
          <w:rFonts w:ascii="Verdana" w:hAnsi="Verdana"/>
          <w:b w:val="0"/>
          <w:color w:val="000000"/>
          <w:sz w:val="16"/>
          <w:szCs w:val="16"/>
          <w:shd w:val="clear" w:color="auto" w:fill="FFFFFF"/>
        </w:rPr>
        <w:t xml:space="preserve"> nota 12</w:t>
      </w:r>
      <w:r w:rsidRPr="0043134D">
        <w:rPr>
          <w:rStyle w:val="Textoennegrita"/>
          <w:rFonts w:ascii="Verdana" w:hAnsi="Verdana"/>
          <w:b w:val="0"/>
          <w:color w:val="000000"/>
          <w:sz w:val="16"/>
          <w:szCs w:val="16"/>
          <w:shd w:val="clear" w:color="auto" w:fill="FFFFFF"/>
        </w:rPr>
        <w:t xml:space="preserve">, Considerando </w:t>
      </w:r>
      <w:r>
        <w:rPr>
          <w:rStyle w:val="Textoennegrita"/>
          <w:rFonts w:ascii="Verdana" w:hAnsi="Verdana"/>
          <w:b w:val="0"/>
          <w:color w:val="000000"/>
          <w:sz w:val="16"/>
          <w:szCs w:val="16"/>
          <w:shd w:val="clear" w:color="auto" w:fill="FFFFFF"/>
        </w:rPr>
        <w:t>tercero.</w:t>
      </w:r>
    </w:p>
  </w:footnote>
  <w:footnote w:id="15">
    <w:p w:rsidR="00AC4931" w:rsidRPr="00577323" w:rsidRDefault="00AC4931" w:rsidP="00330F82">
      <w:pPr>
        <w:pStyle w:val="Textonotapie"/>
        <w:tabs>
          <w:tab w:val="left" w:pos="426"/>
        </w:tabs>
        <w:jc w:val="both"/>
        <w:rPr>
          <w:rFonts w:ascii="Verdana" w:hAnsi="Verdana"/>
          <w:b/>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Pr="00577323">
        <w:rPr>
          <w:rFonts w:ascii="Verdana" w:hAnsi="Verdana"/>
          <w:i/>
          <w:sz w:val="16"/>
          <w:szCs w:val="16"/>
        </w:rPr>
        <w:t>Cfr.</w:t>
      </w:r>
      <w:r w:rsidRPr="00577323">
        <w:rPr>
          <w:rFonts w:ascii="Verdana" w:hAnsi="Verdana"/>
          <w:sz w:val="16"/>
          <w:szCs w:val="16"/>
        </w:rPr>
        <w:t xml:space="preserve"> Copia del Registro Oficial N° 133 de 28 de noviembre de 2013, págs. 30 a 35 (anexo al </w:t>
      </w:r>
      <w:r w:rsidR="00330F82" w:rsidRPr="00577323">
        <w:rPr>
          <w:rFonts w:ascii="Verdana" w:hAnsi="Verdana"/>
          <w:sz w:val="16"/>
          <w:szCs w:val="16"/>
        </w:rPr>
        <w:t>informe</w:t>
      </w:r>
      <w:r w:rsidRPr="00577323">
        <w:rPr>
          <w:rFonts w:ascii="Verdana" w:hAnsi="Verdana"/>
          <w:sz w:val="16"/>
          <w:szCs w:val="16"/>
        </w:rPr>
        <w:t xml:space="preserve"> del Estado de 20 de mayo de 2014). </w:t>
      </w:r>
    </w:p>
  </w:footnote>
  <w:footnote w:id="16">
    <w:p w:rsidR="00330F82" w:rsidRPr="00577323" w:rsidRDefault="00330F82" w:rsidP="00330F82">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Pr="00577323">
        <w:rPr>
          <w:rFonts w:ascii="Verdana" w:hAnsi="Verdana"/>
          <w:i/>
          <w:sz w:val="16"/>
          <w:szCs w:val="16"/>
        </w:rPr>
        <w:t>Cfr.</w:t>
      </w:r>
      <w:r w:rsidRPr="00577323">
        <w:rPr>
          <w:rFonts w:ascii="Verdana" w:hAnsi="Verdana"/>
          <w:sz w:val="16"/>
          <w:szCs w:val="16"/>
        </w:rPr>
        <w:t xml:space="preserve"> Copia del diario “El Telégrafo” de 9 de mayo de 2014 (anexo 2 al informe del Estado de 10 de agosto de 2016</w:t>
      </w:r>
      <w:r w:rsidR="00E37A3B">
        <w:rPr>
          <w:rFonts w:ascii="Verdana" w:hAnsi="Verdana"/>
          <w:sz w:val="16"/>
          <w:szCs w:val="16"/>
        </w:rPr>
        <w:t>)</w:t>
      </w:r>
      <w:r w:rsidRPr="00577323">
        <w:rPr>
          <w:rFonts w:ascii="Verdana" w:hAnsi="Verdana"/>
          <w:sz w:val="16"/>
          <w:szCs w:val="16"/>
        </w:rPr>
        <w:t xml:space="preserve">. </w:t>
      </w:r>
    </w:p>
  </w:footnote>
  <w:footnote w:id="17">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Consideraron que la publicación del resumen de la Sentencia realizada en el diario “El Telégrafo” no era adecuada para limpiar el buen nombre de las víctimas, por ser un diario “público de libre circulación en dependencias públicas y algunas privadas”.</w:t>
      </w:r>
    </w:p>
  </w:footnote>
  <w:footnote w:id="18">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00F27D35" w:rsidRPr="00A562F4">
        <w:rPr>
          <w:rFonts w:ascii="Verdana" w:eastAsia="Calibri" w:hAnsi="Verdana" w:cs="Arial"/>
          <w:sz w:val="16"/>
          <w:szCs w:val="16"/>
          <w:lang w:val="es-CR" w:eastAsia="en-US"/>
        </w:rPr>
        <w:t xml:space="preserve"> M</w:t>
      </w:r>
      <w:r w:rsidRPr="00A562F4">
        <w:rPr>
          <w:rFonts w:ascii="Verdana" w:eastAsia="Calibri" w:hAnsi="Verdana" w:cs="Arial"/>
          <w:sz w:val="16"/>
          <w:szCs w:val="16"/>
          <w:lang w:val="es-CR" w:eastAsia="en-US"/>
        </w:rPr>
        <w:t xml:space="preserve">anifestaron que “solo los diarios </w:t>
      </w:r>
      <w:r w:rsidR="00E37A3B" w:rsidRPr="00A562F4">
        <w:rPr>
          <w:rFonts w:ascii="Verdana" w:eastAsia="Calibri" w:hAnsi="Verdana" w:cs="Arial"/>
          <w:sz w:val="16"/>
          <w:szCs w:val="16"/>
          <w:lang w:val="es-CR" w:eastAsia="en-US"/>
        </w:rPr>
        <w:t>‘</w:t>
      </w:r>
      <w:r w:rsidRPr="00A562F4">
        <w:rPr>
          <w:rFonts w:ascii="Verdana" w:eastAsia="Calibri" w:hAnsi="Verdana" w:cs="Arial"/>
          <w:sz w:val="16"/>
          <w:szCs w:val="16"/>
          <w:lang w:val="es-CR" w:eastAsia="en-US"/>
        </w:rPr>
        <w:t>El Comercio</w:t>
      </w:r>
      <w:r w:rsidR="00E37A3B" w:rsidRPr="00A562F4">
        <w:rPr>
          <w:rFonts w:ascii="Verdana" w:eastAsia="Calibri" w:hAnsi="Verdana" w:cs="Arial"/>
          <w:sz w:val="16"/>
          <w:szCs w:val="16"/>
          <w:lang w:val="es-CR" w:eastAsia="en-US"/>
        </w:rPr>
        <w:t>’</w:t>
      </w:r>
      <w:r w:rsidRPr="00A562F4">
        <w:rPr>
          <w:rFonts w:ascii="Verdana" w:eastAsia="Calibri" w:hAnsi="Verdana" w:cs="Arial"/>
          <w:sz w:val="16"/>
          <w:szCs w:val="16"/>
          <w:lang w:val="es-CR" w:eastAsia="en-US"/>
        </w:rPr>
        <w:t xml:space="preserve"> de Quito o el </w:t>
      </w:r>
      <w:r w:rsidR="00E37A3B" w:rsidRPr="00A562F4">
        <w:rPr>
          <w:rFonts w:ascii="Verdana" w:eastAsia="Calibri" w:hAnsi="Verdana" w:cs="Arial"/>
          <w:sz w:val="16"/>
          <w:szCs w:val="16"/>
          <w:lang w:val="es-CR" w:eastAsia="en-US"/>
        </w:rPr>
        <w:t>‘</w:t>
      </w:r>
      <w:r w:rsidRPr="00A562F4">
        <w:rPr>
          <w:rFonts w:ascii="Verdana" w:eastAsia="Calibri" w:hAnsi="Verdana" w:cs="Arial"/>
          <w:sz w:val="16"/>
          <w:szCs w:val="16"/>
          <w:lang w:val="es-CR" w:eastAsia="en-US"/>
        </w:rPr>
        <w:t>Universo</w:t>
      </w:r>
      <w:r w:rsidR="00E37A3B" w:rsidRPr="00A562F4">
        <w:rPr>
          <w:rFonts w:ascii="Verdana" w:eastAsia="Calibri" w:hAnsi="Verdana" w:cs="Arial"/>
          <w:sz w:val="16"/>
          <w:szCs w:val="16"/>
          <w:lang w:val="es-CR" w:eastAsia="en-US"/>
        </w:rPr>
        <w:t>’</w:t>
      </w:r>
      <w:r w:rsidRPr="00A562F4">
        <w:rPr>
          <w:rFonts w:ascii="Verdana" w:eastAsia="Calibri" w:hAnsi="Verdana" w:cs="Arial"/>
          <w:sz w:val="16"/>
          <w:szCs w:val="16"/>
          <w:lang w:val="es-CR" w:eastAsia="en-US"/>
        </w:rPr>
        <w:t xml:space="preserve"> de Guayaquil </w:t>
      </w:r>
      <w:proofErr w:type="gramStart"/>
      <w:r w:rsidRPr="00A562F4">
        <w:rPr>
          <w:rFonts w:ascii="Verdana" w:eastAsia="Calibri" w:hAnsi="Verdana" w:cs="Arial"/>
          <w:sz w:val="16"/>
          <w:szCs w:val="16"/>
          <w:lang w:val="es-CR" w:eastAsia="en-US"/>
        </w:rPr>
        <w:t>cumpl[</w:t>
      </w:r>
      <w:proofErr w:type="gramEnd"/>
      <w:r w:rsidRPr="00A562F4">
        <w:rPr>
          <w:rFonts w:ascii="Verdana" w:eastAsia="Calibri" w:hAnsi="Verdana" w:cs="Arial"/>
          <w:sz w:val="16"/>
          <w:szCs w:val="16"/>
          <w:lang w:val="es-CR" w:eastAsia="en-US"/>
        </w:rPr>
        <w:t>ían</w:t>
      </w:r>
      <w:r w:rsidRPr="00577323">
        <w:rPr>
          <w:rFonts w:ascii="Verdana" w:hAnsi="Verdana"/>
          <w:sz w:val="16"/>
          <w:szCs w:val="16"/>
        </w:rPr>
        <w:t>]</w:t>
      </w:r>
      <w:r w:rsidRPr="00A562F4">
        <w:rPr>
          <w:rFonts w:ascii="Verdana" w:eastAsia="Calibri" w:hAnsi="Verdana" w:cs="Arial"/>
          <w:sz w:val="16"/>
          <w:szCs w:val="16"/>
          <w:lang w:val="es-CR" w:eastAsia="en-US"/>
        </w:rPr>
        <w:t xml:space="preserve"> con los criterios de respetabilidad y amplia difusión que debe tener el diario en el que se publique el extracto de las sentencias”</w:t>
      </w:r>
      <w:r w:rsidRPr="00577323">
        <w:rPr>
          <w:rFonts w:ascii="Verdana" w:hAnsi="Verdana"/>
          <w:sz w:val="16"/>
          <w:szCs w:val="16"/>
        </w:rPr>
        <w:t>.</w:t>
      </w:r>
    </w:p>
  </w:footnote>
  <w:footnote w:id="19">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00AC7636" w:rsidRPr="00577323">
        <w:rPr>
          <w:rFonts w:ascii="Verdana" w:hAnsi="Verdana"/>
          <w:sz w:val="16"/>
          <w:szCs w:val="16"/>
        </w:rPr>
        <w:t xml:space="preserve">Junto con su escrito de 21 de octubre de 2015 el Estado aportó una tabla que contiene información sobre el porcentaje de “distribución” del diario “El Telégrafo” en cada una de las 24 provincias del Ecuador. Según esa tabla las provincias de Azuay, El Oro, Guayas y Pichincha son en las que el diario tiene un </w:t>
      </w:r>
      <w:r w:rsidR="00F27D35">
        <w:rPr>
          <w:rFonts w:ascii="Verdana" w:hAnsi="Verdana"/>
          <w:sz w:val="16"/>
          <w:szCs w:val="16"/>
        </w:rPr>
        <w:t>m</w:t>
      </w:r>
      <w:r w:rsidR="00AC7636" w:rsidRPr="00577323">
        <w:rPr>
          <w:rFonts w:ascii="Verdana" w:hAnsi="Verdana"/>
          <w:sz w:val="16"/>
          <w:szCs w:val="16"/>
        </w:rPr>
        <w:t>ayor porcentaje de “distribución”.</w:t>
      </w:r>
    </w:p>
  </w:footnote>
  <w:footnote w:id="20">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00F27D35">
        <w:rPr>
          <w:rFonts w:ascii="Verdana" w:hAnsi="Verdana"/>
          <w:sz w:val="16"/>
          <w:szCs w:val="16"/>
        </w:rPr>
        <w:t>El Estado s</w:t>
      </w:r>
      <w:r w:rsidRPr="00577323">
        <w:rPr>
          <w:rFonts w:ascii="Verdana" w:hAnsi="Verdana"/>
          <w:sz w:val="16"/>
          <w:szCs w:val="16"/>
        </w:rPr>
        <w:t xml:space="preserve">ostuvo que “de conformidad con lo establecido en el párrafo segundo del artículo 6 de la Ley Orgánica de Comunicación, un medio de comunicación impreso adquiere carácter ‘nacional’ siempre que la publicación circule en una o más provincias del territorio de la República del Ecuador cuya población corresponda, individual o conjuntamente, al 30% o más del total de habitantes del país, de acuerdo con el último censo nacional”. En cuanto al diario “El Telégrafo” indicó que “circula en todo el territorio nacional, cuya población supera ampliamente el 30% del total de habitantes del país, lo que aporta prueba objetiva de que el medio impreso es de ‘amplia’ circulación nacional”. </w:t>
      </w:r>
    </w:p>
  </w:footnote>
  <w:footnote w:id="21">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Señaló que la publicación del resumen de la Sentencia se distribuyó en las 24 provincias del país, para lo cual se imprimieron 28.000 (veintiocho mil) ejemplares del diario, y que también se puede encontrar en digital. </w:t>
      </w:r>
    </w:p>
  </w:footnote>
  <w:footnote w:id="22">
    <w:p w:rsidR="00FF1306" w:rsidRPr="00577323" w:rsidRDefault="00FF1306" w:rsidP="00E37A3B">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Pr="00265A1D">
        <w:rPr>
          <w:rFonts w:ascii="Verdana" w:hAnsi="Verdana"/>
          <w:i/>
          <w:sz w:val="16"/>
          <w:szCs w:val="16"/>
        </w:rPr>
        <w:t>Cfr.</w:t>
      </w:r>
      <w:r w:rsidRPr="00577323">
        <w:rPr>
          <w:rFonts w:ascii="Verdana" w:hAnsi="Verdana"/>
          <w:sz w:val="16"/>
          <w:szCs w:val="16"/>
        </w:rPr>
        <w:t xml:space="preserve"> </w:t>
      </w:r>
      <w:r w:rsidRPr="00577323">
        <w:rPr>
          <w:rStyle w:val="Textoennegrita"/>
          <w:rFonts w:ascii="Verdana" w:hAnsi="Verdana"/>
          <w:b w:val="0"/>
          <w:i/>
          <w:color w:val="000000"/>
          <w:sz w:val="16"/>
          <w:szCs w:val="16"/>
          <w:shd w:val="clear" w:color="auto" w:fill="FFFFFF"/>
        </w:rPr>
        <w:t>Caso Mohamed Vs. Argentina. Supervisión de Cumplimiento de Sentencia.</w:t>
      </w:r>
      <w:r w:rsidRPr="00577323">
        <w:rPr>
          <w:rStyle w:val="Textoennegrita"/>
          <w:rFonts w:ascii="Verdana" w:hAnsi="Verdana"/>
          <w:b w:val="0"/>
          <w:color w:val="000000"/>
          <w:sz w:val="16"/>
          <w:szCs w:val="16"/>
          <w:shd w:val="clear" w:color="auto" w:fill="FFFFFF"/>
        </w:rPr>
        <w:t xml:space="preserve"> Resolución de la Corte Interamericana de Derechos Humanos de 13 de noviembre de 2015, Considerando </w:t>
      </w:r>
      <w:r w:rsidR="00F27D35">
        <w:rPr>
          <w:rStyle w:val="Textoennegrita"/>
          <w:rFonts w:ascii="Verdana" w:hAnsi="Verdana"/>
          <w:b w:val="0"/>
          <w:color w:val="000000"/>
          <w:sz w:val="16"/>
          <w:szCs w:val="16"/>
          <w:shd w:val="clear" w:color="auto" w:fill="FFFFFF"/>
        </w:rPr>
        <w:t>décimo segundo</w:t>
      </w:r>
      <w:r w:rsidRPr="00577323">
        <w:rPr>
          <w:rStyle w:val="Textoennegrita"/>
          <w:rFonts w:ascii="Verdana" w:hAnsi="Verdana"/>
          <w:b w:val="0"/>
          <w:color w:val="000000"/>
          <w:sz w:val="16"/>
          <w:szCs w:val="16"/>
          <w:shd w:val="clear" w:color="auto" w:fill="FFFFFF"/>
        </w:rPr>
        <w:t xml:space="preserve">, y </w:t>
      </w:r>
      <w:r w:rsidRPr="00577323">
        <w:rPr>
          <w:rStyle w:val="Textoennegrita"/>
          <w:rFonts w:ascii="Verdana" w:hAnsi="Verdana"/>
          <w:b w:val="0"/>
          <w:i/>
          <w:color w:val="000000"/>
          <w:sz w:val="16"/>
          <w:szCs w:val="16"/>
          <w:shd w:val="clear" w:color="auto" w:fill="FFFFFF"/>
        </w:rPr>
        <w:t>Caso del Tribunal Constitucional (Camba Campos y otros) Vs. Ecuador. Supervisión de Cumplimiento de Sentencia.</w:t>
      </w:r>
      <w:r w:rsidRPr="00577323">
        <w:rPr>
          <w:rStyle w:val="Textoennegrita"/>
          <w:rFonts w:ascii="Verdana" w:hAnsi="Verdana"/>
          <w:b w:val="0"/>
          <w:color w:val="000000"/>
          <w:sz w:val="16"/>
          <w:szCs w:val="16"/>
          <w:shd w:val="clear" w:color="auto" w:fill="FFFFFF"/>
        </w:rPr>
        <w:t xml:space="preserve"> Resolución de la Corte Interamericana de Derechos Humanos de 23 de junio de 2016, Considerando </w:t>
      </w:r>
      <w:r w:rsidR="00F27D35">
        <w:rPr>
          <w:rStyle w:val="Textoennegrita"/>
          <w:rFonts w:ascii="Verdana" w:hAnsi="Verdana"/>
          <w:b w:val="0"/>
          <w:color w:val="000000"/>
          <w:sz w:val="16"/>
          <w:szCs w:val="16"/>
          <w:shd w:val="clear" w:color="auto" w:fill="FFFFFF"/>
        </w:rPr>
        <w:t>octavo</w:t>
      </w:r>
      <w:r w:rsidRPr="00577323">
        <w:rPr>
          <w:rStyle w:val="Textoennegrita"/>
          <w:rFonts w:ascii="Verdana" w:hAnsi="Verdana"/>
          <w:b w:val="0"/>
          <w:color w:val="000000"/>
          <w:sz w:val="16"/>
          <w:szCs w:val="16"/>
          <w:shd w:val="clear" w:color="auto" w:fill="FFFFFF"/>
        </w:rPr>
        <w:t>.</w:t>
      </w:r>
    </w:p>
  </w:footnote>
  <w:footnote w:id="23">
    <w:p w:rsidR="00E54DE8" w:rsidRPr="00577323" w:rsidRDefault="00E54DE8"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Según el comprobante aportado por el Estado dicha publicación </w:t>
      </w:r>
      <w:r w:rsidR="00175E91">
        <w:rPr>
          <w:rFonts w:ascii="Verdana" w:hAnsi="Verdana"/>
          <w:sz w:val="16"/>
          <w:szCs w:val="16"/>
        </w:rPr>
        <w:t>se realizó</w:t>
      </w:r>
      <w:r w:rsidR="008D1B80" w:rsidRPr="00577323">
        <w:rPr>
          <w:rFonts w:ascii="Verdana" w:hAnsi="Verdana"/>
          <w:sz w:val="16"/>
          <w:szCs w:val="16"/>
        </w:rPr>
        <w:t xml:space="preserve"> en el siguiente enlace: </w:t>
      </w:r>
      <w:hyperlink r:id="rId4" w:history="1">
        <w:r w:rsidR="008D1B80" w:rsidRPr="00577323">
          <w:rPr>
            <w:rStyle w:val="Hipervnculo"/>
            <w:rFonts w:ascii="Verdana" w:hAnsi="Verdana"/>
            <w:sz w:val="16"/>
            <w:szCs w:val="16"/>
          </w:rPr>
          <w:t>http://www.funcionjudicial.gob.ec/index.php/es/component/content/article/25-consejo-judicatura/353-derechos-humanos.html</w:t>
        </w:r>
      </w:hyperlink>
      <w:r w:rsidR="008D1B80" w:rsidRPr="00577323">
        <w:rPr>
          <w:rFonts w:ascii="Verdana" w:hAnsi="Verdana"/>
          <w:sz w:val="16"/>
          <w:szCs w:val="16"/>
        </w:rPr>
        <w:t xml:space="preserve">. </w:t>
      </w:r>
      <w:r w:rsidRPr="00577323">
        <w:rPr>
          <w:rFonts w:ascii="Verdana" w:hAnsi="Verdana"/>
          <w:i/>
          <w:sz w:val="16"/>
          <w:szCs w:val="16"/>
        </w:rPr>
        <w:t>Cfr.</w:t>
      </w:r>
      <w:r w:rsidRPr="00577323">
        <w:rPr>
          <w:rFonts w:ascii="Verdana" w:hAnsi="Verdana"/>
          <w:sz w:val="16"/>
          <w:szCs w:val="16"/>
        </w:rPr>
        <w:t xml:space="preserve"> Comprobante de la publicación del texto íntegro de la Sentencia realizada en el sitio </w:t>
      </w:r>
      <w:r w:rsidRPr="000C7CDF">
        <w:rPr>
          <w:rFonts w:ascii="Verdana" w:hAnsi="Verdana"/>
          <w:i/>
          <w:sz w:val="16"/>
          <w:szCs w:val="16"/>
        </w:rPr>
        <w:t>web</w:t>
      </w:r>
      <w:r w:rsidRPr="00577323">
        <w:rPr>
          <w:rFonts w:ascii="Verdana" w:hAnsi="Verdana"/>
          <w:sz w:val="16"/>
          <w:szCs w:val="16"/>
        </w:rPr>
        <w:t xml:space="preserve"> del Consejo de la Judicatura (anexo 3 al escrito de</w:t>
      </w:r>
      <w:r w:rsidR="00E37A3B">
        <w:rPr>
          <w:rFonts w:ascii="Verdana" w:hAnsi="Verdana"/>
          <w:sz w:val="16"/>
          <w:szCs w:val="16"/>
        </w:rPr>
        <w:t>l Estado de</w:t>
      </w:r>
      <w:r w:rsidRPr="00577323">
        <w:rPr>
          <w:rFonts w:ascii="Verdana" w:hAnsi="Verdana"/>
          <w:sz w:val="16"/>
          <w:szCs w:val="16"/>
        </w:rPr>
        <w:t xml:space="preserve"> 20 de mayo de 2014). </w:t>
      </w:r>
    </w:p>
  </w:footnote>
  <w:footnote w:id="24">
    <w:p w:rsidR="00175E91" w:rsidRDefault="00E7077B"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00D5658C" w:rsidRPr="00577323">
        <w:rPr>
          <w:rFonts w:ascii="Verdana" w:hAnsi="Verdana"/>
          <w:sz w:val="16"/>
          <w:szCs w:val="16"/>
        </w:rPr>
        <w:tab/>
      </w:r>
      <w:r w:rsidR="00E54DE8" w:rsidRPr="00577323">
        <w:rPr>
          <w:rFonts w:ascii="Verdana" w:hAnsi="Verdana"/>
          <w:sz w:val="16"/>
          <w:szCs w:val="16"/>
        </w:rPr>
        <w:t xml:space="preserve">Según el comprobante aportado por el Estado dicha publicación </w:t>
      </w:r>
      <w:r w:rsidR="00175E91">
        <w:rPr>
          <w:rFonts w:ascii="Verdana" w:hAnsi="Verdana"/>
          <w:sz w:val="16"/>
          <w:szCs w:val="16"/>
        </w:rPr>
        <w:t>se realizó</w:t>
      </w:r>
      <w:r w:rsidR="00E54DE8" w:rsidRPr="00577323">
        <w:rPr>
          <w:rFonts w:ascii="Verdana" w:hAnsi="Verdana"/>
          <w:sz w:val="16"/>
          <w:szCs w:val="16"/>
        </w:rPr>
        <w:t xml:space="preserve"> en el siguiente enlace: </w:t>
      </w:r>
      <w:hyperlink r:id="rId5" w:history="1">
        <w:r w:rsidR="00E54DE8" w:rsidRPr="00577323">
          <w:rPr>
            <w:rStyle w:val="Hipervnculo"/>
            <w:rFonts w:ascii="Verdana" w:hAnsi="Verdana"/>
            <w:sz w:val="16"/>
            <w:szCs w:val="16"/>
          </w:rPr>
          <w:t>http://www.justicia.gob.ec/wp-content/uploads/2012/09/Sentencia-Quintana-Coello.pdf</w:t>
        </w:r>
      </w:hyperlink>
      <w:r w:rsidR="00E54DE8" w:rsidRPr="00577323">
        <w:rPr>
          <w:rFonts w:ascii="Verdana" w:hAnsi="Verdana"/>
          <w:sz w:val="16"/>
          <w:szCs w:val="16"/>
        </w:rPr>
        <w:t xml:space="preserve">. </w:t>
      </w:r>
    </w:p>
    <w:p w:rsidR="00E7077B" w:rsidRPr="00577323" w:rsidRDefault="00E7077B" w:rsidP="00142647">
      <w:pPr>
        <w:pStyle w:val="Textonotapie"/>
        <w:tabs>
          <w:tab w:val="left" w:pos="426"/>
        </w:tabs>
        <w:jc w:val="both"/>
        <w:rPr>
          <w:rFonts w:ascii="Verdana" w:hAnsi="Verdana"/>
          <w:sz w:val="16"/>
          <w:szCs w:val="16"/>
        </w:rPr>
      </w:pPr>
      <w:r w:rsidRPr="00577323">
        <w:rPr>
          <w:rFonts w:ascii="Verdana" w:hAnsi="Verdana"/>
          <w:i/>
          <w:sz w:val="16"/>
          <w:szCs w:val="16"/>
        </w:rPr>
        <w:t xml:space="preserve">Cfr. </w:t>
      </w:r>
      <w:r w:rsidRPr="00577323">
        <w:rPr>
          <w:rFonts w:ascii="Verdana" w:hAnsi="Verdana"/>
          <w:sz w:val="16"/>
          <w:szCs w:val="16"/>
        </w:rPr>
        <w:t xml:space="preserve">Comprobante de la publicación </w:t>
      </w:r>
      <w:r w:rsidR="00E54DE8" w:rsidRPr="00577323">
        <w:rPr>
          <w:rFonts w:ascii="Verdana" w:hAnsi="Verdana"/>
          <w:sz w:val="16"/>
          <w:szCs w:val="16"/>
        </w:rPr>
        <w:t xml:space="preserve">del texto íntegro de la Sentencia realizada en el sitio </w:t>
      </w:r>
      <w:r w:rsidR="00E54DE8" w:rsidRPr="000C7CDF">
        <w:rPr>
          <w:rFonts w:ascii="Verdana" w:hAnsi="Verdana"/>
          <w:i/>
          <w:sz w:val="16"/>
          <w:szCs w:val="16"/>
        </w:rPr>
        <w:t>web</w:t>
      </w:r>
      <w:r w:rsidR="00E54DE8" w:rsidRPr="00577323">
        <w:rPr>
          <w:rFonts w:ascii="Verdana" w:hAnsi="Verdana"/>
          <w:sz w:val="16"/>
          <w:szCs w:val="16"/>
        </w:rPr>
        <w:t xml:space="preserve"> del</w:t>
      </w:r>
      <w:r w:rsidR="00175E91">
        <w:rPr>
          <w:rFonts w:ascii="Verdana" w:hAnsi="Verdana"/>
          <w:sz w:val="16"/>
          <w:szCs w:val="16"/>
        </w:rPr>
        <w:t xml:space="preserve"> Ministerio de Justicia, Derechos Humanos y Cultos</w:t>
      </w:r>
      <w:r w:rsidR="00E54DE8" w:rsidRPr="00577323">
        <w:rPr>
          <w:rFonts w:ascii="Verdana" w:hAnsi="Verdana"/>
          <w:sz w:val="16"/>
          <w:szCs w:val="16"/>
        </w:rPr>
        <w:t xml:space="preserve"> </w:t>
      </w:r>
      <w:r w:rsidRPr="00577323">
        <w:rPr>
          <w:rFonts w:ascii="Verdana" w:hAnsi="Verdana"/>
          <w:sz w:val="16"/>
          <w:szCs w:val="16"/>
        </w:rPr>
        <w:t xml:space="preserve">(anexo </w:t>
      </w:r>
      <w:r w:rsidR="00E54DE8" w:rsidRPr="00577323">
        <w:rPr>
          <w:rFonts w:ascii="Verdana" w:hAnsi="Verdana"/>
          <w:sz w:val="16"/>
          <w:szCs w:val="16"/>
        </w:rPr>
        <w:t xml:space="preserve">2 </w:t>
      </w:r>
      <w:r w:rsidRPr="00577323">
        <w:rPr>
          <w:rFonts w:ascii="Verdana" w:hAnsi="Verdana"/>
          <w:sz w:val="16"/>
          <w:szCs w:val="16"/>
        </w:rPr>
        <w:t xml:space="preserve">al escrito del Estado de 20 de mayo de 2014). </w:t>
      </w:r>
    </w:p>
  </w:footnote>
  <w:footnote w:id="25">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Pr="00577323">
        <w:rPr>
          <w:rFonts w:ascii="Verdana" w:hAnsi="Verdana"/>
          <w:i/>
          <w:sz w:val="16"/>
          <w:szCs w:val="16"/>
        </w:rPr>
        <w:t xml:space="preserve">Cfr. </w:t>
      </w:r>
      <w:r w:rsidRPr="00577323">
        <w:rPr>
          <w:rStyle w:val="Textoennegrita"/>
          <w:rFonts w:ascii="Verdana" w:hAnsi="Verdana"/>
          <w:b w:val="0"/>
          <w:i/>
          <w:color w:val="000000"/>
          <w:sz w:val="16"/>
          <w:szCs w:val="16"/>
          <w:shd w:val="clear" w:color="auto" w:fill="FFFFFF"/>
        </w:rPr>
        <w:t xml:space="preserve">Caso de la Corte Suprema de Justicia (Quintana Coello y otros), supra, </w:t>
      </w:r>
      <w:r w:rsidRPr="00577323">
        <w:rPr>
          <w:rStyle w:val="Textoennegrita"/>
          <w:rFonts w:ascii="Verdana" w:hAnsi="Verdana"/>
          <w:b w:val="0"/>
          <w:color w:val="000000"/>
          <w:sz w:val="16"/>
          <w:szCs w:val="16"/>
          <w:shd w:val="clear" w:color="auto" w:fill="FFFFFF"/>
        </w:rPr>
        <w:t>párr. 214.</w:t>
      </w:r>
    </w:p>
  </w:footnote>
  <w:footnote w:id="26">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En su escrito de 23 de octubre de 2014 el Estado afirmó que “de manera anticipada a lo establecido […] en la Sentencia […], realizó la liquidación indemnizatoria de US$60.000 […] a cada uno de los 27 ex magistrados de la Ex </w:t>
      </w:r>
      <w:r w:rsidR="00CF0E9B" w:rsidRPr="00577323">
        <w:rPr>
          <w:rFonts w:ascii="Verdana" w:hAnsi="Verdana"/>
          <w:sz w:val="16"/>
          <w:szCs w:val="16"/>
        </w:rPr>
        <w:t>C</w:t>
      </w:r>
      <w:r w:rsidRPr="00577323">
        <w:rPr>
          <w:rFonts w:ascii="Verdana" w:hAnsi="Verdana"/>
          <w:sz w:val="16"/>
          <w:szCs w:val="16"/>
        </w:rPr>
        <w:t xml:space="preserve">orte Suprema de Justicia, por concepto del pago de los valores ordenados como medida de restitución”. Ecuador aportó como anexo una tabla que contiene información específica </w:t>
      </w:r>
      <w:r w:rsidR="00CF0E9B" w:rsidRPr="00577323">
        <w:rPr>
          <w:rFonts w:ascii="Verdana" w:hAnsi="Verdana"/>
          <w:sz w:val="16"/>
          <w:szCs w:val="16"/>
        </w:rPr>
        <w:t xml:space="preserve">respecto al pago de </w:t>
      </w:r>
      <w:r w:rsidRPr="00577323">
        <w:rPr>
          <w:rFonts w:ascii="Verdana" w:hAnsi="Verdana"/>
          <w:sz w:val="16"/>
          <w:szCs w:val="16"/>
        </w:rPr>
        <w:t>cada una de las 27 víctimas</w:t>
      </w:r>
      <w:r w:rsidR="00175E91">
        <w:rPr>
          <w:rFonts w:ascii="Verdana" w:hAnsi="Verdana"/>
          <w:sz w:val="16"/>
          <w:szCs w:val="16"/>
        </w:rPr>
        <w:t xml:space="preserve">, en la cual </w:t>
      </w:r>
      <w:r w:rsidR="00D5658C" w:rsidRPr="00577323">
        <w:rPr>
          <w:rFonts w:ascii="Verdana" w:hAnsi="Verdana"/>
          <w:sz w:val="16"/>
          <w:szCs w:val="16"/>
        </w:rPr>
        <w:t>se indica el pago de US$60.</w:t>
      </w:r>
      <w:r w:rsidRPr="00577323">
        <w:rPr>
          <w:rFonts w:ascii="Verdana" w:hAnsi="Verdana"/>
          <w:sz w:val="16"/>
          <w:szCs w:val="16"/>
        </w:rPr>
        <w:t xml:space="preserve">000 a cada una de </w:t>
      </w:r>
      <w:r w:rsidR="00175E91">
        <w:rPr>
          <w:rFonts w:ascii="Verdana" w:hAnsi="Verdana"/>
          <w:sz w:val="16"/>
          <w:szCs w:val="16"/>
        </w:rPr>
        <w:t>ellas</w:t>
      </w:r>
      <w:r w:rsidRPr="00577323">
        <w:rPr>
          <w:rFonts w:ascii="Verdana" w:hAnsi="Verdana"/>
          <w:sz w:val="16"/>
          <w:szCs w:val="16"/>
        </w:rPr>
        <w:t>, el “número de comprobante de pago” de cada una y la fecha en la cual fue realizad</w:t>
      </w:r>
      <w:r w:rsidR="00175E91">
        <w:rPr>
          <w:rFonts w:ascii="Verdana" w:hAnsi="Verdana"/>
          <w:sz w:val="16"/>
          <w:szCs w:val="16"/>
        </w:rPr>
        <w:t>o</w:t>
      </w:r>
      <w:r w:rsidRPr="00577323">
        <w:rPr>
          <w:rFonts w:ascii="Verdana" w:hAnsi="Verdana"/>
          <w:sz w:val="16"/>
          <w:szCs w:val="16"/>
        </w:rPr>
        <w:t xml:space="preserve"> el pago (7 de agosto de 2014).</w:t>
      </w:r>
      <w:r w:rsidR="00175E91">
        <w:rPr>
          <w:rFonts w:ascii="Verdana" w:hAnsi="Verdana"/>
          <w:sz w:val="16"/>
          <w:szCs w:val="16"/>
        </w:rPr>
        <w:t xml:space="preserve"> </w:t>
      </w:r>
    </w:p>
  </w:footnote>
  <w:footnote w:id="27">
    <w:p w:rsidR="007E626F" w:rsidRPr="00577323" w:rsidRDefault="007E626F" w:rsidP="00FF1306">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Se dio plazo a los representantes para que presentaran observaciones a lo informado por el Estado y éstos no presentaron objeción alguna con respecto a que dicho monto fue pagado a cada una de las 27 víctimas el 7 de agosto de 2014.</w:t>
      </w:r>
    </w:p>
  </w:footnote>
  <w:footnote w:id="28">
    <w:p w:rsidR="003F1E29" w:rsidRPr="00577323" w:rsidRDefault="003F1E29" w:rsidP="003F1E29">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En el </w:t>
      </w:r>
      <w:r w:rsidRPr="000C7CDF">
        <w:rPr>
          <w:rFonts w:ascii="Verdana" w:hAnsi="Verdana"/>
          <w:sz w:val="16"/>
          <w:szCs w:val="16"/>
        </w:rPr>
        <w:t>párrafo 248</w:t>
      </w:r>
      <w:r w:rsidRPr="00577323">
        <w:rPr>
          <w:rFonts w:ascii="Verdana" w:hAnsi="Verdana"/>
          <w:sz w:val="16"/>
          <w:szCs w:val="16"/>
        </w:rPr>
        <w:t xml:space="preserve"> la Corte “fij[ó] la cantidad de US$409.985,61 […] por concepto de daño material por las remuneraciones más beneficios sociales dejados de percibir hasta el año 2008, a favor de cada una de las [siguientes] víctimas […]: Alfonso Ernesto Albán Gomes, José Santiago Andrade Ubidia, José Julio Benítez Astudillo, Eduardo Enrique Brito Mieles, Nicolás Castro Patiño, Lucio Teodoro Coello Vázquez, Galo Miguel Galarza Paz, Luis Alberto Heredia Moreno, Ángel Ignacio Lescano Fiallo, Galo Alonso Pico Mantilla, Hernán Gonzalo Quevedo Terán, Jorge Enrique Ramírez Álvarez, Miguel Elías Villacís Gómez, Gonzalo Augusto Zambrano Palacios, Jorge Aurelio Andrade Lara, Armando Bermeo Castillo, Naum Clotario Salinas Montaño y Estuardo Agustín Hurtado Larrea”. En el </w:t>
      </w:r>
      <w:r w:rsidRPr="000C7CDF">
        <w:rPr>
          <w:rFonts w:ascii="Verdana" w:hAnsi="Verdana"/>
          <w:sz w:val="16"/>
          <w:szCs w:val="16"/>
        </w:rPr>
        <w:t>párrafo 251</w:t>
      </w:r>
      <w:r w:rsidRPr="00577323">
        <w:rPr>
          <w:rFonts w:ascii="Verdana" w:hAnsi="Verdana"/>
          <w:sz w:val="16"/>
          <w:szCs w:val="16"/>
        </w:rPr>
        <w:t xml:space="preserve"> la Corte también fijó el referido monto a favor de la víctima Alberto Rodrigo Varea Avilés.</w:t>
      </w:r>
    </w:p>
    <w:p w:rsidR="003F1E29" w:rsidRPr="00577323" w:rsidRDefault="003F1E29" w:rsidP="003F1E29">
      <w:pPr>
        <w:pStyle w:val="Textonotapie"/>
        <w:tabs>
          <w:tab w:val="left" w:pos="426"/>
        </w:tabs>
        <w:jc w:val="both"/>
        <w:rPr>
          <w:rFonts w:ascii="Verdana" w:hAnsi="Verdana"/>
          <w:sz w:val="16"/>
          <w:szCs w:val="16"/>
        </w:rPr>
      </w:pPr>
      <w:r w:rsidRPr="00577323">
        <w:rPr>
          <w:rFonts w:ascii="Verdana" w:hAnsi="Verdana"/>
          <w:sz w:val="16"/>
          <w:szCs w:val="16"/>
        </w:rPr>
        <w:t xml:space="preserve">En el </w:t>
      </w:r>
      <w:r w:rsidRPr="000C7CDF">
        <w:rPr>
          <w:rFonts w:ascii="Verdana" w:hAnsi="Verdana"/>
          <w:sz w:val="16"/>
          <w:szCs w:val="16"/>
        </w:rPr>
        <w:t>párrafo 249</w:t>
      </w:r>
      <w:r w:rsidRPr="00577323">
        <w:rPr>
          <w:rFonts w:ascii="Verdana" w:hAnsi="Verdana"/>
          <w:sz w:val="16"/>
          <w:szCs w:val="16"/>
        </w:rPr>
        <w:t xml:space="preserve"> </w:t>
      </w:r>
      <w:r>
        <w:rPr>
          <w:rFonts w:ascii="Verdana" w:hAnsi="Verdana"/>
          <w:sz w:val="16"/>
          <w:szCs w:val="16"/>
        </w:rPr>
        <w:t xml:space="preserve">la Corte </w:t>
      </w:r>
      <w:r w:rsidRPr="00577323">
        <w:rPr>
          <w:rFonts w:ascii="Verdana" w:hAnsi="Verdana"/>
          <w:sz w:val="16"/>
          <w:szCs w:val="16"/>
        </w:rPr>
        <w:t xml:space="preserve">fijó por concepto de daño material las siguientes cantidades: a) a Arturo Javier Donoso Castellón la suma de US$334.608,83; b) a Armando José Ramón Serrano la suma de US$371.261,73; c) a Hugo Quintana Coello la suma de US$442.056,39; d) a Carlos Javier Riofrío Corral la suma de US$395.151,24, y e) a Alfredo Roberto Contreras Villavicencio la suma de US$369.251,36. </w:t>
      </w:r>
    </w:p>
    <w:p w:rsidR="003F1E29" w:rsidRPr="00577323" w:rsidRDefault="003F1E29" w:rsidP="003F1E29">
      <w:pPr>
        <w:pStyle w:val="Textonotapie"/>
        <w:tabs>
          <w:tab w:val="left" w:pos="426"/>
        </w:tabs>
        <w:jc w:val="both"/>
        <w:rPr>
          <w:rFonts w:ascii="Verdana" w:hAnsi="Verdana"/>
          <w:sz w:val="16"/>
          <w:szCs w:val="16"/>
        </w:rPr>
      </w:pPr>
      <w:r w:rsidRPr="00577323">
        <w:rPr>
          <w:rFonts w:ascii="Verdana" w:hAnsi="Verdana"/>
          <w:sz w:val="16"/>
          <w:szCs w:val="16"/>
        </w:rPr>
        <w:t xml:space="preserve">En el </w:t>
      </w:r>
      <w:r w:rsidRPr="000C7CDF">
        <w:rPr>
          <w:rFonts w:ascii="Verdana" w:hAnsi="Verdana"/>
          <w:sz w:val="16"/>
          <w:szCs w:val="16"/>
        </w:rPr>
        <w:t>párrafo 250</w:t>
      </w:r>
      <w:r w:rsidRPr="00577323">
        <w:rPr>
          <w:rFonts w:ascii="Verdana" w:hAnsi="Verdana"/>
          <w:sz w:val="16"/>
          <w:szCs w:val="16"/>
        </w:rPr>
        <w:t xml:space="preserve"> fijó por concepto de daño material la suma de US$252.401,64 para la víctima Teófilo Milton Moreno Aguirre. </w:t>
      </w:r>
    </w:p>
    <w:p w:rsidR="003F1E29" w:rsidRPr="00577323" w:rsidRDefault="003F1E29" w:rsidP="003F1E29">
      <w:pPr>
        <w:pStyle w:val="Textonotapie"/>
        <w:tabs>
          <w:tab w:val="left" w:pos="426"/>
        </w:tabs>
        <w:jc w:val="both"/>
        <w:rPr>
          <w:rFonts w:ascii="Verdana" w:hAnsi="Verdana"/>
          <w:sz w:val="16"/>
          <w:szCs w:val="16"/>
          <w:lang w:val="es-CR"/>
        </w:rPr>
      </w:pPr>
      <w:r w:rsidRPr="00577323">
        <w:rPr>
          <w:rFonts w:ascii="Verdana" w:hAnsi="Verdana"/>
          <w:sz w:val="16"/>
          <w:szCs w:val="16"/>
        </w:rPr>
        <w:t xml:space="preserve">En los </w:t>
      </w:r>
      <w:r w:rsidRPr="000C7CDF">
        <w:rPr>
          <w:rFonts w:ascii="Verdana" w:hAnsi="Verdana"/>
          <w:sz w:val="16"/>
          <w:szCs w:val="16"/>
        </w:rPr>
        <w:t>párrafos 248, 249 y 251</w:t>
      </w:r>
      <w:r w:rsidRPr="00577323">
        <w:rPr>
          <w:rFonts w:ascii="Verdana" w:hAnsi="Verdana"/>
          <w:sz w:val="16"/>
          <w:szCs w:val="16"/>
        </w:rPr>
        <w:t xml:space="preserve"> la Corte fijó los montos que </w:t>
      </w:r>
      <w:r w:rsidR="00E37A3B">
        <w:rPr>
          <w:rFonts w:ascii="Verdana" w:hAnsi="Verdana"/>
          <w:sz w:val="16"/>
          <w:szCs w:val="16"/>
        </w:rPr>
        <w:t xml:space="preserve">Ecuador </w:t>
      </w:r>
      <w:r w:rsidRPr="00577323">
        <w:rPr>
          <w:rFonts w:ascii="Verdana" w:hAnsi="Verdana"/>
          <w:sz w:val="16"/>
          <w:szCs w:val="16"/>
        </w:rPr>
        <w:t xml:space="preserve">debía pagar por concepto de daño material, respectivamente, a las víctimas Jaime Gonzalo Velasco Dávila, Arturo Javier Donoso Castellón e Ignacio José Vicente Troya Jaramillo. Sin embargo, en el párrafo 240 </w:t>
      </w:r>
      <w:r>
        <w:rPr>
          <w:rFonts w:ascii="Verdana" w:hAnsi="Verdana"/>
          <w:sz w:val="16"/>
          <w:szCs w:val="16"/>
        </w:rPr>
        <w:t xml:space="preserve">de la Sentencia </w:t>
      </w:r>
      <w:r w:rsidRPr="00577323">
        <w:rPr>
          <w:rFonts w:ascii="Verdana" w:hAnsi="Verdana"/>
          <w:sz w:val="16"/>
          <w:szCs w:val="16"/>
        </w:rPr>
        <w:t>el Tribunal dejó abierta la posibilidad para fijar posteriormente en la etapa de supervisión de cumplimiento de la presente Sentencia los montos definitivos que el Ecuador debía pagar a estas tres víctimas (</w:t>
      </w:r>
      <w:r w:rsidRPr="00577323">
        <w:rPr>
          <w:rFonts w:ascii="Verdana" w:hAnsi="Verdana"/>
          <w:i/>
          <w:sz w:val="16"/>
          <w:szCs w:val="16"/>
        </w:rPr>
        <w:t>supra</w:t>
      </w:r>
      <w:r w:rsidRPr="00577323">
        <w:rPr>
          <w:rFonts w:ascii="Verdana" w:hAnsi="Verdana"/>
          <w:sz w:val="16"/>
          <w:szCs w:val="16"/>
        </w:rPr>
        <w:t xml:space="preserve"> Considerando </w:t>
      </w:r>
      <w:r>
        <w:rPr>
          <w:rFonts w:ascii="Verdana" w:hAnsi="Verdana"/>
          <w:sz w:val="16"/>
          <w:szCs w:val="16"/>
        </w:rPr>
        <w:t>13</w:t>
      </w:r>
      <w:r w:rsidRPr="00577323">
        <w:rPr>
          <w:rFonts w:ascii="Verdana" w:hAnsi="Verdana"/>
          <w:sz w:val="16"/>
          <w:szCs w:val="16"/>
        </w:rPr>
        <w:t xml:space="preserve">). </w:t>
      </w:r>
    </w:p>
  </w:footnote>
  <w:footnote w:id="29">
    <w:p w:rsidR="00D66673" w:rsidRPr="00577323" w:rsidRDefault="00D66673"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Pr="00577323">
        <w:rPr>
          <w:rFonts w:ascii="Verdana" w:hAnsi="Verdana"/>
          <w:i/>
          <w:sz w:val="16"/>
          <w:szCs w:val="16"/>
        </w:rPr>
        <w:t xml:space="preserve">Cfr. </w:t>
      </w:r>
      <w:r w:rsidRPr="00577323">
        <w:rPr>
          <w:rStyle w:val="Textoennegrita"/>
          <w:rFonts w:ascii="Verdana" w:hAnsi="Verdana"/>
          <w:b w:val="0"/>
          <w:i/>
          <w:color w:val="000000"/>
          <w:sz w:val="16"/>
          <w:szCs w:val="16"/>
          <w:shd w:val="clear" w:color="auto" w:fill="FFFFFF"/>
        </w:rPr>
        <w:t xml:space="preserve">Caso de la Corte Suprema de Justicia (Quintana Coello y otros), supra, </w:t>
      </w:r>
      <w:r w:rsidRPr="00577323">
        <w:rPr>
          <w:rStyle w:val="Textoennegrita"/>
          <w:rFonts w:ascii="Verdana" w:hAnsi="Verdana"/>
          <w:b w:val="0"/>
          <w:color w:val="000000"/>
          <w:sz w:val="16"/>
          <w:szCs w:val="16"/>
          <w:shd w:val="clear" w:color="auto" w:fill="FFFFFF"/>
        </w:rPr>
        <w:t>párr. 252.</w:t>
      </w:r>
    </w:p>
  </w:footnote>
  <w:footnote w:id="30">
    <w:p w:rsidR="00AC4931" w:rsidRPr="00577323" w:rsidRDefault="00AC4931" w:rsidP="00142647">
      <w:pPr>
        <w:pStyle w:val="Textonotapie"/>
        <w:tabs>
          <w:tab w:val="left" w:pos="426"/>
        </w:tabs>
        <w:jc w:val="both"/>
        <w:rPr>
          <w:rFonts w:ascii="Verdana" w:hAnsi="Verdana"/>
          <w:sz w:val="16"/>
          <w:szCs w:val="16"/>
          <w:lang w:val="es-CR"/>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En el párrafo 261 la Corte fijó por concepto de daño inmaterial la cantidad de US$ 5</w:t>
      </w:r>
      <w:r w:rsidR="00FF1306" w:rsidRPr="00577323">
        <w:rPr>
          <w:rFonts w:ascii="Verdana" w:hAnsi="Verdana"/>
          <w:sz w:val="16"/>
          <w:szCs w:val="16"/>
        </w:rPr>
        <w:t>.</w:t>
      </w:r>
      <w:r w:rsidRPr="00577323">
        <w:rPr>
          <w:rFonts w:ascii="Verdana" w:hAnsi="Verdana"/>
          <w:sz w:val="16"/>
          <w:szCs w:val="16"/>
        </w:rPr>
        <w:t>000</w:t>
      </w:r>
      <w:r w:rsidR="00FF1306" w:rsidRPr="00577323">
        <w:rPr>
          <w:rFonts w:ascii="Verdana" w:hAnsi="Verdana"/>
          <w:sz w:val="16"/>
          <w:szCs w:val="16"/>
        </w:rPr>
        <w:t>,00</w:t>
      </w:r>
      <w:r w:rsidRPr="00577323">
        <w:rPr>
          <w:rFonts w:ascii="Verdana" w:hAnsi="Verdana"/>
          <w:sz w:val="16"/>
          <w:szCs w:val="16"/>
        </w:rPr>
        <w:t xml:space="preserve"> para cada una de las</w:t>
      </w:r>
      <w:r w:rsidR="003F1E29">
        <w:rPr>
          <w:rFonts w:ascii="Verdana" w:hAnsi="Verdana"/>
          <w:sz w:val="16"/>
          <w:szCs w:val="16"/>
        </w:rPr>
        <w:t xml:space="preserve"> 27</w:t>
      </w:r>
      <w:r w:rsidRPr="00577323">
        <w:rPr>
          <w:rFonts w:ascii="Verdana" w:hAnsi="Verdana"/>
          <w:sz w:val="16"/>
          <w:szCs w:val="16"/>
        </w:rPr>
        <w:t xml:space="preserve"> víctimas.</w:t>
      </w:r>
    </w:p>
  </w:footnote>
  <w:footnote w:id="31">
    <w:p w:rsidR="00147FCA" w:rsidRPr="00577323" w:rsidRDefault="00147FCA"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En el párrafo 276 la Corte “fij[ó], en equidad, la cantidad de US$15.000 […] por concepto de costas y gastos a favor de los representantes David Cordero Heredia y Ramiro Ávila”. </w:t>
      </w:r>
    </w:p>
  </w:footnote>
  <w:footnote w:id="32">
    <w:p w:rsidR="008A6441" w:rsidRPr="00577323" w:rsidRDefault="008A644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 xml:space="preserve">En esta resolución la Corte “se concentr[ó] exclusivamente en examinar lo dispuesto […] en el párrafo 240 de la Sentencia, </w:t>
      </w:r>
      <w:r w:rsidR="0037514F">
        <w:rPr>
          <w:rFonts w:ascii="Verdana" w:hAnsi="Verdana"/>
          <w:sz w:val="16"/>
          <w:szCs w:val="16"/>
        </w:rPr>
        <w:t>con</w:t>
      </w:r>
      <w:r w:rsidR="0037514F" w:rsidRPr="00577323">
        <w:rPr>
          <w:rFonts w:ascii="Verdana" w:hAnsi="Verdana"/>
          <w:sz w:val="16"/>
          <w:szCs w:val="16"/>
        </w:rPr>
        <w:t xml:space="preserve"> </w:t>
      </w:r>
      <w:r w:rsidRPr="00577323">
        <w:rPr>
          <w:rFonts w:ascii="Verdana" w:hAnsi="Verdana"/>
          <w:sz w:val="16"/>
          <w:szCs w:val="16"/>
        </w:rPr>
        <w:t xml:space="preserve">relación a la reparación del daño material ordenada a favor de los señores Donoso, Troya y Velasco”. </w:t>
      </w:r>
      <w:r w:rsidR="008449C3" w:rsidRPr="00577323">
        <w:rPr>
          <w:rFonts w:ascii="Verdana" w:hAnsi="Verdana"/>
          <w:i/>
          <w:sz w:val="16"/>
          <w:szCs w:val="16"/>
        </w:rPr>
        <w:t>Cfr.</w:t>
      </w:r>
      <w:r w:rsidR="008449C3" w:rsidRPr="00577323">
        <w:rPr>
          <w:rFonts w:ascii="Verdana" w:hAnsi="Verdana"/>
          <w:sz w:val="16"/>
          <w:szCs w:val="16"/>
        </w:rPr>
        <w:t xml:space="preserve"> </w:t>
      </w:r>
      <w:r w:rsidR="008449C3" w:rsidRPr="00577323">
        <w:rPr>
          <w:rStyle w:val="Textoennegrita"/>
          <w:rFonts w:ascii="Verdana" w:hAnsi="Verdana"/>
          <w:b w:val="0"/>
          <w:i/>
          <w:color w:val="000000"/>
          <w:sz w:val="16"/>
          <w:szCs w:val="16"/>
          <w:shd w:val="clear" w:color="auto" w:fill="FFFFFF"/>
        </w:rPr>
        <w:t>Caso de la Corte Suprema de Justicia (Quintana Coello y otros), Supervisión de Cumplimiento de Sentencia, supra</w:t>
      </w:r>
      <w:r w:rsidR="008449C3" w:rsidRPr="00CC57F0">
        <w:rPr>
          <w:rFonts w:ascii="Verdana" w:hAnsi="Verdana"/>
          <w:sz w:val="16"/>
          <w:szCs w:val="16"/>
        </w:rPr>
        <w:t>, Considerando quinto.</w:t>
      </w:r>
      <w:r w:rsidR="008449C3">
        <w:rPr>
          <w:rFonts w:ascii="Verdana" w:hAnsi="Verdana"/>
          <w:b/>
          <w:sz w:val="16"/>
          <w:szCs w:val="16"/>
        </w:rPr>
        <w:t xml:space="preserve"> </w:t>
      </w:r>
    </w:p>
  </w:footnote>
  <w:footnote w:id="33">
    <w:p w:rsidR="00904FC5" w:rsidRPr="00577323" w:rsidRDefault="00904FC5" w:rsidP="00CC57F0">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0096573D" w:rsidRPr="00577323">
        <w:rPr>
          <w:rFonts w:ascii="Verdana" w:hAnsi="Verdana"/>
          <w:i/>
          <w:sz w:val="16"/>
          <w:szCs w:val="16"/>
        </w:rPr>
        <w:t>Cfr.</w:t>
      </w:r>
      <w:r w:rsidR="0096573D" w:rsidRPr="00577323">
        <w:rPr>
          <w:rFonts w:ascii="Verdana" w:hAnsi="Verdana"/>
          <w:sz w:val="16"/>
          <w:szCs w:val="16"/>
        </w:rPr>
        <w:t xml:space="preserve"> </w:t>
      </w:r>
      <w:r w:rsidR="0096573D" w:rsidRPr="00577323">
        <w:rPr>
          <w:rStyle w:val="Textoennegrita"/>
          <w:rFonts w:ascii="Verdana" w:hAnsi="Verdana"/>
          <w:b w:val="0"/>
          <w:i/>
          <w:color w:val="000000"/>
          <w:sz w:val="16"/>
          <w:szCs w:val="16"/>
          <w:shd w:val="clear" w:color="auto" w:fill="FFFFFF"/>
        </w:rPr>
        <w:t xml:space="preserve">Caso de la Corte Suprema de Justicia (Quintana Coello y otros), Supervisión de Cumplimiento de Sentencia, supra, </w:t>
      </w:r>
      <w:r w:rsidR="0096573D" w:rsidRPr="00577323">
        <w:rPr>
          <w:rStyle w:val="Textoennegrita"/>
          <w:rFonts w:ascii="Verdana" w:hAnsi="Verdana"/>
          <w:b w:val="0"/>
          <w:color w:val="000000"/>
          <w:sz w:val="16"/>
          <w:szCs w:val="16"/>
          <w:shd w:val="clear" w:color="auto" w:fill="FFFFFF"/>
        </w:rPr>
        <w:t xml:space="preserve">Considerando </w:t>
      </w:r>
      <w:r w:rsidR="008449C3">
        <w:rPr>
          <w:rStyle w:val="Textoennegrita"/>
          <w:rFonts w:ascii="Verdana" w:hAnsi="Verdana"/>
          <w:b w:val="0"/>
          <w:color w:val="000000"/>
          <w:sz w:val="16"/>
          <w:szCs w:val="16"/>
          <w:shd w:val="clear" w:color="auto" w:fill="FFFFFF"/>
        </w:rPr>
        <w:t>décimo tercero</w:t>
      </w:r>
      <w:r w:rsidR="0096573D" w:rsidRPr="00577323">
        <w:rPr>
          <w:rStyle w:val="Textoennegrita"/>
          <w:rFonts w:ascii="Verdana" w:hAnsi="Verdana"/>
          <w:b w:val="0"/>
          <w:color w:val="000000"/>
          <w:sz w:val="16"/>
          <w:szCs w:val="16"/>
          <w:shd w:val="clear" w:color="auto" w:fill="FFFFFF"/>
        </w:rPr>
        <w:t>.</w:t>
      </w:r>
    </w:p>
  </w:footnote>
  <w:footnote w:id="34">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00E37A3B">
        <w:rPr>
          <w:rFonts w:ascii="Verdana" w:hAnsi="Verdana"/>
          <w:sz w:val="16"/>
          <w:szCs w:val="16"/>
        </w:rPr>
        <w:t>L</w:t>
      </w:r>
      <w:r w:rsidRPr="00577323">
        <w:rPr>
          <w:rFonts w:ascii="Verdana" w:hAnsi="Verdana"/>
          <w:sz w:val="16"/>
          <w:szCs w:val="16"/>
        </w:rPr>
        <w:t xml:space="preserve">a Corte fijó las sumas de US$316.320,78 y US$312.931,28, por concepto de daño material, respectivamente, a favor de las víctimas Ignacio José Vicente Troya Jaramillo y Jaime Gonzalo Velasco Dávila. </w:t>
      </w:r>
      <w:r w:rsidR="00904FC5" w:rsidRPr="00577323">
        <w:rPr>
          <w:rFonts w:ascii="Verdana" w:hAnsi="Verdana"/>
          <w:i/>
          <w:sz w:val="16"/>
          <w:szCs w:val="16"/>
        </w:rPr>
        <w:t>Cfr.</w:t>
      </w:r>
      <w:r w:rsidR="00904FC5" w:rsidRPr="00577323">
        <w:rPr>
          <w:rFonts w:ascii="Verdana" w:hAnsi="Verdana"/>
          <w:sz w:val="16"/>
          <w:szCs w:val="16"/>
        </w:rPr>
        <w:t xml:space="preserve"> </w:t>
      </w:r>
      <w:r w:rsidR="00904FC5" w:rsidRPr="00577323">
        <w:rPr>
          <w:rStyle w:val="Textoennegrita"/>
          <w:rFonts w:ascii="Verdana" w:hAnsi="Verdana"/>
          <w:b w:val="0"/>
          <w:i/>
          <w:color w:val="000000"/>
          <w:sz w:val="16"/>
          <w:szCs w:val="16"/>
          <w:shd w:val="clear" w:color="auto" w:fill="FFFFFF"/>
        </w:rPr>
        <w:t xml:space="preserve">Caso de la Corte Suprema de Justicia (Quintana Coello y otros), Supervisión de Cumplimiento de Sentencia, supra, </w:t>
      </w:r>
      <w:r w:rsidR="00904FC5" w:rsidRPr="00577323">
        <w:rPr>
          <w:rStyle w:val="Textoennegrita"/>
          <w:rFonts w:ascii="Verdana" w:hAnsi="Verdana"/>
          <w:b w:val="0"/>
          <w:color w:val="000000"/>
          <w:sz w:val="16"/>
          <w:szCs w:val="16"/>
          <w:shd w:val="clear" w:color="auto" w:fill="FFFFFF"/>
        </w:rPr>
        <w:t>Considerando</w:t>
      </w:r>
      <w:r w:rsidR="0096573D" w:rsidRPr="00577323">
        <w:rPr>
          <w:rStyle w:val="Textoennegrita"/>
          <w:rFonts w:ascii="Verdana" w:hAnsi="Verdana"/>
          <w:b w:val="0"/>
          <w:color w:val="000000"/>
          <w:sz w:val="16"/>
          <w:szCs w:val="16"/>
          <w:shd w:val="clear" w:color="auto" w:fill="FFFFFF"/>
        </w:rPr>
        <w:t>s</w:t>
      </w:r>
      <w:r w:rsidR="00904FC5" w:rsidRPr="00577323">
        <w:rPr>
          <w:rStyle w:val="Textoennegrita"/>
          <w:rFonts w:ascii="Verdana" w:hAnsi="Verdana"/>
          <w:b w:val="0"/>
          <w:color w:val="000000"/>
          <w:sz w:val="16"/>
          <w:szCs w:val="16"/>
          <w:shd w:val="clear" w:color="auto" w:fill="FFFFFF"/>
        </w:rPr>
        <w:t xml:space="preserve"> </w:t>
      </w:r>
      <w:r w:rsidR="008449C3">
        <w:rPr>
          <w:rStyle w:val="Textoennegrita"/>
          <w:rFonts w:ascii="Verdana" w:hAnsi="Verdana"/>
          <w:b w:val="0"/>
          <w:color w:val="000000"/>
          <w:sz w:val="16"/>
          <w:szCs w:val="16"/>
          <w:shd w:val="clear" w:color="auto" w:fill="FFFFFF"/>
        </w:rPr>
        <w:t xml:space="preserve">décimo quinto </w:t>
      </w:r>
      <w:r w:rsidR="00904FC5" w:rsidRPr="00577323">
        <w:rPr>
          <w:rStyle w:val="Textoennegrita"/>
          <w:rFonts w:ascii="Verdana" w:hAnsi="Verdana"/>
          <w:b w:val="0"/>
          <w:color w:val="000000"/>
          <w:sz w:val="16"/>
          <w:szCs w:val="16"/>
          <w:shd w:val="clear" w:color="auto" w:fill="FFFFFF"/>
        </w:rPr>
        <w:t xml:space="preserve">y </w:t>
      </w:r>
      <w:r w:rsidR="00D123DE">
        <w:rPr>
          <w:rStyle w:val="Textoennegrita"/>
          <w:rFonts w:ascii="Verdana" w:hAnsi="Verdana"/>
          <w:b w:val="0"/>
          <w:color w:val="000000"/>
          <w:sz w:val="16"/>
          <w:szCs w:val="16"/>
          <w:shd w:val="clear" w:color="auto" w:fill="FFFFFF"/>
        </w:rPr>
        <w:t>décimo sé</w:t>
      </w:r>
      <w:r w:rsidR="00E37A3B">
        <w:rPr>
          <w:rStyle w:val="Textoennegrita"/>
          <w:rFonts w:ascii="Verdana" w:hAnsi="Verdana"/>
          <w:b w:val="0"/>
          <w:color w:val="000000"/>
          <w:sz w:val="16"/>
          <w:szCs w:val="16"/>
          <w:shd w:val="clear" w:color="auto" w:fill="FFFFFF"/>
        </w:rPr>
        <w:t>p</w:t>
      </w:r>
      <w:r w:rsidR="00D123DE">
        <w:rPr>
          <w:rStyle w:val="Textoennegrita"/>
          <w:rFonts w:ascii="Verdana" w:hAnsi="Verdana"/>
          <w:b w:val="0"/>
          <w:color w:val="000000"/>
          <w:sz w:val="16"/>
          <w:szCs w:val="16"/>
          <w:shd w:val="clear" w:color="auto" w:fill="FFFFFF"/>
        </w:rPr>
        <w:t>timo</w:t>
      </w:r>
      <w:r w:rsidR="00904FC5" w:rsidRPr="00577323">
        <w:rPr>
          <w:rStyle w:val="Textoennegrita"/>
          <w:rFonts w:ascii="Verdana" w:hAnsi="Verdana"/>
          <w:b w:val="0"/>
          <w:color w:val="000000"/>
          <w:sz w:val="16"/>
          <w:szCs w:val="16"/>
          <w:shd w:val="clear" w:color="auto" w:fill="FFFFFF"/>
        </w:rPr>
        <w:t>.</w:t>
      </w:r>
    </w:p>
  </w:footnote>
  <w:footnote w:id="35">
    <w:p w:rsidR="007A082F" w:rsidRPr="00577323" w:rsidRDefault="00F127C8" w:rsidP="00142647">
      <w:pPr>
        <w:pStyle w:val="Textonotapie"/>
        <w:tabs>
          <w:tab w:val="left" w:pos="426"/>
        </w:tabs>
        <w:jc w:val="both"/>
        <w:rPr>
          <w:rFonts w:ascii="Verdana" w:hAnsi="Verdana"/>
          <w:color w:val="00B050"/>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00D123DE">
        <w:rPr>
          <w:rFonts w:ascii="Verdana" w:hAnsi="Verdana"/>
          <w:sz w:val="16"/>
          <w:szCs w:val="16"/>
        </w:rPr>
        <w:t>Junto con su escrito de 20 de mayo de 2014 e</w:t>
      </w:r>
      <w:r w:rsidRPr="00577323">
        <w:rPr>
          <w:rFonts w:ascii="Verdana" w:hAnsi="Verdana"/>
          <w:sz w:val="16"/>
          <w:szCs w:val="16"/>
        </w:rPr>
        <w:t xml:space="preserve">l Estado aportó comprobantes de los pagos realizados a cada una de las víctimas por concepto del primer tracto de la indemnización por daño material. </w:t>
      </w:r>
      <w:r w:rsidRPr="00577323">
        <w:rPr>
          <w:rFonts w:ascii="Verdana" w:hAnsi="Verdana"/>
          <w:i/>
          <w:sz w:val="16"/>
          <w:szCs w:val="16"/>
          <w:lang w:val="es-CR"/>
        </w:rPr>
        <w:t xml:space="preserve">Cfr. </w:t>
      </w:r>
      <w:r w:rsidRPr="00577323">
        <w:rPr>
          <w:rFonts w:ascii="Verdana" w:hAnsi="Verdana"/>
          <w:sz w:val="16"/>
          <w:szCs w:val="16"/>
          <w:lang w:val="es-CR"/>
        </w:rPr>
        <w:t>Comprobantes de pago No</w:t>
      </w:r>
      <w:r w:rsidR="00084023" w:rsidRPr="00577323">
        <w:rPr>
          <w:rFonts w:ascii="Verdana" w:hAnsi="Verdana"/>
          <w:sz w:val="16"/>
          <w:szCs w:val="16"/>
          <w:lang w:val="es-CR"/>
        </w:rPr>
        <w:t>s</w:t>
      </w:r>
      <w:r w:rsidRPr="00577323">
        <w:rPr>
          <w:rFonts w:ascii="Verdana" w:hAnsi="Verdana"/>
          <w:sz w:val="16"/>
          <w:szCs w:val="16"/>
          <w:lang w:val="es-CR"/>
        </w:rPr>
        <w:t xml:space="preserve">. Cur 4767, 4769, 4770, 4771, 4775, 4776, 4777, 4778, 4779, 4780, 4781, 4782, 4783, 4784, 4785, 4786, 4788, 4808, 4810, 4811, 4812, 4813, 4814, 4815, 4817, y 4820 emitidos por el Ministerio de Justicia, Derechos Humanos y Cultos el 28 de marzo de 2014 (anexo 4 al escrito del Estado de 20 de mayo de 2014). </w:t>
      </w:r>
      <w:r w:rsidRPr="00577323">
        <w:rPr>
          <w:rFonts w:ascii="Verdana" w:hAnsi="Verdana"/>
          <w:sz w:val="16"/>
          <w:szCs w:val="16"/>
        </w:rPr>
        <w:t xml:space="preserve">En su escrito de 19 de mayo de 2015 </w:t>
      </w:r>
      <w:r w:rsidR="00D123DE">
        <w:rPr>
          <w:rFonts w:ascii="Verdana" w:hAnsi="Verdana"/>
          <w:sz w:val="16"/>
          <w:szCs w:val="16"/>
        </w:rPr>
        <w:t>Ecuador</w:t>
      </w:r>
      <w:r w:rsidRPr="00577323">
        <w:rPr>
          <w:rFonts w:ascii="Verdana" w:hAnsi="Verdana"/>
          <w:sz w:val="16"/>
          <w:szCs w:val="16"/>
        </w:rPr>
        <w:t xml:space="preserve"> afirmó que el pago del segundo tracto de la indemnización por concepto de daño material “fue realizado con una anticipación de cuatro días al plazo establecido por la Corte […], es decir, el pago se realizó el 26 de marzo [de 2015]”. Como comprobante de dichos pagos Ecuador aportó como anexo una tabla que contiene información específica para cada una de las 27 víctimas. En ella se indica el monto pagado a cada una de las </w:t>
      </w:r>
      <w:r w:rsidR="00D123DE">
        <w:rPr>
          <w:rFonts w:ascii="Verdana" w:hAnsi="Verdana"/>
          <w:sz w:val="16"/>
          <w:szCs w:val="16"/>
        </w:rPr>
        <w:t>ellas</w:t>
      </w:r>
      <w:r w:rsidRPr="00577323">
        <w:rPr>
          <w:rFonts w:ascii="Verdana" w:hAnsi="Verdana"/>
          <w:sz w:val="16"/>
          <w:szCs w:val="16"/>
        </w:rPr>
        <w:t xml:space="preserve"> o sus derechohabientes, el “número de comprobante de pago” de cada una y la fecha en la cual fue realizado el pago (26 y 30 de marzo de 2015). </w:t>
      </w:r>
      <w:r w:rsidR="00D123DE">
        <w:rPr>
          <w:rFonts w:ascii="Verdana" w:hAnsi="Verdana"/>
          <w:sz w:val="16"/>
          <w:szCs w:val="16"/>
        </w:rPr>
        <w:t>Los representantes y la Comisión no controvirtieron tal información del Estado. Junto con</w:t>
      </w:r>
      <w:r w:rsidR="00D123DE" w:rsidRPr="00577323">
        <w:rPr>
          <w:rFonts w:ascii="Verdana" w:hAnsi="Verdana"/>
          <w:sz w:val="16"/>
          <w:szCs w:val="16"/>
        </w:rPr>
        <w:t xml:space="preserve"> </w:t>
      </w:r>
      <w:r w:rsidR="00084023" w:rsidRPr="00577323">
        <w:rPr>
          <w:rFonts w:ascii="Verdana" w:hAnsi="Verdana"/>
          <w:sz w:val="16"/>
          <w:szCs w:val="16"/>
        </w:rPr>
        <w:t xml:space="preserve">sus escritos de 8 y 19 de agosto de 2016 el Estado “remiti[ó] los comprobantes de pago correspondientes al desembolso del [tercer y] último tracto indemnizatorio” por concepto del daño material. </w:t>
      </w:r>
      <w:r w:rsidR="00084023" w:rsidRPr="00577323">
        <w:rPr>
          <w:rFonts w:ascii="Verdana" w:hAnsi="Verdana"/>
          <w:i/>
          <w:sz w:val="16"/>
          <w:szCs w:val="16"/>
        </w:rPr>
        <w:t>Cfr</w:t>
      </w:r>
      <w:r w:rsidR="00084023" w:rsidRPr="00577323">
        <w:rPr>
          <w:rFonts w:ascii="Verdana" w:hAnsi="Verdana"/>
          <w:sz w:val="16"/>
          <w:szCs w:val="16"/>
        </w:rPr>
        <w:t xml:space="preserve">. Comprobantes de pago Nos. Cur </w:t>
      </w:r>
      <w:r w:rsidR="00BF622F" w:rsidRPr="00577323">
        <w:rPr>
          <w:rFonts w:ascii="Verdana" w:hAnsi="Verdana"/>
          <w:sz w:val="16"/>
          <w:szCs w:val="16"/>
        </w:rPr>
        <w:t xml:space="preserve">1654, 1655, 1657, 1658, 1659, 1660, 1661, 1663, 1664, 1666, 1671, 1681, 1682, 1683, 1685, 1686, 1688, 1690, 1691, 1784, 1785, </w:t>
      </w:r>
      <w:r w:rsidR="00084023" w:rsidRPr="00577323">
        <w:rPr>
          <w:rFonts w:ascii="Verdana" w:hAnsi="Verdana"/>
          <w:sz w:val="16"/>
          <w:szCs w:val="16"/>
        </w:rPr>
        <w:t xml:space="preserve">1800, 1816, 1819, </w:t>
      </w:r>
      <w:r w:rsidR="00BF622F" w:rsidRPr="00577323">
        <w:rPr>
          <w:rFonts w:ascii="Verdana" w:hAnsi="Verdana"/>
          <w:sz w:val="16"/>
          <w:szCs w:val="16"/>
        </w:rPr>
        <w:t xml:space="preserve">1821, </w:t>
      </w:r>
      <w:r w:rsidR="00857F87" w:rsidRPr="00577323">
        <w:rPr>
          <w:rFonts w:ascii="Verdana" w:hAnsi="Verdana"/>
          <w:sz w:val="16"/>
          <w:szCs w:val="16"/>
        </w:rPr>
        <w:t xml:space="preserve">70960665, </w:t>
      </w:r>
      <w:r w:rsidR="00BF622F" w:rsidRPr="00577323">
        <w:rPr>
          <w:rFonts w:ascii="Verdana" w:hAnsi="Verdana"/>
          <w:sz w:val="16"/>
          <w:szCs w:val="16"/>
        </w:rPr>
        <w:t xml:space="preserve">y comprobante del pago realizado a la víctima Miguel Elías Villacís Gómez, emitidos por el Ministerio de </w:t>
      </w:r>
      <w:r w:rsidR="00D123DE">
        <w:rPr>
          <w:rFonts w:ascii="Verdana" w:hAnsi="Verdana"/>
          <w:sz w:val="16"/>
          <w:szCs w:val="16"/>
        </w:rPr>
        <w:t>F</w:t>
      </w:r>
      <w:r w:rsidR="00BF622F" w:rsidRPr="00577323">
        <w:rPr>
          <w:rFonts w:ascii="Verdana" w:hAnsi="Verdana"/>
          <w:sz w:val="16"/>
          <w:szCs w:val="16"/>
        </w:rPr>
        <w:t xml:space="preserve">inanzas del Ecuador (anexos a los informes del Estado de 8 y 19 de agosto de 2016). </w:t>
      </w:r>
    </w:p>
    <w:p w:rsidR="00F127C8" w:rsidRPr="00577323" w:rsidRDefault="007A082F" w:rsidP="00142647">
      <w:pPr>
        <w:pStyle w:val="Textonotapie"/>
        <w:tabs>
          <w:tab w:val="left" w:pos="426"/>
        </w:tabs>
        <w:ind w:firstLine="708"/>
        <w:jc w:val="both"/>
        <w:rPr>
          <w:rFonts w:ascii="Verdana" w:hAnsi="Verdana"/>
          <w:sz w:val="16"/>
          <w:szCs w:val="16"/>
          <w:lang w:val="es-CR"/>
        </w:rPr>
      </w:pPr>
      <w:r w:rsidRPr="00577323">
        <w:rPr>
          <w:rFonts w:ascii="Verdana" w:hAnsi="Verdana"/>
          <w:sz w:val="16"/>
          <w:szCs w:val="16"/>
        </w:rPr>
        <w:t>Por otra parte, en su escrito de 23 de octubre de 2014 el Estado informó que “en agosto de 2014, […] de manera anticipada a lo ordenado […] pagó satisfactoriamente USD$5</w:t>
      </w:r>
      <w:r w:rsidR="00D123DE">
        <w:rPr>
          <w:rFonts w:ascii="Verdana" w:hAnsi="Verdana"/>
          <w:sz w:val="16"/>
          <w:szCs w:val="16"/>
        </w:rPr>
        <w:t>.</w:t>
      </w:r>
      <w:r w:rsidRPr="00577323">
        <w:rPr>
          <w:rFonts w:ascii="Verdana" w:hAnsi="Verdana"/>
          <w:sz w:val="16"/>
          <w:szCs w:val="16"/>
        </w:rPr>
        <w:t xml:space="preserve">000 (cinco mil dólares americanos) a las víctimas como indemnización por daño inmaterial”. Como comprobante de dichos pagos Ecuador aportó como anexo una tabla que contiene información específica para cada una de las 27 víctimas. En ella se indica el pago de US$5.000 a cada una de </w:t>
      </w:r>
      <w:r w:rsidR="00D123DE">
        <w:rPr>
          <w:rFonts w:ascii="Verdana" w:hAnsi="Verdana"/>
          <w:sz w:val="16"/>
          <w:szCs w:val="16"/>
        </w:rPr>
        <w:t>ellas</w:t>
      </w:r>
      <w:r w:rsidRPr="00577323">
        <w:rPr>
          <w:rFonts w:ascii="Verdana" w:hAnsi="Verdana"/>
          <w:sz w:val="16"/>
          <w:szCs w:val="16"/>
        </w:rPr>
        <w:t xml:space="preserve">, el “número de comprobante de pago” de cada una y la fecha en la cual fue realizado el pago (7 de agosto de 2014). </w:t>
      </w:r>
      <w:r w:rsidR="00D123DE">
        <w:rPr>
          <w:rFonts w:ascii="Verdana" w:hAnsi="Verdana"/>
          <w:sz w:val="16"/>
          <w:szCs w:val="16"/>
        </w:rPr>
        <w:t xml:space="preserve">Los representantes y la Comisión no controvirtieron tal información del Estado. </w:t>
      </w:r>
    </w:p>
  </w:footnote>
  <w:footnote w:id="36">
    <w:p w:rsidR="00F127C8" w:rsidRPr="00577323" w:rsidRDefault="00F127C8"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r>
      <w:r w:rsidR="007A082F" w:rsidRPr="00577323">
        <w:rPr>
          <w:rFonts w:ascii="Verdana" w:hAnsi="Verdana"/>
          <w:sz w:val="16"/>
          <w:szCs w:val="16"/>
        </w:rPr>
        <w:t>A pesar de que se dio plazo a l</w:t>
      </w:r>
      <w:r w:rsidRPr="00577323">
        <w:rPr>
          <w:rFonts w:ascii="Verdana" w:hAnsi="Verdana"/>
          <w:sz w:val="16"/>
          <w:szCs w:val="16"/>
        </w:rPr>
        <w:t xml:space="preserve">os representantes </w:t>
      </w:r>
      <w:r w:rsidR="007A082F" w:rsidRPr="00577323">
        <w:rPr>
          <w:rFonts w:ascii="Verdana" w:hAnsi="Verdana"/>
          <w:sz w:val="16"/>
          <w:szCs w:val="16"/>
        </w:rPr>
        <w:t>para observaciones, estos no presentaron objeción alguna con respecto a</w:t>
      </w:r>
      <w:r w:rsidRPr="00577323">
        <w:rPr>
          <w:rFonts w:ascii="Verdana" w:hAnsi="Verdana"/>
          <w:sz w:val="16"/>
          <w:szCs w:val="16"/>
        </w:rPr>
        <w:t xml:space="preserve">l pago </w:t>
      </w:r>
      <w:r w:rsidR="00D123DE">
        <w:rPr>
          <w:rFonts w:ascii="Verdana" w:hAnsi="Verdana"/>
          <w:sz w:val="16"/>
          <w:szCs w:val="16"/>
        </w:rPr>
        <w:t xml:space="preserve">realizado </w:t>
      </w:r>
      <w:r w:rsidRPr="00577323">
        <w:rPr>
          <w:rFonts w:ascii="Verdana" w:hAnsi="Verdana"/>
          <w:sz w:val="16"/>
          <w:szCs w:val="16"/>
        </w:rPr>
        <w:t xml:space="preserve">a las víctimas de las sumas dispuestas </w:t>
      </w:r>
      <w:r w:rsidR="00D123DE">
        <w:rPr>
          <w:rFonts w:ascii="Verdana" w:hAnsi="Verdana"/>
          <w:sz w:val="16"/>
          <w:szCs w:val="16"/>
        </w:rPr>
        <w:t xml:space="preserve">en la Sentencia </w:t>
      </w:r>
      <w:r w:rsidRPr="00577323">
        <w:rPr>
          <w:rFonts w:ascii="Verdana" w:hAnsi="Verdana"/>
          <w:sz w:val="16"/>
          <w:szCs w:val="16"/>
        </w:rPr>
        <w:t>por concepto de daño inmaterial</w:t>
      </w:r>
      <w:r w:rsidR="007A082F" w:rsidRPr="00577323">
        <w:rPr>
          <w:rFonts w:ascii="Verdana" w:hAnsi="Verdana"/>
          <w:sz w:val="16"/>
          <w:szCs w:val="16"/>
        </w:rPr>
        <w:t xml:space="preserve"> en la fecha señalada por el Estado. </w:t>
      </w:r>
      <w:r w:rsidRPr="00577323">
        <w:rPr>
          <w:rFonts w:ascii="Verdana" w:hAnsi="Verdana"/>
          <w:sz w:val="16"/>
          <w:szCs w:val="16"/>
        </w:rPr>
        <w:t xml:space="preserve">En cuanto al daño material, reconocieron que el Ecuador había cumplido con cancelar a las víctimas dos tractos de la indemnización por daño material, conforme a los parámetros de tiempo y montos ordenados por la Corte. </w:t>
      </w:r>
    </w:p>
  </w:footnote>
  <w:footnote w:id="37">
    <w:p w:rsidR="00F127C8" w:rsidRPr="003009E3" w:rsidRDefault="00F127C8" w:rsidP="003009E3">
      <w:pPr>
        <w:pStyle w:val="Prrafodelista"/>
        <w:widowControl/>
        <w:tabs>
          <w:tab w:val="left" w:pos="426"/>
        </w:tabs>
        <w:autoSpaceDE w:val="0"/>
        <w:autoSpaceDN w:val="0"/>
        <w:adjustRightInd w:val="0"/>
        <w:ind w:left="0"/>
        <w:contextualSpacing w:val="0"/>
        <w:jc w:val="both"/>
        <w:rPr>
          <w:rFonts w:ascii="Verdana" w:hAnsi="Verdana"/>
          <w:sz w:val="16"/>
          <w:szCs w:val="16"/>
        </w:rPr>
      </w:pPr>
      <w:r w:rsidRPr="003009E3">
        <w:rPr>
          <w:rStyle w:val="Refdenotaalpie"/>
          <w:rFonts w:ascii="Verdana" w:hAnsi="Verdana"/>
          <w:sz w:val="16"/>
          <w:szCs w:val="16"/>
        </w:rPr>
        <w:footnoteRef/>
      </w:r>
      <w:r w:rsidRPr="003009E3">
        <w:rPr>
          <w:rFonts w:ascii="Verdana" w:hAnsi="Verdana"/>
          <w:sz w:val="16"/>
          <w:szCs w:val="16"/>
        </w:rPr>
        <w:t xml:space="preserve"> </w:t>
      </w:r>
      <w:r w:rsidRPr="003009E3">
        <w:rPr>
          <w:rFonts w:ascii="Verdana" w:hAnsi="Verdana"/>
          <w:sz w:val="16"/>
          <w:szCs w:val="16"/>
        </w:rPr>
        <w:tab/>
        <w:t>La Corte valora positivamente que</w:t>
      </w:r>
      <w:r w:rsidR="00E37A3B">
        <w:rPr>
          <w:rFonts w:ascii="Verdana" w:hAnsi="Verdana"/>
          <w:sz w:val="16"/>
          <w:szCs w:val="16"/>
        </w:rPr>
        <w:t>,</w:t>
      </w:r>
      <w:r w:rsidRPr="003009E3">
        <w:rPr>
          <w:rFonts w:ascii="Verdana" w:hAnsi="Verdana"/>
          <w:sz w:val="16"/>
          <w:szCs w:val="16"/>
        </w:rPr>
        <w:t xml:space="preserve"> con ocasión del pago del primer tracto de esta indemnización, Ecuador haya realizado el 1 de abril de 2014 un acto “simbólico e informativo” en el Ministerio de Justicia, Derechos Humanos y Cultos, al cual comparecieron autoridades estatales y 15 de las víctimas. Además, estima positivo lo informado por Ecuador en relación con el “trabajo </w:t>
      </w:r>
      <w:r w:rsidR="00CC57F0">
        <w:rPr>
          <w:rFonts w:ascii="Verdana" w:hAnsi="Verdana"/>
          <w:sz w:val="16"/>
          <w:szCs w:val="16"/>
        </w:rPr>
        <w:t xml:space="preserve">[realizado] </w:t>
      </w:r>
      <w:r w:rsidRPr="003009E3">
        <w:rPr>
          <w:rFonts w:ascii="Verdana" w:hAnsi="Verdana"/>
          <w:sz w:val="16"/>
          <w:szCs w:val="16"/>
        </w:rPr>
        <w:t>de manera conjunta” con los representantes de las víctimas para el pago del segundo tracto de esta indemnización.</w:t>
      </w:r>
    </w:p>
  </w:footnote>
  <w:footnote w:id="38">
    <w:p w:rsidR="00A325C1" w:rsidRPr="00577323" w:rsidRDefault="00A325C1" w:rsidP="00A325C1">
      <w:pPr>
        <w:pStyle w:val="Textonotapie"/>
        <w:tabs>
          <w:tab w:val="left" w:pos="426"/>
        </w:tabs>
        <w:jc w:val="both"/>
        <w:rPr>
          <w:rFonts w:ascii="Verdana" w:hAnsi="Verdana"/>
          <w:sz w:val="16"/>
          <w:szCs w:val="16"/>
        </w:rPr>
      </w:pPr>
      <w:r w:rsidRPr="00315F7A">
        <w:rPr>
          <w:rStyle w:val="Refdenotaalpie"/>
          <w:rFonts w:ascii="Verdana" w:hAnsi="Verdana"/>
          <w:sz w:val="16"/>
          <w:szCs w:val="16"/>
        </w:rPr>
        <w:footnoteRef/>
      </w:r>
      <w:r w:rsidRPr="00315F7A">
        <w:rPr>
          <w:rFonts w:ascii="Verdana" w:hAnsi="Verdana"/>
          <w:sz w:val="16"/>
          <w:szCs w:val="16"/>
        </w:rPr>
        <w:t xml:space="preserve"> </w:t>
      </w:r>
      <w:r w:rsidRPr="00315F7A">
        <w:rPr>
          <w:rFonts w:ascii="Verdana" w:hAnsi="Verdana"/>
          <w:sz w:val="16"/>
          <w:szCs w:val="16"/>
        </w:rPr>
        <w:tab/>
        <w:t xml:space="preserve">En los comprobantes de pago </w:t>
      </w:r>
      <w:r w:rsidR="0032051F">
        <w:rPr>
          <w:rFonts w:ascii="Verdana" w:hAnsi="Verdana"/>
          <w:sz w:val="16"/>
          <w:szCs w:val="16"/>
        </w:rPr>
        <w:t xml:space="preserve">del Ministerio de Finanzas de Ecuador </w:t>
      </w:r>
      <w:r w:rsidRPr="00315F7A">
        <w:rPr>
          <w:rFonts w:ascii="Verdana" w:hAnsi="Verdana"/>
          <w:sz w:val="16"/>
          <w:szCs w:val="16"/>
        </w:rPr>
        <w:t>del tercer tracto de la indemnización por daño material (</w:t>
      </w:r>
      <w:r w:rsidRPr="00315F7A">
        <w:rPr>
          <w:rFonts w:ascii="Verdana" w:hAnsi="Verdana"/>
          <w:i/>
          <w:sz w:val="16"/>
          <w:szCs w:val="16"/>
        </w:rPr>
        <w:t>supra</w:t>
      </w:r>
      <w:r w:rsidRPr="00315F7A">
        <w:rPr>
          <w:rFonts w:ascii="Verdana" w:hAnsi="Verdana"/>
          <w:sz w:val="16"/>
          <w:szCs w:val="16"/>
        </w:rPr>
        <w:t xml:space="preserve"> nota al pie </w:t>
      </w:r>
      <w:r>
        <w:rPr>
          <w:rFonts w:ascii="Verdana" w:hAnsi="Verdana"/>
          <w:sz w:val="16"/>
          <w:szCs w:val="16"/>
        </w:rPr>
        <w:t>34</w:t>
      </w:r>
      <w:r w:rsidRPr="00315F7A">
        <w:rPr>
          <w:rFonts w:ascii="Verdana" w:hAnsi="Verdana"/>
          <w:sz w:val="16"/>
          <w:szCs w:val="16"/>
        </w:rPr>
        <w:t xml:space="preserve">) realizado a 26 de las víctimas o sus derechohabientes no </w:t>
      </w:r>
      <w:r>
        <w:rPr>
          <w:rFonts w:ascii="Verdana" w:hAnsi="Verdana"/>
          <w:sz w:val="16"/>
          <w:szCs w:val="16"/>
        </w:rPr>
        <w:t>se identifica con claridad</w:t>
      </w:r>
      <w:r w:rsidRPr="00315F7A">
        <w:rPr>
          <w:rFonts w:ascii="Verdana" w:hAnsi="Verdana"/>
          <w:sz w:val="16"/>
          <w:szCs w:val="16"/>
        </w:rPr>
        <w:t xml:space="preserve"> la fecha en que fue</w:t>
      </w:r>
      <w:r>
        <w:rPr>
          <w:rFonts w:ascii="Verdana" w:hAnsi="Verdana"/>
          <w:sz w:val="16"/>
          <w:szCs w:val="16"/>
        </w:rPr>
        <w:t>ron</w:t>
      </w:r>
      <w:r w:rsidRPr="00315F7A">
        <w:rPr>
          <w:rFonts w:ascii="Verdana" w:hAnsi="Verdana"/>
          <w:sz w:val="16"/>
          <w:szCs w:val="16"/>
        </w:rPr>
        <w:t xml:space="preserve"> </w:t>
      </w:r>
      <w:r>
        <w:rPr>
          <w:rFonts w:ascii="Verdana" w:hAnsi="Verdana"/>
          <w:sz w:val="16"/>
          <w:szCs w:val="16"/>
        </w:rPr>
        <w:t>efectuados</w:t>
      </w:r>
      <w:r w:rsidRPr="00315F7A">
        <w:rPr>
          <w:rFonts w:ascii="Verdana" w:hAnsi="Verdana"/>
          <w:sz w:val="16"/>
          <w:szCs w:val="16"/>
        </w:rPr>
        <w:t xml:space="preserve"> </w:t>
      </w:r>
      <w:r>
        <w:rPr>
          <w:rFonts w:ascii="Verdana" w:hAnsi="Verdana"/>
          <w:sz w:val="16"/>
          <w:szCs w:val="16"/>
        </w:rPr>
        <w:t xml:space="preserve">los </w:t>
      </w:r>
      <w:r w:rsidRPr="00315F7A">
        <w:rPr>
          <w:rFonts w:ascii="Verdana" w:hAnsi="Verdana"/>
          <w:sz w:val="16"/>
          <w:szCs w:val="16"/>
        </w:rPr>
        <w:t>pago</w:t>
      </w:r>
      <w:r>
        <w:rPr>
          <w:rFonts w:ascii="Verdana" w:hAnsi="Verdana"/>
          <w:sz w:val="16"/>
          <w:szCs w:val="16"/>
        </w:rPr>
        <w:t>s</w:t>
      </w:r>
      <w:r w:rsidRPr="00315F7A">
        <w:rPr>
          <w:rFonts w:ascii="Verdana" w:hAnsi="Verdana"/>
          <w:sz w:val="16"/>
          <w:szCs w:val="16"/>
        </w:rPr>
        <w:t xml:space="preserve">. </w:t>
      </w:r>
      <w:r>
        <w:rPr>
          <w:rFonts w:ascii="Verdana" w:hAnsi="Verdana"/>
          <w:sz w:val="16"/>
          <w:szCs w:val="16"/>
        </w:rPr>
        <w:t>En los comprobantes lo que consta es l</w:t>
      </w:r>
      <w:r w:rsidRPr="00315F7A">
        <w:rPr>
          <w:rFonts w:ascii="Verdana" w:hAnsi="Verdana"/>
          <w:sz w:val="16"/>
          <w:szCs w:val="16"/>
        </w:rPr>
        <w:t xml:space="preserve">a “fecha de impresión” de los </w:t>
      </w:r>
      <w:r>
        <w:rPr>
          <w:rFonts w:ascii="Verdana" w:hAnsi="Verdana"/>
          <w:sz w:val="16"/>
          <w:szCs w:val="16"/>
        </w:rPr>
        <w:t>mismos, a saber: 1</w:t>
      </w:r>
      <w:r w:rsidRPr="00315F7A">
        <w:rPr>
          <w:rFonts w:ascii="Verdana" w:hAnsi="Verdana"/>
          <w:sz w:val="16"/>
          <w:szCs w:val="16"/>
        </w:rPr>
        <w:t xml:space="preserve"> de agosto de 2016. En su escrito de observaciones de 9 de septiembre de 2016 los representantes afirmaron que el pago del tercer tracto se efectuó el 2 de agosto de 2016. Con respecto a la víctima Armando Serrano Puig, el Estado sostuvo en su informe de 8 de agosto de 2016 que “no [había] </w:t>
      </w:r>
      <w:proofErr w:type="gramStart"/>
      <w:r w:rsidRPr="00315F7A">
        <w:rPr>
          <w:rFonts w:ascii="Verdana" w:hAnsi="Verdana"/>
          <w:sz w:val="16"/>
          <w:szCs w:val="16"/>
        </w:rPr>
        <w:t>p[</w:t>
      </w:r>
      <w:proofErr w:type="gramEnd"/>
      <w:r w:rsidRPr="00315F7A">
        <w:rPr>
          <w:rFonts w:ascii="Verdana" w:hAnsi="Verdana"/>
          <w:sz w:val="16"/>
          <w:szCs w:val="16"/>
        </w:rPr>
        <w:t xml:space="preserve">odido] efectivizarse [su pago] por cuanto la institución financiera informó que su cuenta se encontraba inactiva”. Posteriormente, en su informe </w:t>
      </w:r>
      <w:r w:rsidRPr="00994CA5">
        <w:rPr>
          <w:rFonts w:ascii="Verdana" w:hAnsi="Verdana"/>
          <w:sz w:val="16"/>
          <w:szCs w:val="16"/>
        </w:rPr>
        <w:t xml:space="preserve">de 10 de agosto de 2016 el </w:t>
      </w:r>
      <w:r w:rsidRPr="000C7CDF">
        <w:rPr>
          <w:rFonts w:ascii="Verdana" w:hAnsi="Verdana"/>
          <w:i/>
          <w:sz w:val="16"/>
          <w:szCs w:val="16"/>
        </w:rPr>
        <w:t>Estado</w:t>
      </w:r>
      <w:r w:rsidRPr="00994CA5">
        <w:rPr>
          <w:rFonts w:ascii="Verdana" w:hAnsi="Verdana"/>
          <w:sz w:val="16"/>
          <w:szCs w:val="16"/>
        </w:rPr>
        <w:t xml:space="preserve"> indicó que ya se había realizado el pago a la referida víctima y adjuntó el comprobante correspondiente. En </w:t>
      </w:r>
      <w:r w:rsidRPr="00E23EE3">
        <w:rPr>
          <w:rFonts w:ascii="Verdana" w:hAnsi="Verdana"/>
          <w:sz w:val="16"/>
          <w:szCs w:val="16"/>
        </w:rPr>
        <w:t xml:space="preserve">el comprobante </w:t>
      </w:r>
      <w:r w:rsidR="0032051F">
        <w:rPr>
          <w:rFonts w:ascii="Verdana" w:hAnsi="Verdana"/>
          <w:sz w:val="16"/>
          <w:szCs w:val="16"/>
        </w:rPr>
        <w:t xml:space="preserve">de pago del Ministerio de Finanzas de Ecuador </w:t>
      </w:r>
      <w:r w:rsidRPr="00E23EE3">
        <w:rPr>
          <w:rFonts w:ascii="Verdana" w:hAnsi="Verdana"/>
          <w:sz w:val="16"/>
          <w:szCs w:val="16"/>
        </w:rPr>
        <w:t xml:space="preserve">no consta la fecha de realización del pago, solo la “fecha de impresión” del mismo, a saber, 9 de agosto de 2016. </w:t>
      </w:r>
      <w:r w:rsidRPr="000C7CDF">
        <w:rPr>
          <w:rFonts w:ascii="Verdana" w:hAnsi="Verdana"/>
          <w:sz w:val="16"/>
          <w:szCs w:val="16"/>
        </w:rPr>
        <w:t>Los representantes no indicaron en su escrito de observaciones qué día se efectuó el pago de la referida víctima.</w:t>
      </w:r>
      <w:r>
        <w:rPr>
          <w:rFonts w:ascii="Verdana" w:hAnsi="Verdana"/>
          <w:b/>
          <w:sz w:val="16"/>
          <w:szCs w:val="16"/>
        </w:rPr>
        <w:t xml:space="preserve"> </w:t>
      </w:r>
    </w:p>
  </w:footnote>
  <w:footnote w:id="39">
    <w:p w:rsidR="003009E3" w:rsidRPr="003009E3" w:rsidRDefault="003009E3" w:rsidP="003009E3">
      <w:pPr>
        <w:pStyle w:val="Textonotapie"/>
        <w:jc w:val="both"/>
        <w:rPr>
          <w:rFonts w:ascii="Verdana" w:hAnsi="Verdana"/>
          <w:sz w:val="16"/>
          <w:szCs w:val="16"/>
        </w:rPr>
      </w:pPr>
      <w:r w:rsidRPr="003009E3">
        <w:rPr>
          <w:rStyle w:val="Refdenotaalpie"/>
          <w:rFonts w:ascii="Verdana" w:hAnsi="Verdana"/>
          <w:sz w:val="16"/>
          <w:szCs w:val="16"/>
        </w:rPr>
        <w:footnoteRef/>
      </w:r>
      <w:r w:rsidRPr="003009E3">
        <w:rPr>
          <w:rFonts w:ascii="Verdana" w:hAnsi="Verdana"/>
          <w:sz w:val="16"/>
          <w:szCs w:val="16"/>
        </w:rPr>
        <w:t xml:space="preserve"> </w:t>
      </w:r>
      <w:r w:rsidRPr="003009E3">
        <w:rPr>
          <w:rFonts w:ascii="Verdana" w:hAnsi="Verdana"/>
          <w:sz w:val="16"/>
          <w:szCs w:val="16"/>
        </w:rPr>
        <w:tab/>
        <w:t xml:space="preserve">Respecto del pago del tercer tracto de la indemnización por daño material </w:t>
      </w:r>
      <w:r>
        <w:rPr>
          <w:rFonts w:ascii="Verdana" w:hAnsi="Verdana"/>
          <w:sz w:val="16"/>
          <w:szCs w:val="16"/>
        </w:rPr>
        <w:t xml:space="preserve">los </w:t>
      </w:r>
      <w:r w:rsidRPr="003009E3">
        <w:rPr>
          <w:rFonts w:ascii="Verdana" w:hAnsi="Verdana"/>
          <w:i/>
          <w:sz w:val="16"/>
          <w:szCs w:val="16"/>
        </w:rPr>
        <w:t>representantes</w:t>
      </w:r>
      <w:r>
        <w:rPr>
          <w:rFonts w:ascii="Verdana" w:hAnsi="Verdana"/>
          <w:sz w:val="16"/>
          <w:szCs w:val="16"/>
        </w:rPr>
        <w:t xml:space="preserve"> </w:t>
      </w:r>
      <w:r w:rsidRPr="003009E3">
        <w:rPr>
          <w:rFonts w:ascii="Verdana" w:hAnsi="Verdana"/>
          <w:sz w:val="16"/>
          <w:szCs w:val="16"/>
        </w:rPr>
        <w:t xml:space="preserve">sostuvieron que “[e]l Estado pagó efectivamente a las víctimas del caso el 2 de agosto de 2016”, pero que “transcurrieron cuatro meses sin que se </w:t>
      </w:r>
      <w:proofErr w:type="gramStart"/>
      <w:r w:rsidRPr="003009E3">
        <w:rPr>
          <w:rFonts w:ascii="Verdana" w:hAnsi="Verdana"/>
          <w:sz w:val="16"/>
          <w:szCs w:val="16"/>
        </w:rPr>
        <w:t>h[</w:t>
      </w:r>
      <w:proofErr w:type="gramEnd"/>
      <w:r w:rsidRPr="003009E3">
        <w:rPr>
          <w:rFonts w:ascii="Verdana" w:hAnsi="Verdana"/>
          <w:sz w:val="16"/>
          <w:szCs w:val="16"/>
        </w:rPr>
        <w:t>ubiera] cancelado lo adeudado en el tiempo oportuno”, por lo cual “solicita[ron] que se ordene el pago de intereses por mora”.</w:t>
      </w:r>
    </w:p>
  </w:footnote>
  <w:footnote w:id="40">
    <w:p w:rsidR="003009E3" w:rsidRPr="00C672DF" w:rsidRDefault="003009E3" w:rsidP="00C672DF">
      <w:pPr>
        <w:pStyle w:val="Textonotapie"/>
        <w:jc w:val="both"/>
        <w:rPr>
          <w:rFonts w:ascii="Verdana" w:hAnsi="Verdana"/>
          <w:sz w:val="16"/>
          <w:szCs w:val="16"/>
        </w:rPr>
      </w:pPr>
      <w:r w:rsidRPr="00C672DF">
        <w:rPr>
          <w:rStyle w:val="Refdenotaalpie"/>
          <w:rFonts w:ascii="Verdana" w:hAnsi="Verdana"/>
          <w:sz w:val="16"/>
          <w:szCs w:val="16"/>
        </w:rPr>
        <w:footnoteRef/>
      </w:r>
      <w:r w:rsidRPr="00C672DF">
        <w:rPr>
          <w:rFonts w:ascii="Verdana" w:hAnsi="Verdana"/>
          <w:sz w:val="16"/>
          <w:szCs w:val="16"/>
        </w:rPr>
        <w:t xml:space="preserve"> </w:t>
      </w:r>
      <w:r w:rsidRPr="00C672DF">
        <w:rPr>
          <w:rFonts w:ascii="Verdana" w:hAnsi="Verdana"/>
          <w:sz w:val="16"/>
          <w:szCs w:val="16"/>
        </w:rPr>
        <w:tab/>
        <w:t xml:space="preserve">La </w:t>
      </w:r>
      <w:r w:rsidRPr="00C672DF">
        <w:rPr>
          <w:rFonts w:ascii="Verdana" w:hAnsi="Verdana"/>
          <w:i/>
          <w:sz w:val="16"/>
          <w:szCs w:val="16"/>
        </w:rPr>
        <w:t>Comisión Interamericana</w:t>
      </w:r>
      <w:r w:rsidRPr="00C672DF">
        <w:rPr>
          <w:rFonts w:ascii="Verdana" w:hAnsi="Verdana"/>
          <w:sz w:val="16"/>
          <w:szCs w:val="16"/>
        </w:rPr>
        <w:t xml:space="preserve"> sostuvo que </w:t>
      </w:r>
      <w:r w:rsidR="00C672DF" w:rsidRPr="00C672DF">
        <w:rPr>
          <w:rFonts w:ascii="Verdana" w:hAnsi="Verdana"/>
          <w:sz w:val="16"/>
          <w:szCs w:val="16"/>
        </w:rPr>
        <w:t>“a efectos de dar por cumplido este aspecto pendiente de la Sentencia, conforme al párrafo 281 de la misma, el Estado debe cubrir el interés generado por el pago no oportuno del tercer tracto”. En ese sentido, añadió que “queda a la espera de observaciones del Estado sobre dicho punto, particularmente sobre el cálculo de los montos que se adeudarían y, en su caso, sobre los comprobantes de pago efectivo de tales montos”.</w:t>
      </w:r>
    </w:p>
  </w:footnote>
  <w:footnote w:id="41">
    <w:p w:rsidR="00C573E2" w:rsidRPr="00315F7A" w:rsidRDefault="00C573E2" w:rsidP="008E534F">
      <w:pPr>
        <w:pStyle w:val="Textonotapie"/>
        <w:tabs>
          <w:tab w:val="left" w:pos="426"/>
        </w:tabs>
        <w:jc w:val="both"/>
        <w:rPr>
          <w:rFonts w:ascii="Verdana" w:hAnsi="Verdana"/>
          <w:sz w:val="16"/>
          <w:szCs w:val="16"/>
          <w:lang w:val="es-CR"/>
        </w:rPr>
      </w:pPr>
      <w:r w:rsidRPr="003009E3">
        <w:rPr>
          <w:rStyle w:val="Refdenotaalpie"/>
          <w:rFonts w:ascii="Verdana" w:hAnsi="Verdana"/>
          <w:sz w:val="16"/>
          <w:szCs w:val="16"/>
        </w:rPr>
        <w:footnoteRef/>
      </w:r>
      <w:r w:rsidRPr="003009E3">
        <w:rPr>
          <w:rFonts w:ascii="Verdana" w:hAnsi="Verdana"/>
          <w:sz w:val="16"/>
          <w:szCs w:val="16"/>
        </w:rPr>
        <w:t xml:space="preserve"> </w:t>
      </w:r>
      <w:r w:rsidRPr="003009E3">
        <w:rPr>
          <w:rFonts w:ascii="Verdana" w:hAnsi="Verdana"/>
          <w:sz w:val="16"/>
          <w:szCs w:val="16"/>
          <w:lang w:val="es-CR"/>
        </w:rPr>
        <w:tab/>
        <w:t>En el párrafo 281 la Corte estableció que “[e]n caso</w:t>
      </w:r>
      <w:r w:rsidR="00CC57F0">
        <w:rPr>
          <w:rFonts w:ascii="Verdana" w:hAnsi="Verdana"/>
          <w:sz w:val="16"/>
          <w:szCs w:val="16"/>
          <w:lang w:val="es-CR"/>
        </w:rPr>
        <w:t xml:space="preserve"> de</w:t>
      </w:r>
      <w:r w:rsidRPr="003009E3">
        <w:rPr>
          <w:rFonts w:ascii="Verdana" w:hAnsi="Verdana"/>
          <w:sz w:val="16"/>
          <w:szCs w:val="16"/>
          <w:lang w:val="es-CR"/>
        </w:rPr>
        <w:t xml:space="preserve"> que el Estado incurriera en mora, deberá pagar un </w:t>
      </w:r>
      <w:r w:rsidRPr="00315F7A">
        <w:rPr>
          <w:rFonts w:ascii="Verdana" w:hAnsi="Verdana"/>
          <w:sz w:val="16"/>
          <w:szCs w:val="16"/>
          <w:lang w:val="es-CR"/>
        </w:rPr>
        <w:t xml:space="preserve">interés sobre la cantidad adeudada correspondiente al interés bancario moratorio en Ecuador”. </w:t>
      </w:r>
    </w:p>
  </w:footnote>
  <w:footnote w:id="42">
    <w:p w:rsidR="00AC4931" w:rsidRPr="00577323" w:rsidRDefault="00AC4931" w:rsidP="00142647">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rPr>
        <w:tab/>
        <w:t>Consideraron que “el Estado al pedir a la Corte descontar los valores del IESS para el cálculo del pago de los sueldos no recibidos de las víctimas debe cancelar dichos valores a nombre de cada una de las víctimas”.</w:t>
      </w:r>
    </w:p>
  </w:footnote>
  <w:footnote w:id="43">
    <w:p w:rsidR="0096573D" w:rsidRPr="00877B3A" w:rsidRDefault="0096573D" w:rsidP="00142647">
      <w:pPr>
        <w:pStyle w:val="Textonotapie"/>
        <w:tabs>
          <w:tab w:val="left" w:pos="426"/>
        </w:tabs>
        <w:jc w:val="both"/>
        <w:rPr>
          <w:rFonts w:ascii="Verdana" w:hAnsi="Verdana"/>
          <w:sz w:val="16"/>
          <w:szCs w:val="16"/>
          <w:lang w:val="es-CR"/>
        </w:rPr>
      </w:pPr>
      <w:r w:rsidRPr="00577323">
        <w:rPr>
          <w:rStyle w:val="Refdenotaalpie"/>
          <w:rFonts w:ascii="Verdana" w:hAnsi="Verdana"/>
          <w:sz w:val="16"/>
          <w:szCs w:val="16"/>
        </w:rPr>
        <w:footnoteRef/>
      </w:r>
      <w:r w:rsidRPr="00577323">
        <w:rPr>
          <w:rFonts w:ascii="Verdana" w:hAnsi="Verdana"/>
          <w:sz w:val="16"/>
          <w:szCs w:val="16"/>
        </w:rPr>
        <w:t xml:space="preserve"> </w:t>
      </w:r>
      <w:r w:rsidRPr="00577323">
        <w:rPr>
          <w:rFonts w:ascii="Verdana" w:hAnsi="Verdana"/>
          <w:sz w:val="16"/>
          <w:szCs w:val="16"/>
          <w:lang w:val="es-CR"/>
        </w:rPr>
        <w:tab/>
        <w:t xml:space="preserve">En el párrafo 224 de la Sentencia se hace constar que “[l]os representantes </w:t>
      </w:r>
      <w:r w:rsidRPr="00577323">
        <w:rPr>
          <w:rFonts w:ascii="Verdana" w:hAnsi="Verdana"/>
          <w:sz w:val="16"/>
          <w:szCs w:val="16"/>
        </w:rPr>
        <w:t>solicitaron que se ordenara al Estado el pago de una “compensación monetaria por daños y perjuicios, relacionada con el monto de la remuneración que dejaron de percibir los magistrados y el tiempo transcurrido desde el cometimiento de la violación hasta el cumplimiento efectivo de la sentencia. En el caso de los magistrados tiene relación a la remuneración (salario más beneficios sociales) que los magistrados dejaron de percibir con la destitución”. Esta reparación supondría el cálculo “en función del historial salarial de los magistrados, del número de años que han transcurrido desde la destitución hasta la expedición de la sentencia”.</w:t>
      </w:r>
      <w:r w:rsidR="00473D9D" w:rsidRPr="00577323">
        <w:rPr>
          <w:rFonts w:ascii="Verdana" w:hAnsi="Verdana"/>
          <w:sz w:val="16"/>
          <w:szCs w:val="16"/>
        </w:rPr>
        <w:t xml:space="preserve"> Asimismo, en el párrafo 247 de la Sentencia quedó constando que los representantes de las víctimas solicitaron que</w:t>
      </w:r>
      <w:r w:rsidR="003B3868">
        <w:rPr>
          <w:rFonts w:ascii="Verdana" w:hAnsi="Verdana"/>
          <w:sz w:val="16"/>
          <w:szCs w:val="16"/>
        </w:rPr>
        <w:t>,</w:t>
      </w:r>
      <w:r w:rsidR="00473D9D" w:rsidRPr="00577323">
        <w:rPr>
          <w:rFonts w:ascii="Verdana" w:hAnsi="Verdana"/>
          <w:sz w:val="16"/>
          <w:szCs w:val="16"/>
        </w:rPr>
        <w:t xml:space="preserve"> “al momento de fijar el monto a liquidar por cada uno de los magistrados, éste no fuera menor al señalado por el Certificado de Liquidaciones preparado por el Estado para cumplir el informe 50 de la Comisión y en la prueba documental </w:t>
      </w:r>
      <w:r w:rsidR="00473D9D" w:rsidRPr="00877B3A">
        <w:rPr>
          <w:rFonts w:ascii="Verdana" w:hAnsi="Verdana"/>
          <w:sz w:val="16"/>
          <w:szCs w:val="16"/>
        </w:rPr>
        <w:t>que se allegó al expediente referente a los ingresos de cada uno de los magistrados”.</w:t>
      </w:r>
    </w:p>
  </w:footnote>
  <w:footnote w:id="44">
    <w:p w:rsidR="000754A1" w:rsidRPr="00877B3A" w:rsidRDefault="000754A1" w:rsidP="00E717E0">
      <w:pPr>
        <w:pStyle w:val="Textonotapie"/>
        <w:jc w:val="both"/>
        <w:rPr>
          <w:rFonts w:ascii="Verdana" w:hAnsi="Verdana"/>
          <w:sz w:val="16"/>
          <w:szCs w:val="16"/>
          <w:lang w:val="es-CR"/>
        </w:rPr>
      </w:pPr>
      <w:r w:rsidRPr="00877B3A">
        <w:rPr>
          <w:rStyle w:val="Refdenotaalpie"/>
          <w:rFonts w:ascii="Verdana" w:hAnsi="Verdana"/>
          <w:sz w:val="16"/>
          <w:szCs w:val="16"/>
        </w:rPr>
        <w:footnoteRef/>
      </w:r>
      <w:r w:rsidRPr="00877B3A">
        <w:rPr>
          <w:rFonts w:ascii="Verdana" w:hAnsi="Verdana"/>
          <w:sz w:val="16"/>
          <w:szCs w:val="16"/>
        </w:rPr>
        <w:t xml:space="preserve"> </w:t>
      </w:r>
      <w:r w:rsidR="00CF1820" w:rsidRPr="00877B3A">
        <w:rPr>
          <w:rFonts w:ascii="Verdana" w:hAnsi="Verdana"/>
          <w:sz w:val="16"/>
          <w:szCs w:val="16"/>
        </w:rPr>
        <w:tab/>
      </w:r>
      <w:r w:rsidR="00CF1820" w:rsidRPr="00877B3A">
        <w:rPr>
          <w:rFonts w:ascii="Verdana" w:hAnsi="Verdana"/>
          <w:i/>
          <w:sz w:val="16"/>
          <w:szCs w:val="16"/>
        </w:rPr>
        <w:t>Cfr.</w:t>
      </w:r>
      <w:r w:rsidR="00CF1820" w:rsidRPr="00877B3A">
        <w:rPr>
          <w:rFonts w:ascii="Verdana" w:hAnsi="Verdana"/>
          <w:sz w:val="16"/>
          <w:szCs w:val="16"/>
        </w:rPr>
        <w:t xml:space="preserve"> Comprobantes de pago Nos. Cur 25232 y 25235 </w:t>
      </w:r>
      <w:r w:rsidR="00084023" w:rsidRPr="00877B3A">
        <w:rPr>
          <w:rFonts w:ascii="Verdana" w:hAnsi="Verdana"/>
          <w:sz w:val="16"/>
          <w:szCs w:val="16"/>
        </w:rPr>
        <w:t xml:space="preserve">emitidos por el Ministerio de Finanzas del Ecuador, </w:t>
      </w:r>
      <w:r w:rsidR="00CF1820" w:rsidRPr="00877B3A">
        <w:rPr>
          <w:rFonts w:ascii="Verdana" w:hAnsi="Verdana"/>
          <w:sz w:val="16"/>
          <w:szCs w:val="16"/>
        </w:rPr>
        <w:t xml:space="preserve">en los cuales consta que se pagó </w:t>
      </w:r>
      <w:r w:rsidR="00E717E0" w:rsidRPr="00877B3A">
        <w:rPr>
          <w:rFonts w:ascii="Verdana" w:hAnsi="Verdana"/>
          <w:sz w:val="16"/>
          <w:szCs w:val="16"/>
        </w:rPr>
        <w:t xml:space="preserve">US$7.500,00 al representante David Heredia Cordero y US$7.500,00 al representante Ramiro Ávila Santamaría (anexos al informe del Estado de 10 de agosto de 2016). </w:t>
      </w:r>
    </w:p>
  </w:footnote>
  <w:footnote w:id="45">
    <w:p w:rsidR="000754A1" w:rsidRPr="00577323" w:rsidRDefault="000754A1" w:rsidP="000754A1">
      <w:pPr>
        <w:pStyle w:val="Textonotapie"/>
        <w:jc w:val="both"/>
        <w:rPr>
          <w:rFonts w:ascii="Verdana" w:hAnsi="Verdana"/>
          <w:sz w:val="16"/>
          <w:szCs w:val="16"/>
          <w:lang w:val="es-CR"/>
        </w:rPr>
      </w:pPr>
      <w:r w:rsidRPr="00877B3A">
        <w:rPr>
          <w:rStyle w:val="Refdenotaalpie"/>
          <w:rFonts w:ascii="Verdana" w:hAnsi="Verdana"/>
          <w:sz w:val="16"/>
          <w:szCs w:val="16"/>
        </w:rPr>
        <w:footnoteRef/>
      </w:r>
      <w:r w:rsidRPr="00877B3A">
        <w:rPr>
          <w:rFonts w:ascii="Verdana" w:hAnsi="Verdana"/>
          <w:sz w:val="16"/>
          <w:szCs w:val="16"/>
        </w:rPr>
        <w:t xml:space="preserve"> </w:t>
      </w:r>
      <w:r w:rsidRPr="00877B3A">
        <w:rPr>
          <w:rFonts w:ascii="Verdana" w:hAnsi="Verdana"/>
          <w:sz w:val="16"/>
          <w:szCs w:val="16"/>
        </w:rPr>
        <w:tab/>
        <w:t>L</w:t>
      </w:r>
      <w:r w:rsidRPr="00877B3A">
        <w:rPr>
          <w:rFonts w:ascii="Verdana" w:hAnsi="Verdana"/>
          <w:sz w:val="16"/>
          <w:szCs w:val="16"/>
          <w:lang w:val="es-CR"/>
        </w:rPr>
        <w:t xml:space="preserve">os </w:t>
      </w:r>
      <w:r w:rsidRPr="00877B3A">
        <w:rPr>
          <w:rFonts w:ascii="Verdana" w:hAnsi="Verdana"/>
          <w:i/>
          <w:sz w:val="16"/>
          <w:szCs w:val="16"/>
          <w:lang w:val="es-CR"/>
        </w:rPr>
        <w:t>representantes</w:t>
      </w:r>
      <w:r w:rsidRPr="00877B3A">
        <w:rPr>
          <w:rFonts w:ascii="Verdana" w:hAnsi="Verdana"/>
          <w:sz w:val="16"/>
          <w:szCs w:val="16"/>
          <w:lang w:val="es-CR"/>
        </w:rPr>
        <w:t xml:space="preserve"> no presentaron observaciones sobre el reintegro de costas y gastos.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297" w:rsidRDefault="003B5297">
    <w:pPr>
      <w:pStyle w:val="Encabezado"/>
      <w:jc w:val="center"/>
    </w:pPr>
    <w:r w:rsidRPr="003B5297">
      <w:rPr>
        <w:rFonts w:ascii="Verdana" w:hAnsi="Verdana"/>
        <w:sz w:val="20"/>
      </w:rPr>
      <w:t>-</w:t>
    </w:r>
    <w:r w:rsidRPr="003B5297">
      <w:rPr>
        <w:rFonts w:ascii="Verdana" w:hAnsi="Verdana"/>
        <w:sz w:val="20"/>
      </w:rPr>
      <w:fldChar w:fldCharType="begin"/>
    </w:r>
    <w:r w:rsidRPr="003B5297">
      <w:rPr>
        <w:rFonts w:ascii="Verdana" w:hAnsi="Verdana"/>
        <w:sz w:val="20"/>
      </w:rPr>
      <w:instrText>PAGE   \* MERGEFORMAT</w:instrText>
    </w:r>
    <w:r w:rsidRPr="003B5297">
      <w:rPr>
        <w:rFonts w:ascii="Verdana" w:hAnsi="Verdana"/>
        <w:sz w:val="20"/>
      </w:rPr>
      <w:fldChar w:fldCharType="separate"/>
    </w:r>
    <w:r w:rsidRPr="003B5297">
      <w:rPr>
        <w:rFonts w:ascii="Verdana" w:hAnsi="Verdana"/>
        <w:noProof/>
        <w:sz w:val="20"/>
        <w:lang w:val="es-ES"/>
      </w:rPr>
      <w:t>12</w:t>
    </w:r>
    <w:r w:rsidRPr="003B5297">
      <w:rPr>
        <w:rFonts w:ascii="Verdana" w:hAnsi="Verdana"/>
        <w:sz w:val="20"/>
      </w:rPr>
      <w:fldChar w:fldCharType="end"/>
    </w:r>
    <w:r w:rsidRPr="003B5297">
      <w:rPr>
        <w:rFonts w:ascii="Verdana" w:hAnsi="Verdana"/>
        <w:sz w:val="20"/>
      </w:rPr>
      <w:t>-</w:t>
    </w:r>
  </w:p>
  <w:p w:rsidR="003B5297" w:rsidRDefault="003B529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931" w:rsidRPr="008F75EC" w:rsidRDefault="003B5297" w:rsidP="008F75EC">
    <w:pPr>
      <w:pStyle w:val="Encabezado"/>
      <w:jc w:val="center"/>
      <w:rPr>
        <w:rFonts w:ascii="Verdana" w:hAnsi="Verdana"/>
        <w:sz w:val="20"/>
      </w:rPr>
    </w:pPr>
    <w:r w:rsidRPr="003B5297">
      <w:rPr>
        <w:rFonts w:ascii="Verdana" w:hAnsi="Verdana"/>
        <w:sz w:val="20"/>
      </w:rPr>
      <w:t>-</w:t>
    </w:r>
    <w:r w:rsidRPr="003B5297">
      <w:rPr>
        <w:rFonts w:ascii="Verdana" w:hAnsi="Verdana"/>
        <w:sz w:val="20"/>
      </w:rPr>
      <w:fldChar w:fldCharType="begin"/>
    </w:r>
    <w:r w:rsidRPr="003B5297">
      <w:rPr>
        <w:rFonts w:ascii="Verdana" w:hAnsi="Verdana"/>
        <w:sz w:val="20"/>
      </w:rPr>
      <w:instrText>PAGE   \* MERGEFORMAT</w:instrText>
    </w:r>
    <w:r w:rsidRPr="003B5297">
      <w:rPr>
        <w:rFonts w:ascii="Verdana" w:hAnsi="Verdana"/>
        <w:sz w:val="20"/>
      </w:rPr>
      <w:fldChar w:fldCharType="separate"/>
    </w:r>
    <w:r w:rsidR="001F4572" w:rsidRPr="001F4572">
      <w:rPr>
        <w:rFonts w:ascii="Verdana" w:hAnsi="Verdana"/>
        <w:noProof/>
        <w:sz w:val="20"/>
        <w:lang w:val="es-ES"/>
      </w:rPr>
      <w:t>3</w:t>
    </w:r>
    <w:r w:rsidRPr="003B5297">
      <w:rPr>
        <w:rFonts w:ascii="Verdana" w:hAnsi="Verdana"/>
        <w:sz w:val="20"/>
      </w:rPr>
      <w:fldChar w:fldCharType="end"/>
    </w:r>
    <w:r w:rsidRPr="003B5297">
      <w:rPr>
        <w:rFonts w:ascii="Verdana" w:hAnsi="Verdana"/>
        <w:sz w:val="2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931" w:rsidRPr="009C057E" w:rsidRDefault="00AC4931" w:rsidP="009C057E">
    <w:pPr>
      <w:pStyle w:val="Encabezado"/>
      <w:jc w:val="right"/>
      <w:rPr>
        <w:rFonts w:ascii="Verdana" w:hAnsi="Verdana"/>
        <w:b/>
        <w: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DD0"/>
    <w:multiLevelType w:val="hybridMultilevel"/>
    <w:tmpl w:val="71B4A3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071A267F"/>
    <w:multiLevelType w:val="hybridMultilevel"/>
    <w:tmpl w:val="5516840E"/>
    <w:lvl w:ilvl="0" w:tplc="C6C4D11A">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
    <w:nsid w:val="077C5086"/>
    <w:multiLevelType w:val="hybridMultilevel"/>
    <w:tmpl w:val="5B5428D4"/>
    <w:lvl w:ilvl="0" w:tplc="95BE3B6E">
      <w:start w:val="1"/>
      <w:numFmt w:val="lowerLetter"/>
      <w:lvlText w:val="%1)"/>
      <w:lvlJc w:val="left"/>
      <w:pPr>
        <w:ind w:left="3192" w:hanging="360"/>
      </w:pPr>
      <w:rPr>
        <w:rFonts w:hint="default"/>
      </w:rPr>
    </w:lvl>
    <w:lvl w:ilvl="1" w:tplc="140A0019" w:tentative="1">
      <w:start w:val="1"/>
      <w:numFmt w:val="lowerLetter"/>
      <w:lvlText w:val="%2."/>
      <w:lvlJc w:val="left"/>
      <w:pPr>
        <w:ind w:left="3912" w:hanging="360"/>
      </w:pPr>
    </w:lvl>
    <w:lvl w:ilvl="2" w:tplc="140A001B" w:tentative="1">
      <w:start w:val="1"/>
      <w:numFmt w:val="lowerRoman"/>
      <w:lvlText w:val="%3."/>
      <w:lvlJc w:val="right"/>
      <w:pPr>
        <w:ind w:left="4632" w:hanging="180"/>
      </w:pPr>
    </w:lvl>
    <w:lvl w:ilvl="3" w:tplc="140A000F" w:tentative="1">
      <w:start w:val="1"/>
      <w:numFmt w:val="decimal"/>
      <w:lvlText w:val="%4."/>
      <w:lvlJc w:val="left"/>
      <w:pPr>
        <w:ind w:left="5352" w:hanging="360"/>
      </w:pPr>
    </w:lvl>
    <w:lvl w:ilvl="4" w:tplc="140A0019" w:tentative="1">
      <w:start w:val="1"/>
      <w:numFmt w:val="lowerLetter"/>
      <w:lvlText w:val="%5."/>
      <w:lvlJc w:val="left"/>
      <w:pPr>
        <w:ind w:left="6072" w:hanging="360"/>
      </w:pPr>
    </w:lvl>
    <w:lvl w:ilvl="5" w:tplc="140A001B" w:tentative="1">
      <w:start w:val="1"/>
      <w:numFmt w:val="lowerRoman"/>
      <w:lvlText w:val="%6."/>
      <w:lvlJc w:val="right"/>
      <w:pPr>
        <w:ind w:left="6792" w:hanging="180"/>
      </w:pPr>
    </w:lvl>
    <w:lvl w:ilvl="6" w:tplc="140A000F" w:tentative="1">
      <w:start w:val="1"/>
      <w:numFmt w:val="decimal"/>
      <w:lvlText w:val="%7."/>
      <w:lvlJc w:val="left"/>
      <w:pPr>
        <w:ind w:left="7512" w:hanging="360"/>
      </w:pPr>
    </w:lvl>
    <w:lvl w:ilvl="7" w:tplc="140A0019" w:tentative="1">
      <w:start w:val="1"/>
      <w:numFmt w:val="lowerLetter"/>
      <w:lvlText w:val="%8."/>
      <w:lvlJc w:val="left"/>
      <w:pPr>
        <w:ind w:left="8232" w:hanging="360"/>
      </w:pPr>
    </w:lvl>
    <w:lvl w:ilvl="8" w:tplc="140A001B" w:tentative="1">
      <w:start w:val="1"/>
      <w:numFmt w:val="lowerRoman"/>
      <w:lvlText w:val="%9."/>
      <w:lvlJc w:val="right"/>
      <w:pPr>
        <w:ind w:left="8952" w:hanging="180"/>
      </w:pPr>
    </w:lvl>
  </w:abstractNum>
  <w:abstractNum w:abstractNumId="3">
    <w:nsid w:val="089162FD"/>
    <w:multiLevelType w:val="hybridMultilevel"/>
    <w:tmpl w:val="669A88B0"/>
    <w:lvl w:ilvl="0" w:tplc="C96CE35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08D056DA"/>
    <w:multiLevelType w:val="hybridMultilevel"/>
    <w:tmpl w:val="8B34C6B4"/>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nsid w:val="0B7B1CD3"/>
    <w:multiLevelType w:val="hybridMultilevel"/>
    <w:tmpl w:val="CBFC2F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0EA50BCB"/>
    <w:multiLevelType w:val="hybridMultilevel"/>
    <w:tmpl w:val="1D5809E6"/>
    <w:lvl w:ilvl="0" w:tplc="F88EEED6">
      <w:start w:val="1"/>
      <w:numFmt w:val="decimal"/>
      <w:lvlText w:val="%1."/>
      <w:lvlJc w:val="left"/>
      <w:pPr>
        <w:ind w:left="360" w:hanging="360"/>
      </w:pPr>
      <w:rPr>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nsid w:val="162A6BC5"/>
    <w:multiLevelType w:val="hybridMultilevel"/>
    <w:tmpl w:val="4F76CFFE"/>
    <w:lvl w:ilvl="0" w:tplc="CC5EC06C">
      <w:start w:val="1"/>
      <w:numFmt w:val="decimal"/>
      <w:lvlText w:val="%1."/>
      <w:lvlJc w:val="left"/>
      <w:pPr>
        <w:ind w:left="927" w:hanging="360"/>
      </w:pPr>
      <w:rPr>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7CA5FD6"/>
    <w:multiLevelType w:val="hybridMultilevel"/>
    <w:tmpl w:val="E7DC9F3A"/>
    <w:lvl w:ilvl="0" w:tplc="393E702C">
      <w:start w:val="1"/>
      <w:numFmt w:val="lowerLetter"/>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17D57002"/>
    <w:multiLevelType w:val="hybridMultilevel"/>
    <w:tmpl w:val="07DA9504"/>
    <w:lvl w:ilvl="0" w:tplc="22A43524">
      <w:start w:val="1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1B001780"/>
    <w:multiLevelType w:val="hybridMultilevel"/>
    <w:tmpl w:val="CB3E9AC8"/>
    <w:lvl w:ilvl="0" w:tplc="8CA2976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231F166F"/>
    <w:multiLevelType w:val="hybridMultilevel"/>
    <w:tmpl w:val="26AE4732"/>
    <w:lvl w:ilvl="0" w:tplc="CBDC4E0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267801E9"/>
    <w:multiLevelType w:val="hybridMultilevel"/>
    <w:tmpl w:val="6D56E80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267A49B0"/>
    <w:multiLevelType w:val="hybridMultilevel"/>
    <w:tmpl w:val="981CE28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29903177"/>
    <w:multiLevelType w:val="hybridMultilevel"/>
    <w:tmpl w:val="1392222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38362CB3"/>
    <w:multiLevelType w:val="hybridMultilevel"/>
    <w:tmpl w:val="31E8FA4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3E1C6E91"/>
    <w:multiLevelType w:val="hybridMultilevel"/>
    <w:tmpl w:val="1E261050"/>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3F862DC3"/>
    <w:multiLevelType w:val="hybridMultilevel"/>
    <w:tmpl w:val="C7B28A3A"/>
    <w:lvl w:ilvl="0" w:tplc="140A0015">
      <w:start w:val="1"/>
      <w:numFmt w:val="upp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42AC15C4"/>
    <w:multiLevelType w:val="hybridMultilevel"/>
    <w:tmpl w:val="861EA8C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4E35047E"/>
    <w:multiLevelType w:val="hybridMultilevel"/>
    <w:tmpl w:val="0D04D0C0"/>
    <w:lvl w:ilvl="0" w:tplc="E2CA038E">
      <w:start w:val="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50A87930"/>
    <w:multiLevelType w:val="hybridMultilevel"/>
    <w:tmpl w:val="78E68602"/>
    <w:lvl w:ilvl="0" w:tplc="6B7277AC">
      <w:start w:val="1"/>
      <w:numFmt w:val="upperLetter"/>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1">
    <w:nsid w:val="529B54ED"/>
    <w:multiLevelType w:val="hybridMultilevel"/>
    <w:tmpl w:val="102CE9C6"/>
    <w:lvl w:ilvl="0" w:tplc="2AE2807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57DE384C"/>
    <w:multiLevelType w:val="hybridMultilevel"/>
    <w:tmpl w:val="0250018E"/>
    <w:lvl w:ilvl="0" w:tplc="B34E2E48">
      <w:start w:val="1"/>
      <w:numFmt w:val="decimal"/>
      <w:lvlText w:val="%1)"/>
      <w:lvlJc w:val="left"/>
      <w:pPr>
        <w:ind w:left="2484" w:hanging="360"/>
      </w:pPr>
      <w:rPr>
        <w:rFonts w:hint="default"/>
      </w:rPr>
    </w:lvl>
    <w:lvl w:ilvl="1" w:tplc="140A0019" w:tentative="1">
      <w:start w:val="1"/>
      <w:numFmt w:val="lowerLetter"/>
      <w:lvlText w:val="%2."/>
      <w:lvlJc w:val="left"/>
      <w:pPr>
        <w:ind w:left="3204" w:hanging="360"/>
      </w:pPr>
    </w:lvl>
    <w:lvl w:ilvl="2" w:tplc="140A001B" w:tentative="1">
      <w:start w:val="1"/>
      <w:numFmt w:val="lowerRoman"/>
      <w:lvlText w:val="%3."/>
      <w:lvlJc w:val="right"/>
      <w:pPr>
        <w:ind w:left="3924" w:hanging="180"/>
      </w:pPr>
    </w:lvl>
    <w:lvl w:ilvl="3" w:tplc="140A000F" w:tentative="1">
      <w:start w:val="1"/>
      <w:numFmt w:val="decimal"/>
      <w:lvlText w:val="%4."/>
      <w:lvlJc w:val="left"/>
      <w:pPr>
        <w:ind w:left="4644" w:hanging="360"/>
      </w:pPr>
    </w:lvl>
    <w:lvl w:ilvl="4" w:tplc="140A0019" w:tentative="1">
      <w:start w:val="1"/>
      <w:numFmt w:val="lowerLetter"/>
      <w:lvlText w:val="%5."/>
      <w:lvlJc w:val="left"/>
      <w:pPr>
        <w:ind w:left="5364" w:hanging="360"/>
      </w:pPr>
    </w:lvl>
    <w:lvl w:ilvl="5" w:tplc="140A001B" w:tentative="1">
      <w:start w:val="1"/>
      <w:numFmt w:val="lowerRoman"/>
      <w:lvlText w:val="%6."/>
      <w:lvlJc w:val="right"/>
      <w:pPr>
        <w:ind w:left="6084" w:hanging="180"/>
      </w:pPr>
    </w:lvl>
    <w:lvl w:ilvl="6" w:tplc="140A000F" w:tentative="1">
      <w:start w:val="1"/>
      <w:numFmt w:val="decimal"/>
      <w:lvlText w:val="%7."/>
      <w:lvlJc w:val="left"/>
      <w:pPr>
        <w:ind w:left="6804" w:hanging="360"/>
      </w:pPr>
    </w:lvl>
    <w:lvl w:ilvl="7" w:tplc="140A0019" w:tentative="1">
      <w:start w:val="1"/>
      <w:numFmt w:val="lowerLetter"/>
      <w:lvlText w:val="%8."/>
      <w:lvlJc w:val="left"/>
      <w:pPr>
        <w:ind w:left="7524" w:hanging="360"/>
      </w:pPr>
    </w:lvl>
    <w:lvl w:ilvl="8" w:tplc="140A001B" w:tentative="1">
      <w:start w:val="1"/>
      <w:numFmt w:val="lowerRoman"/>
      <w:lvlText w:val="%9."/>
      <w:lvlJc w:val="right"/>
      <w:pPr>
        <w:ind w:left="8244" w:hanging="180"/>
      </w:pPr>
    </w:lvl>
  </w:abstractNum>
  <w:abstractNum w:abstractNumId="23">
    <w:nsid w:val="60DC284E"/>
    <w:multiLevelType w:val="hybridMultilevel"/>
    <w:tmpl w:val="56ECFDBC"/>
    <w:lvl w:ilvl="0" w:tplc="C0806D4C">
      <w:start w:val="1"/>
      <w:numFmt w:val="decimal"/>
      <w:lvlText w:val="%1."/>
      <w:lvlJc w:val="left"/>
      <w:pPr>
        <w:ind w:left="1065" w:hanging="705"/>
      </w:pPr>
      <w:rPr>
        <w:b w:val="0"/>
        <w:i w:val="0"/>
        <w:color w:val="auto"/>
      </w:rPr>
    </w:lvl>
    <w:lvl w:ilvl="1" w:tplc="04090019">
      <w:start w:val="1"/>
      <w:numFmt w:val="lowerLetter"/>
      <w:lvlText w:val="%2."/>
      <w:lvlJc w:val="left"/>
      <w:pPr>
        <w:ind w:left="1440" w:hanging="360"/>
      </w:pPr>
    </w:lvl>
    <w:lvl w:ilvl="2" w:tplc="BAB893C8">
      <w:start w:val="1"/>
      <w:numFmt w:val="upp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3C6780A"/>
    <w:multiLevelType w:val="hybridMultilevel"/>
    <w:tmpl w:val="C2D05DBE"/>
    <w:lvl w:ilvl="0" w:tplc="E2461194">
      <w:start w:val="1"/>
      <w:numFmt w:val="lowerRoman"/>
      <w:lvlText w:val="%1)"/>
      <w:lvlJc w:val="left"/>
      <w:pPr>
        <w:ind w:left="4260" w:hanging="720"/>
      </w:pPr>
      <w:rPr>
        <w:rFonts w:hint="default"/>
      </w:rPr>
    </w:lvl>
    <w:lvl w:ilvl="1" w:tplc="140A0019" w:tentative="1">
      <w:start w:val="1"/>
      <w:numFmt w:val="lowerLetter"/>
      <w:lvlText w:val="%2."/>
      <w:lvlJc w:val="left"/>
      <w:pPr>
        <w:ind w:left="4620" w:hanging="360"/>
      </w:pPr>
    </w:lvl>
    <w:lvl w:ilvl="2" w:tplc="140A001B" w:tentative="1">
      <w:start w:val="1"/>
      <w:numFmt w:val="lowerRoman"/>
      <w:lvlText w:val="%3."/>
      <w:lvlJc w:val="right"/>
      <w:pPr>
        <w:ind w:left="5340" w:hanging="180"/>
      </w:pPr>
    </w:lvl>
    <w:lvl w:ilvl="3" w:tplc="140A000F" w:tentative="1">
      <w:start w:val="1"/>
      <w:numFmt w:val="decimal"/>
      <w:lvlText w:val="%4."/>
      <w:lvlJc w:val="left"/>
      <w:pPr>
        <w:ind w:left="6060" w:hanging="360"/>
      </w:pPr>
    </w:lvl>
    <w:lvl w:ilvl="4" w:tplc="140A0019" w:tentative="1">
      <w:start w:val="1"/>
      <w:numFmt w:val="lowerLetter"/>
      <w:lvlText w:val="%5."/>
      <w:lvlJc w:val="left"/>
      <w:pPr>
        <w:ind w:left="6780" w:hanging="360"/>
      </w:pPr>
    </w:lvl>
    <w:lvl w:ilvl="5" w:tplc="140A001B" w:tentative="1">
      <w:start w:val="1"/>
      <w:numFmt w:val="lowerRoman"/>
      <w:lvlText w:val="%6."/>
      <w:lvlJc w:val="right"/>
      <w:pPr>
        <w:ind w:left="7500" w:hanging="180"/>
      </w:pPr>
    </w:lvl>
    <w:lvl w:ilvl="6" w:tplc="140A000F" w:tentative="1">
      <w:start w:val="1"/>
      <w:numFmt w:val="decimal"/>
      <w:lvlText w:val="%7."/>
      <w:lvlJc w:val="left"/>
      <w:pPr>
        <w:ind w:left="8220" w:hanging="360"/>
      </w:pPr>
    </w:lvl>
    <w:lvl w:ilvl="7" w:tplc="140A0019" w:tentative="1">
      <w:start w:val="1"/>
      <w:numFmt w:val="lowerLetter"/>
      <w:lvlText w:val="%8."/>
      <w:lvlJc w:val="left"/>
      <w:pPr>
        <w:ind w:left="8940" w:hanging="360"/>
      </w:pPr>
    </w:lvl>
    <w:lvl w:ilvl="8" w:tplc="140A001B" w:tentative="1">
      <w:start w:val="1"/>
      <w:numFmt w:val="lowerRoman"/>
      <w:lvlText w:val="%9."/>
      <w:lvlJc w:val="right"/>
      <w:pPr>
        <w:ind w:left="9660" w:hanging="180"/>
      </w:pPr>
    </w:lvl>
  </w:abstractNum>
  <w:abstractNum w:abstractNumId="25">
    <w:nsid w:val="6DFD56E2"/>
    <w:multiLevelType w:val="hybridMultilevel"/>
    <w:tmpl w:val="D74AD5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nsid w:val="757A12A2"/>
    <w:multiLevelType w:val="hybridMultilevel"/>
    <w:tmpl w:val="E5126FEE"/>
    <w:lvl w:ilvl="0" w:tplc="016831AC">
      <w:start w:val="1"/>
      <w:numFmt w:val="decimal"/>
      <w:lvlText w:val="%1."/>
      <w:lvlJc w:val="left"/>
      <w:pPr>
        <w:ind w:left="1065" w:hanging="705"/>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570A4C"/>
    <w:multiLevelType w:val="hybridMultilevel"/>
    <w:tmpl w:val="219240B4"/>
    <w:lvl w:ilvl="0" w:tplc="C63EB832">
      <w:start w:val="1"/>
      <w:numFmt w:val="decimal"/>
      <w:lvlText w:val="%1."/>
      <w:lvlJc w:val="left"/>
      <w:pPr>
        <w:ind w:left="720" w:hanging="360"/>
      </w:pPr>
      <w:rPr>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7983635B"/>
    <w:multiLevelType w:val="hybridMultilevel"/>
    <w:tmpl w:val="056A2518"/>
    <w:lvl w:ilvl="0" w:tplc="6DB053AE">
      <w:start w:val="1"/>
      <w:numFmt w:val="decimal"/>
      <w:lvlText w:val="%1."/>
      <w:lvlJc w:val="left"/>
      <w:pPr>
        <w:ind w:left="360" w:hanging="360"/>
      </w:pPr>
      <w:rPr>
        <w:rFonts w:ascii="Verdana" w:hAnsi="Verdana" w:hint="default"/>
        <w:b w:val="0"/>
        <w:i w:val="0"/>
        <w:strike w:val="0"/>
        <w:dstrike w:val="0"/>
        <w:color w:val="auto"/>
        <w:sz w:val="20"/>
        <w:szCs w:val="20"/>
        <w:u w:val="none"/>
        <w:effect w:val="none"/>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start w:val="1"/>
      <w:numFmt w:val="decimal"/>
      <w:lvlText w:val="%4."/>
      <w:lvlJc w:val="left"/>
      <w:pPr>
        <w:ind w:left="-6476" w:hanging="360"/>
      </w:pPr>
    </w:lvl>
    <w:lvl w:ilvl="4" w:tplc="140A0019">
      <w:start w:val="1"/>
      <w:numFmt w:val="lowerLetter"/>
      <w:lvlText w:val="%5."/>
      <w:lvlJc w:val="left"/>
      <w:pPr>
        <w:ind w:left="-5756" w:hanging="360"/>
      </w:pPr>
    </w:lvl>
    <w:lvl w:ilvl="5" w:tplc="140A001B">
      <w:start w:val="1"/>
      <w:numFmt w:val="lowerRoman"/>
      <w:lvlText w:val="%6."/>
      <w:lvlJc w:val="right"/>
      <w:pPr>
        <w:ind w:left="-5036" w:hanging="180"/>
      </w:pPr>
    </w:lvl>
    <w:lvl w:ilvl="6" w:tplc="140A000F">
      <w:start w:val="1"/>
      <w:numFmt w:val="decimal"/>
      <w:lvlText w:val="%7."/>
      <w:lvlJc w:val="left"/>
      <w:pPr>
        <w:ind w:left="-4316" w:hanging="360"/>
      </w:pPr>
    </w:lvl>
    <w:lvl w:ilvl="7" w:tplc="140A0019">
      <w:start w:val="1"/>
      <w:numFmt w:val="lowerLetter"/>
      <w:lvlText w:val="%8."/>
      <w:lvlJc w:val="left"/>
      <w:pPr>
        <w:ind w:left="-3596" w:hanging="360"/>
      </w:pPr>
    </w:lvl>
    <w:lvl w:ilvl="8" w:tplc="140A001B">
      <w:start w:val="1"/>
      <w:numFmt w:val="lowerRoman"/>
      <w:lvlText w:val="%9."/>
      <w:lvlJc w:val="right"/>
      <w:pPr>
        <w:ind w:left="-2876" w:hanging="180"/>
      </w:pPr>
    </w:lvl>
  </w:abstractNum>
  <w:abstractNum w:abstractNumId="29">
    <w:nsid w:val="7C7275DC"/>
    <w:multiLevelType w:val="hybridMultilevel"/>
    <w:tmpl w:val="C9F8ACD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3"/>
  </w:num>
  <w:num w:numId="2">
    <w:abstractNumId w:val="7"/>
  </w:num>
  <w:num w:numId="3">
    <w:abstractNumId w:val="11"/>
  </w:num>
  <w:num w:numId="4">
    <w:abstractNumId w:val="19"/>
  </w:num>
  <w:num w:numId="5">
    <w:abstractNumId w:val="8"/>
  </w:num>
  <w:num w:numId="6">
    <w:abstractNumId w:val="4"/>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1"/>
  </w:num>
  <w:num w:numId="10">
    <w:abstractNumId w:val="14"/>
  </w:num>
  <w:num w:numId="11">
    <w:abstractNumId w:val="5"/>
  </w:num>
  <w:num w:numId="12">
    <w:abstractNumId w:val="1"/>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8"/>
  </w:num>
  <w:num w:numId="16">
    <w:abstractNumId w:val="9"/>
  </w:num>
  <w:num w:numId="17">
    <w:abstractNumId w:val="29"/>
  </w:num>
  <w:num w:numId="18">
    <w:abstractNumId w:val="15"/>
  </w:num>
  <w:num w:numId="19">
    <w:abstractNumId w:val="6"/>
  </w:num>
  <w:num w:numId="20">
    <w:abstractNumId w:val="10"/>
  </w:num>
  <w:num w:numId="21">
    <w:abstractNumId w:val="20"/>
  </w:num>
  <w:num w:numId="22">
    <w:abstractNumId w:val="22"/>
  </w:num>
  <w:num w:numId="23">
    <w:abstractNumId w:val="2"/>
  </w:num>
  <w:num w:numId="24">
    <w:abstractNumId w:val="24"/>
  </w:num>
  <w:num w:numId="25">
    <w:abstractNumId w:val="17"/>
  </w:num>
  <w:num w:numId="26">
    <w:abstractNumId w:val="26"/>
  </w:num>
  <w:num w:numId="27">
    <w:abstractNumId w:val="23"/>
  </w:num>
  <w:num w:numId="28">
    <w:abstractNumId w:val="12"/>
  </w:num>
  <w:num w:numId="29">
    <w:abstractNumId w:val="25"/>
  </w:num>
  <w:num w:numId="30">
    <w:abstractNumId w:val="3"/>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trackRevisions/>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3A59"/>
    <w:rsid w:val="00001C9A"/>
    <w:rsid w:val="000066D1"/>
    <w:rsid w:val="00010D25"/>
    <w:rsid w:val="000125C3"/>
    <w:rsid w:val="000255A7"/>
    <w:rsid w:val="00026315"/>
    <w:rsid w:val="00026CF1"/>
    <w:rsid w:val="00030606"/>
    <w:rsid w:val="00030D05"/>
    <w:rsid w:val="00031629"/>
    <w:rsid w:val="0003259E"/>
    <w:rsid w:val="00033CAA"/>
    <w:rsid w:val="00033E1C"/>
    <w:rsid w:val="00035A71"/>
    <w:rsid w:val="00037237"/>
    <w:rsid w:val="0004568D"/>
    <w:rsid w:val="00046702"/>
    <w:rsid w:val="00050171"/>
    <w:rsid w:val="000503DB"/>
    <w:rsid w:val="00050A1D"/>
    <w:rsid w:val="00050B6B"/>
    <w:rsid w:val="00053354"/>
    <w:rsid w:val="00063284"/>
    <w:rsid w:val="0006367A"/>
    <w:rsid w:val="000655F9"/>
    <w:rsid w:val="000665D3"/>
    <w:rsid w:val="00067E68"/>
    <w:rsid w:val="000716FB"/>
    <w:rsid w:val="000754A1"/>
    <w:rsid w:val="000760B6"/>
    <w:rsid w:val="00077C31"/>
    <w:rsid w:val="00077CC7"/>
    <w:rsid w:val="00081B6C"/>
    <w:rsid w:val="00084023"/>
    <w:rsid w:val="000945F0"/>
    <w:rsid w:val="00094B27"/>
    <w:rsid w:val="000963B2"/>
    <w:rsid w:val="000971C6"/>
    <w:rsid w:val="000A0CD3"/>
    <w:rsid w:val="000A1DCB"/>
    <w:rsid w:val="000A4492"/>
    <w:rsid w:val="000A5079"/>
    <w:rsid w:val="000A7842"/>
    <w:rsid w:val="000B1588"/>
    <w:rsid w:val="000B169E"/>
    <w:rsid w:val="000B1F7E"/>
    <w:rsid w:val="000B3D22"/>
    <w:rsid w:val="000B558C"/>
    <w:rsid w:val="000B6141"/>
    <w:rsid w:val="000C0CBF"/>
    <w:rsid w:val="000C1C37"/>
    <w:rsid w:val="000C2FD4"/>
    <w:rsid w:val="000C3455"/>
    <w:rsid w:val="000C3A59"/>
    <w:rsid w:val="000C585E"/>
    <w:rsid w:val="000C5F1B"/>
    <w:rsid w:val="000C6877"/>
    <w:rsid w:val="000C7CDF"/>
    <w:rsid w:val="000D48FB"/>
    <w:rsid w:val="000D60E1"/>
    <w:rsid w:val="000D76C7"/>
    <w:rsid w:val="000E1376"/>
    <w:rsid w:val="000E291A"/>
    <w:rsid w:val="000E2CE6"/>
    <w:rsid w:val="000E2FEC"/>
    <w:rsid w:val="000E5791"/>
    <w:rsid w:val="000E6539"/>
    <w:rsid w:val="000E7C3E"/>
    <w:rsid w:val="000F0E5A"/>
    <w:rsid w:val="000F1007"/>
    <w:rsid w:val="000F192F"/>
    <w:rsid w:val="000F4240"/>
    <w:rsid w:val="000F4961"/>
    <w:rsid w:val="000F55B1"/>
    <w:rsid w:val="00101A74"/>
    <w:rsid w:val="0010575A"/>
    <w:rsid w:val="001060AD"/>
    <w:rsid w:val="0010631A"/>
    <w:rsid w:val="001103CD"/>
    <w:rsid w:val="001108B6"/>
    <w:rsid w:val="00110C4C"/>
    <w:rsid w:val="00111A0B"/>
    <w:rsid w:val="001136C5"/>
    <w:rsid w:val="00114D6E"/>
    <w:rsid w:val="001166A7"/>
    <w:rsid w:val="00117DA0"/>
    <w:rsid w:val="001225D8"/>
    <w:rsid w:val="00124E62"/>
    <w:rsid w:val="0012625A"/>
    <w:rsid w:val="001270B6"/>
    <w:rsid w:val="0013655F"/>
    <w:rsid w:val="00140AC7"/>
    <w:rsid w:val="00142647"/>
    <w:rsid w:val="00143285"/>
    <w:rsid w:val="00144555"/>
    <w:rsid w:val="00144CA4"/>
    <w:rsid w:val="00147FCA"/>
    <w:rsid w:val="00150083"/>
    <w:rsid w:val="00160004"/>
    <w:rsid w:val="00162173"/>
    <w:rsid w:val="00165928"/>
    <w:rsid w:val="001712EC"/>
    <w:rsid w:val="00173866"/>
    <w:rsid w:val="0017543D"/>
    <w:rsid w:val="00175DDC"/>
    <w:rsid w:val="00175E91"/>
    <w:rsid w:val="00176211"/>
    <w:rsid w:val="001815B9"/>
    <w:rsid w:val="00183DD2"/>
    <w:rsid w:val="001850F6"/>
    <w:rsid w:val="00192966"/>
    <w:rsid w:val="00194358"/>
    <w:rsid w:val="0019477E"/>
    <w:rsid w:val="00197ABC"/>
    <w:rsid w:val="00197C26"/>
    <w:rsid w:val="00197F18"/>
    <w:rsid w:val="001A07E7"/>
    <w:rsid w:val="001A0A89"/>
    <w:rsid w:val="001A1151"/>
    <w:rsid w:val="001A445A"/>
    <w:rsid w:val="001A4C43"/>
    <w:rsid w:val="001A6473"/>
    <w:rsid w:val="001A7042"/>
    <w:rsid w:val="001B135D"/>
    <w:rsid w:val="001B2878"/>
    <w:rsid w:val="001B2AF9"/>
    <w:rsid w:val="001C10EB"/>
    <w:rsid w:val="001C18C7"/>
    <w:rsid w:val="001C33AF"/>
    <w:rsid w:val="001C3C82"/>
    <w:rsid w:val="001C4F91"/>
    <w:rsid w:val="001C5228"/>
    <w:rsid w:val="001C7D3D"/>
    <w:rsid w:val="001D03EF"/>
    <w:rsid w:val="001D1C78"/>
    <w:rsid w:val="001D3EE2"/>
    <w:rsid w:val="001E306A"/>
    <w:rsid w:val="001F212A"/>
    <w:rsid w:val="001F4572"/>
    <w:rsid w:val="001F49EF"/>
    <w:rsid w:val="001F70D3"/>
    <w:rsid w:val="00200A02"/>
    <w:rsid w:val="00206E0F"/>
    <w:rsid w:val="00211D90"/>
    <w:rsid w:val="00215F71"/>
    <w:rsid w:val="00221180"/>
    <w:rsid w:val="00223C50"/>
    <w:rsid w:val="00223DE8"/>
    <w:rsid w:val="00225689"/>
    <w:rsid w:val="00230A9B"/>
    <w:rsid w:val="00231E3B"/>
    <w:rsid w:val="00231E44"/>
    <w:rsid w:val="002327CB"/>
    <w:rsid w:val="0023339E"/>
    <w:rsid w:val="00233BDD"/>
    <w:rsid w:val="00234901"/>
    <w:rsid w:val="002359CC"/>
    <w:rsid w:val="00237A95"/>
    <w:rsid w:val="00240C59"/>
    <w:rsid w:val="00242E97"/>
    <w:rsid w:val="002451E6"/>
    <w:rsid w:val="00250DA0"/>
    <w:rsid w:val="002574B5"/>
    <w:rsid w:val="00260D4B"/>
    <w:rsid w:val="002628C8"/>
    <w:rsid w:val="00262C4F"/>
    <w:rsid w:val="00265078"/>
    <w:rsid w:val="00265A1D"/>
    <w:rsid w:val="00265C38"/>
    <w:rsid w:val="00272A37"/>
    <w:rsid w:val="00276FAD"/>
    <w:rsid w:val="0027725C"/>
    <w:rsid w:val="002832F4"/>
    <w:rsid w:val="00287F0C"/>
    <w:rsid w:val="00292C4E"/>
    <w:rsid w:val="00294763"/>
    <w:rsid w:val="00294D20"/>
    <w:rsid w:val="002A390D"/>
    <w:rsid w:val="002A70AD"/>
    <w:rsid w:val="002A7F74"/>
    <w:rsid w:val="002B1F45"/>
    <w:rsid w:val="002B37FE"/>
    <w:rsid w:val="002B39DC"/>
    <w:rsid w:val="002B521A"/>
    <w:rsid w:val="002B5EBE"/>
    <w:rsid w:val="002B6DD4"/>
    <w:rsid w:val="002C2779"/>
    <w:rsid w:val="002C279D"/>
    <w:rsid w:val="002D0782"/>
    <w:rsid w:val="002D27F2"/>
    <w:rsid w:val="002D38D9"/>
    <w:rsid w:val="002D5500"/>
    <w:rsid w:val="002E098F"/>
    <w:rsid w:val="002E319D"/>
    <w:rsid w:val="002E4B98"/>
    <w:rsid w:val="002E5607"/>
    <w:rsid w:val="002E57E3"/>
    <w:rsid w:val="002E595A"/>
    <w:rsid w:val="002E68C5"/>
    <w:rsid w:val="002F0E83"/>
    <w:rsid w:val="002F1CF3"/>
    <w:rsid w:val="002F2724"/>
    <w:rsid w:val="002F3577"/>
    <w:rsid w:val="002F65EF"/>
    <w:rsid w:val="003009E3"/>
    <w:rsid w:val="00301A4B"/>
    <w:rsid w:val="00303B1B"/>
    <w:rsid w:val="00306AA8"/>
    <w:rsid w:val="0031106A"/>
    <w:rsid w:val="00314B3D"/>
    <w:rsid w:val="00315383"/>
    <w:rsid w:val="00315F7A"/>
    <w:rsid w:val="00315F87"/>
    <w:rsid w:val="0032051F"/>
    <w:rsid w:val="0032237F"/>
    <w:rsid w:val="00330B68"/>
    <w:rsid w:val="00330F82"/>
    <w:rsid w:val="00333367"/>
    <w:rsid w:val="00342174"/>
    <w:rsid w:val="003426CA"/>
    <w:rsid w:val="00345E2C"/>
    <w:rsid w:val="00347E50"/>
    <w:rsid w:val="0036032B"/>
    <w:rsid w:val="0036124C"/>
    <w:rsid w:val="00370811"/>
    <w:rsid w:val="00371A4E"/>
    <w:rsid w:val="003730E7"/>
    <w:rsid w:val="003735DE"/>
    <w:rsid w:val="0037514F"/>
    <w:rsid w:val="003807B7"/>
    <w:rsid w:val="00380881"/>
    <w:rsid w:val="00380A16"/>
    <w:rsid w:val="00381458"/>
    <w:rsid w:val="003814DC"/>
    <w:rsid w:val="00381964"/>
    <w:rsid w:val="003856ED"/>
    <w:rsid w:val="0039043E"/>
    <w:rsid w:val="003908B2"/>
    <w:rsid w:val="00390E8C"/>
    <w:rsid w:val="003A0FA8"/>
    <w:rsid w:val="003A1C40"/>
    <w:rsid w:val="003A623D"/>
    <w:rsid w:val="003B042D"/>
    <w:rsid w:val="003B255D"/>
    <w:rsid w:val="003B26FD"/>
    <w:rsid w:val="003B3868"/>
    <w:rsid w:val="003B5297"/>
    <w:rsid w:val="003C2468"/>
    <w:rsid w:val="003C4127"/>
    <w:rsid w:val="003D42E3"/>
    <w:rsid w:val="003D5200"/>
    <w:rsid w:val="003D5747"/>
    <w:rsid w:val="003D7AAE"/>
    <w:rsid w:val="003E0002"/>
    <w:rsid w:val="003E1F5A"/>
    <w:rsid w:val="003E37C9"/>
    <w:rsid w:val="003E3B0F"/>
    <w:rsid w:val="003E5DBD"/>
    <w:rsid w:val="003E5FDC"/>
    <w:rsid w:val="003F0924"/>
    <w:rsid w:val="003F1E29"/>
    <w:rsid w:val="003F2017"/>
    <w:rsid w:val="003F6D82"/>
    <w:rsid w:val="003F7079"/>
    <w:rsid w:val="003F76BB"/>
    <w:rsid w:val="0040026B"/>
    <w:rsid w:val="004003C6"/>
    <w:rsid w:val="004020FB"/>
    <w:rsid w:val="00402834"/>
    <w:rsid w:val="00403CB0"/>
    <w:rsid w:val="00405339"/>
    <w:rsid w:val="00407462"/>
    <w:rsid w:val="00411AE2"/>
    <w:rsid w:val="00412264"/>
    <w:rsid w:val="004136FF"/>
    <w:rsid w:val="00416A2A"/>
    <w:rsid w:val="004170D4"/>
    <w:rsid w:val="00420118"/>
    <w:rsid w:val="00420C82"/>
    <w:rsid w:val="00422B0E"/>
    <w:rsid w:val="004233CD"/>
    <w:rsid w:val="0042644B"/>
    <w:rsid w:val="00430D7F"/>
    <w:rsid w:val="00430FBD"/>
    <w:rsid w:val="00432361"/>
    <w:rsid w:val="004326B6"/>
    <w:rsid w:val="0043326F"/>
    <w:rsid w:val="00433782"/>
    <w:rsid w:val="004412CB"/>
    <w:rsid w:val="0044597B"/>
    <w:rsid w:val="0044640F"/>
    <w:rsid w:val="004470F2"/>
    <w:rsid w:val="00447E78"/>
    <w:rsid w:val="004513A0"/>
    <w:rsid w:val="00453806"/>
    <w:rsid w:val="004579DA"/>
    <w:rsid w:val="00460508"/>
    <w:rsid w:val="0046081B"/>
    <w:rsid w:val="0046223E"/>
    <w:rsid w:val="004624DD"/>
    <w:rsid w:val="004629C1"/>
    <w:rsid w:val="00465C9D"/>
    <w:rsid w:val="0046613C"/>
    <w:rsid w:val="00472D50"/>
    <w:rsid w:val="00473D9D"/>
    <w:rsid w:val="004742D3"/>
    <w:rsid w:val="00476902"/>
    <w:rsid w:val="00481E77"/>
    <w:rsid w:val="00484310"/>
    <w:rsid w:val="004849F1"/>
    <w:rsid w:val="0049029F"/>
    <w:rsid w:val="00490C8C"/>
    <w:rsid w:val="00491685"/>
    <w:rsid w:val="00493AED"/>
    <w:rsid w:val="004940E8"/>
    <w:rsid w:val="004A2818"/>
    <w:rsid w:val="004A31A8"/>
    <w:rsid w:val="004A6CD9"/>
    <w:rsid w:val="004B057D"/>
    <w:rsid w:val="004B11D5"/>
    <w:rsid w:val="004B2200"/>
    <w:rsid w:val="004B3CDC"/>
    <w:rsid w:val="004C1696"/>
    <w:rsid w:val="004C1D91"/>
    <w:rsid w:val="004C2015"/>
    <w:rsid w:val="004C25D0"/>
    <w:rsid w:val="004C2D80"/>
    <w:rsid w:val="004D182A"/>
    <w:rsid w:val="004E311E"/>
    <w:rsid w:val="004E3CB4"/>
    <w:rsid w:val="004E5F7C"/>
    <w:rsid w:val="004E5FEC"/>
    <w:rsid w:val="004F23CE"/>
    <w:rsid w:val="004F31F6"/>
    <w:rsid w:val="004F53FE"/>
    <w:rsid w:val="004F5630"/>
    <w:rsid w:val="005018AF"/>
    <w:rsid w:val="00506241"/>
    <w:rsid w:val="00507C2D"/>
    <w:rsid w:val="00514E3B"/>
    <w:rsid w:val="005171A6"/>
    <w:rsid w:val="00517B0C"/>
    <w:rsid w:val="00520619"/>
    <w:rsid w:val="00521FCD"/>
    <w:rsid w:val="005238A7"/>
    <w:rsid w:val="005251C0"/>
    <w:rsid w:val="00526D83"/>
    <w:rsid w:val="00531274"/>
    <w:rsid w:val="00533C0F"/>
    <w:rsid w:val="005366C0"/>
    <w:rsid w:val="00537B47"/>
    <w:rsid w:val="0054266E"/>
    <w:rsid w:val="005434A6"/>
    <w:rsid w:val="00545EB6"/>
    <w:rsid w:val="00547253"/>
    <w:rsid w:val="00547944"/>
    <w:rsid w:val="0055126E"/>
    <w:rsid w:val="00552A8E"/>
    <w:rsid w:val="005536F0"/>
    <w:rsid w:val="00553C0C"/>
    <w:rsid w:val="00553E80"/>
    <w:rsid w:val="00556899"/>
    <w:rsid w:val="00561771"/>
    <w:rsid w:val="00564F43"/>
    <w:rsid w:val="00565969"/>
    <w:rsid w:val="00567429"/>
    <w:rsid w:val="0057243F"/>
    <w:rsid w:val="00576A4C"/>
    <w:rsid w:val="00577323"/>
    <w:rsid w:val="0057747C"/>
    <w:rsid w:val="0058164F"/>
    <w:rsid w:val="00582FE3"/>
    <w:rsid w:val="005913DD"/>
    <w:rsid w:val="00592807"/>
    <w:rsid w:val="00593162"/>
    <w:rsid w:val="00597C28"/>
    <w:rsid w:val="005A237A"/>
    <w:rsid w:val="005A6096"/>
    <w:rsid w:val="005A6C24"/>
    <w:rsid w:val="005B1678"/>
    <w:rsid w:val="005B1CA2"/>
    <w:rsid w:val="005B27F6"/>
    <w:rsid w:val="005B5CBE"/>
    <w:rsid w:val="005C0601"/>
    <w:rsid w:val="005C09D4"/>
    <w:rsid w:val="005C3D49"/>
    <w:rsid w:val="005D179C"/>
    <w:rsid w:val="005D216A"/>
    <w:rsid w:val="005D5EFE"/>
    <w:rsid w:val="005D75A8"/>
    <w:rsid w:val="005E1893"/>
    <w:rsid w:val="005E32E3"/>
    <w:rsid w:val="005E4C55"/>
    <w:rsid w:val="005E792F"/>
    <w:rsid w:val="005E7D7F"/>
    <w:rsid w:val="005E7E78"/>
    <w:rsid w:val="005F073B"/>
    <w:rsid w:val="005F3BFE"/>
    <w:rsid w:val="005F4179"/>
    <w:rsid w:val="005F4D50"/>
    <w:rsid w:val="006031D7"/>
    <w:rsid w:val="00603947"/>
    <w:rsid w:val="006105E2"/>
    <w:rsid w:val="00610E9B"/>
    <w:rsid w:val="00611852"/>
    <w:rsid w:val="00611932"/>
    <w:rsid w:val="006134F5"/>
    <w:rsid w:val="00614010"/>
    <w:rsid w:val="00614D16"/>
    <w:rsid w:val="00614E63"/>
    <w:rsid w:val="006173E1"/>
    <w:rsid w:val="00620BFF"/>
    <w:rsid w:val="0063207F"/>
    <w:rsid w:val="006366ED"/>
    <w:rsid w:val="0064019A"/>
    <w:rsid w:val="0064102B"/>
    <w:rsid w:val="00644D64"/>
    <w:rsid w:val="006508E4"/>
    <w:rsid w:val="0065095C"/>
    <w:rsid w:val="00651EF0"/>
    <w:rsid w:val="006528E8"/>
    <w:rsid w:val="00653DCB"/>
    <w:rsid w:val="00654312"/>
    <w:rsid w:val="00655FE5"/>
    <w:rsid w:val="006569F8"/>
    <w:rsid w:val="00657D1A"/>
    <w:rsid w:val="00661360"/>
    <w:rsid w:val="00664D2B"/>
    <w:rsid w:val="006701AC"/>
    <w:rsid w:val="00670614"/>
    <w:rsid w:val="006707AF"/>
    <w:rsid w:val="0067262F"/>
    <w:rsid w:val="006762EF"/>
    <w:rsid w:val="00677697"/>
    <w:rsid w:val="006840BF"/>
    <w:rsid w:val="0068640A"/>
    <w:rsid w:val="006946A7"/>
    <w:rsid w:val="00697EAE"/>
    <w:rsid w:val="006A0FC3"/>
    <w:rsid w:val="006A1D21"/>
    <w:rsid w:val="006A2DAF"/>
    <w:rsid w:val="006A4277"/>
    <w:rsid w:val="006A4959"/>
    <w:rsid w:val="006A5144"/>
    <w:rsid w:val="006B3341"/>
    <w:rsid w:val="006B6405"/>
    <w:rsid w:val="006C147D"/>
    <w:rsid w:val="006C523F"/>
    <w:rsid w:val="006D36E5"/>
    <w:rsid w:val="006D3753"/>
    <w:rsid w:val="006D3D23"/>
    <w:rsid w:val="006E0502"/>
    <w:rsid w:val="006E1AFA"/>
    <w:rsid w:val="006E6211"/>
    <w:rsid w:val="006F1618"/>
    <w:rsid w:val="006F1C5D"/>
    <w:rsid w:val="006F507C"/>
    <w:rsid w:val="006F5F1E"/>
    <w:rsid w:val="0070022E"/>
    <w:rsid w:val="00701A3F"/>
    <w:rsid w:val="00705076"/>
    <w:rsid w:val="00705C88"/>
    <w:rsid w:val="007075CD"/>
    <w:rsid w:val="007119BE"/>
    <w:rsid w:val="00714A2A"/>
    <w:rsid w:val="00716CE1"/>
    <w:rsid w:val="00721C51"/>
    <w:rsid w:val="00721D61"/>
    <w:rsid w:val="00721F2E"/>
    <w:rsid w:val="00723155"/>
    <w:rsid w:val="007232F8"/>
    <w:rsid w:val="00725B31"/>
    <w:rsid w:val="00727670"/>
    <w:rsid w:val="007423BA"/>
    <w:rsid w:val="00750ECC"/>
    <w:rsid w:val="00751222"/>
    <w:rsid w:val="007551B8"/>
    <w:rsid w:val="007552CA"/>
    <w:rsid w:val="007563D4"/>
    <w:rsid w:val="00762C54"/>
    <w:rsid w:val="00763520"/>
    <w:rsid w:val="00764298"/>
    <w:rsid w:val="00764A02"/>
    <w:rsid w:val="007652F9"/>
    <w:rsid w:val="007662C5"/>
    <w:rsid w:val="00767891"/>
    <w:rsid w:val="00770287"/>
    <w:rsid w:val="00772EEF"/>
    <w:rsid w:val="00773CB7"/>
    <w:rsid w:val="00780FA2"/>
    <w:rsid w:val="007928AF"/>
    <w:rsid w:val="00793F2B"/>
    <w:rsid w:val="00794D2E"/>
    <w:rsid w:val="00794D58"/>
    <w:rsid w:val="007A082F"/>
    <w:rsid w:val="007B07A5"/>
    <w:rsid w:val="007B0E9F"/>
    <w:rsid w:val="007B18D0"/>
    <w:rsid w:val="007C0500"/>
    <w:rsid w:val="007C1A42"/>
    <w:rsid w:val="007C25EE"/>
    <w:rsid w:val="007C2F62"/>
    <w:rsid w:val="007C4165"/>
    <w:rsid w:val="007C64BF"/>
    <w:rsid w:val="007C782B"/>
    <w:rsid w:val="007C7906"/>
    <w:rsid w:val="007D0AAC"/>
    <w:rsid w:val="007D4876"/>
    <w:rsid w:val="007D5AF9"/>
    <w:rsid w:val="007D689B"/>
    <w:rsid w:val="007E0A2A"/>
    <w:rsid w:val="007E155D"/>
    <w:rsid w:val="007E1E5D"/>
    <w:rsid w:val="007E2C69"/>
    <w:rsid w:val="007E4629"/>
    <w:rsid w:val="007E626F"/>
    <w:rsid w:val="007E65C6"/>
    <w:rsid w:val="007E709A"/>
    <w:rsid w:val="007F0C22"/>
    <w:rsid w:val="007F626A"/>
    <w:rsid w:val="007F6A24"/>
    <w:rsid w:val="007F7702"/>
    <w:rsid w:val="0080251F"/>
    <w:rsid w:val="00805775"/>
    <w:rsid w:val="008058E1"/>
    <w:rsid w:val="008104E8"/>
    <w:rsid w:val="00810DE3"/>
    <w:rsid w:val="008142DA"/>
    <w:rsid w:val="008156A9"/>
    <w:rsid w:val="008201C3"/>
    <w:rsid w:val="00821E40"/>
    <w:rsid w:val="00822E60"/>
    <w:rsid w:val="008254E1"/>
    <w:rsid w:val="0082643A"/>
    <w:rsid w:val="00834D2A"/>
    <w:rsid w:val="00840436"/>
    <w:rsid w:val="008410F2"/>
    <w:rsid w:val="0084181F"/>
    <w:rsid w:val="00843553"/>
    <w:rsid w:val="008449C3"/>
    <w:rsid w:val="00845BF0"/>
    <w:rsid w:val="008505F3"/>
    <w:rsid w:val="008506F3"/>
    <w:rsid w:val="00853E6E"/>
    <w:rsid w:val="00855228"/>
    <w:rsid w:val="00857F87"/>
    <w:rsid w:val="008637FC"/>
    <w:rsid w:val="0086774D"/>
    <w:rsid w:val="00871313"/>
    <w:rsid w:val="0087250D"/>
    <w:rsid w:val="00873530"/>
    <w:rsid w:val="00876582"/>
    <w:rsid w:val="00877709"/>
    <w:rsid w:val="00877B3A"/>
    <w:rsid w:val="008850ED"/>
    <w:rsid w:val="0089000A"/>
    <w:rsid w:val="008949BE"/>
    <w:rsid w:val="00895179"/>
    <w:rsid w:val="008953CB"/>
    <w:rsid w:val="008966E0"/>
    <w:rsid w:val="00896930"/>
    <w:rsid w:val="008A0396"/>
    <w:rsid w:val="008A2037"/>
    <w:rsid w:val="008A2301"/>
    <w:rsid w:val="008A3082"/>
    <w:rsid w:val="008A3B8A"/>
    <w:rsid w:val="008A4EE0"/>
    <w:rsid w:val="008A6384"/>
    <w:rsid w:val="008A6441"/>
    <w:rsid w:val="008A6C8B"/>
    <w:rsid w:val="008B0710"/>
    <w:rsid w:val="008B0DB5"/>
    <w:rsid w:val="008B283F"/>
    <w:rsid w:val="008B3FE4"/>
    <w:rsid w:val="008B424B"/>
    <w:rsid w:val="008B556E"/>
    <w:rsid w:val="008B6F43"/>
    <w:rsid w:val="008C0080"/>
    <w:rsid w:val="008C5B7E"/>
    <w:rsid w:val="008D0E70"/>
    <w:rsid w:val="008D111A"/>
    <w:rsid w:val="008D1B80"/>
    <w:rsid w:val="008D418A"/>
    <w:rsid w:val="008D5753"/>
    <w:rsid w:val="008D7ACC"/>
    <w:rsid w:val="008E4A63"/>
    <w:rsid w:val="008E4BDA"/>
    <w:rsid w:val="008E534F"/>
    <w:rsid w:val="008F1832"/>
    <w:rsid w:val="008F19A9"/>
    <w:rsid w:val="008F3006"/>
    <w:rsid w:val="008F3932"/>
    <w:rsid w:val="008F4CD8"/>
    <w:rsid w:val="008F74B7"/>
    <w:rsid w:val="008F75EC"/>
    <w:rsid w:val="00901D2E"/>
    <w:rsid w:val="00903828"/>
    <w:rsid w:val="00904806"/>
    <w:rsid w:val="00904FC5"/>
    <w:rsid w:val="009052C2"/>
    <w:rsid w:val="009075A1"/>
    <w:rsid w:val="00910B34"/>
    <w:rsid w:val="0091611C"/>
    <w:rsid w:val="00917A43"/>
    <w:rsid w:val="009228F3"/>
    <w:rsid w:val="00924439"/>
    <w:rsid w:val="009276FD"/>
    <w:rsid w:val="009414DB"/>
    <w:rsid w:val="00942630"/>
    <w:rsid w:val="00944EEE"/>
    <w:rsid w:val="00945D09"/>
    <w:rsid w:val="009508F1"/>
    <w:rsid w:val="009519E0"/>
    <w:rsid w:val="009524B1"/>
    <w:rsid w:val="009579FF"/>
    <w:rsid w:val="0096244C"/>
    <w:rsid w:val="0096573D"/>
    <w:rsid w:val="00966ABA"/>
    <w:rsid w:val="0096702D"/>
    <w:rsid w:val="0097022F"/>
    <w:rsid w:val="009706BA"/>
    <w:rsid w:val="00973C76"/>
    <w:rsid w:val="00976D34"/>
    <w:rsid w:val="0098570B"/>
    <w:rsid w:val="00986306"/>
    <w:rsid w:val="009868BB"/>
    <w:rsid w:val="00993025"/>
    <w:rsid w:val="00994AA6"/>
    <w:rsid w:val="00994CA5"/>
    <w:rsid w:val="00995CAB"/>
    <w:rsid w:val="009A1417"/>
    <w:rsid w:val="009A148C"/>
    <w:rsid w:val="009A3BAF"/>
    <w:rsid w:val="009A45D4"/>
    <w:rsid w:val="009A4926"/>
    <w:rsid w:val="009B3521"/>
    <w:rsid w:val="009B5004"/>
    <w:rsid w:val="009B559B"/>
    <w:rsid w:val="009B6849"/>
    <w:rsid w:val="009B7184"/>
    <w:rsid w:val="009C057E"/>
    <w:rsid w:val="009C29AA"/>
    <w:rsid w:val="009C2D4C"/>
    <w:rsid w:val="009C39F4"/>
    <w:rsid w:val="009C6384"/>
    <w:rsid w:val="009D3ABE"/>
    <w:rsid w:val="009D4562"/>
    <w:rsid w:val="009D4CEB"/>
    <w:rsid w:val="009D61F5"/>
    <w:rsid w:val="009E3C79"/>
    <w:rsid w:val="009E4F46"/>
    <w:rsid w:val="009E574E"/>
    <w:rsid w:val="009E5E40"/>
    <w:rsid w:val="009E625C"/>
    <w:rsid w:val="009E63FC"/>
    <w:rsid w:val="009F07BD"/>
    <w:rsid w:val="009F1DD5"/>
    <w:rsid w:val="009F46D4"/>
    <w:rsid w:val="009F47B1"/>
    <w:rsid w:val="009F6267"/>
    <w:rsid w:val="009F7628"/>
    <w:rsid w:val="00A004C9"/>
    <w:rsid w:val="00A03214"/>
    <w:rsid w:val="00A05CE5"/>
    <w:rsid w:val="00A071CD"/>
    <w:rsid w:val="00A07649"/>
    <w:rsid w:val="00A10872"/>
    <w:rsid w:val="00A10C9E"/>
    <w:rsid w:val="00A1396C"/>
    <w:rsid w:val="00A13983"/>
    <w:rsid w:val="00A15E93"/>
    <w:rsid w:val="00A17F76"/>
    <w:rsid w:val="00A205AF"/>
    <w:rsid w:val="00A31067"/>
    <w:rsid w:val="00A31F30"/>
    <w:rsid w:val="00A325C0"/>
    <w:rsid w:val="00A325C1"/>
    <w:rsid w:val="00A34E89"/>
    <w:rsid w:val="00A432D0"/>
    <w:rsid w:val="00A44992"/>
    <w:rsid w:val="00A46068"/>
    <w:rsid w:val="00A46F2B"/>
    <w:rsid w:val="00A53F3F"/>
    <w:rsid w:val="00A562F4"/>
    <w:rsid w:val="00A61286"/>
    <w:rsid w:val="00A623AA"/>
    <w:rsid w:val="00A661D9"/>
    <w:rsid w:val="00A66DBF"/>
    <w:rsid w:val="00A70F21"/>
    <w:rsid w:val="00A71478"/>
    <w:rsid w:val="00A74884"/>
    <w:rsid w:val="00A822EE"/>
    <w:rsid w:val="00A82B65"/>
    <w:rsid w:val="00A82F09"/>
    <w:rsid w:val="00A90081"/>
    <w:rsid w:val="00A96460"/>
    <w:rsid w:val="00AA02BF"/>
    <w:rsid w:val="00AA1307"/>
    <w:rsid w:val="00AA44BD"/>
    <w:rsid w:val="00AA5860"/>
    <w:rsid w:val="00AA58D1"/>
    <w:rsid w:val="00AA7BFA"/>
    <w:rsid w:val="00AB055D"/>
    <w:rsid w:val="00AB178F"/>
    <w:rsid w:val="00AB3588"/>
    <w:rsid w:val="00AB4382"/>
    <w:rsid w:val="00AC20E6"/>
    <w:rsid w:val="00AC44F7"/>
    <w:rsid w:val="00AC4931"/>
    <w:rsid w:val="00AC4DAD"/>
    <w:rsid w:val="00AC515B"/>
    <w:rsid w:val="00AC62E6"/>
    <w:rsid w:val="00AC7636"/>
    <w:rsid w:val="00AD28F8"/>
    <w:rsid w:val="00AD5E76"/>
    <w:rsid w:val="00AD7EBC"/>
    <w:rsid w:val="00AE248C"/>
    <w:rsid w:val="00AE401A"/>
    <w:rsid w:val="00AE4394"/>
    <w:rsid w:val="00AE4566"/>
    <w:rsid w:val="00AF1DE4"/>
    <w:rsid w:val="00AF1FC1"/>
    <w:rsid w:val="00AF215D"/>
    <w:rsid w:val="00AF4B4B"/>
    <w:rsid w:val="00AF5A64"/>
    <w:rsid w:val="00AF6300"/>
    <w:rsid w:val="00B00918"/>
    <w:rsid w:val="00B01550"/>
    <w:rsid w:val="00B044C4"/>
    <w:rsid w:val="00B0451C"/>
    <w:rsid w:val="00B05E90"/>
    <w:rsid w:val="00B06314"/>
    <w:rsid w:val="00B0785F"/>
    <w:rsid w:val="00B10F26"/>
    <w:rsid w:val="00B13189"/>
    <w:rsid w:val="00B143D1"/>
    <w:rsid w:val="00B17786"/>
    <w:rsid w:val="00B17B12"/>
    <w:rsid w:val="00B2425B"/>
    <w:rsid w:val="00B268FF"/>
    <w:rsid w:val="00B27C31"/>
    <w:rsid w:val="00B31947"/>
    <w:rsid w:val="00B343A2"/>
    <w:rsid w:val="00B34B25"/>
    <w:rsid w:val="00B34E4E"/>
    <w:rsid w:val="00B3657E"/>
    <w:rsid w:val="00B4199B"/>
    <w:rsid w:val="00B429E5"/>
    <w:rsid w:val="00B43377"/>
    <w:rsid w:val="00B44AC9"/>
    <w:rsid w:val="00B45241"/>
    <w:rsid w:val="00B45681"/>
    <w:rsid w:val="00B458C1"/>
    <w:rsid w:val="00B46399"/>
    <w:rsid w:val="00B46CB7"/>
    <w:rsid w:val="00B471A8"/>
    <w:rsid w:val="00B50B39"/>
    <w:rsid w:val="00B54C19"/>
    <w:rsid w:val="00B54F74"/>
    <w:rsid w:val="00B576F8"/>
    <w:rsid w:val="00B57FF1"/>
    <w:rsid w:val="00B60B16"/>
    <w:rsid w:val="00B61294"/>
    <w:rsid w:val="00B61BE7"/>
    <w:rsid w:val="00B628A1"/>
    <w:rsid w:val="00B63225"/>
    <w:rsid w:val="00B65AAE"/>
    <w:rsid w:val="00B65B15"/>
    <w:rsid w:val="00B67CAC"/>
    <w:rsid w:val="00B71268"/>
    <w:rsid w:val="00B772F9"/>
    <w:rsid w:val="00B81447"/>
    <w:rsid w:val="00B81F5C"/>
    <w:rsid w:val="00B824B0"/>
    <w:rsid w:val="00B82B51"/>
    <w:rsid w:val="00B82D96"/>
    <w:rsid w:val="00B83743"/>
    <w:rsid w:val="00B92164"/>
    <w:rsid w:val="00B958DD"/>
    <w:rsid w:val="00B978A1"/>
    <w:rsid w:val="00BA14A9"/>
    <w:rsid w:val="00BA1918"/>
    <w:rsid w:val="00BA454B"/>
    <w:rsid w:val="00BA5638"/>
    <w:rsid w:val="00BA5C09"/>
    <w:rsid w:val="00BA5FAA"/>
    <w:rsid w:val="00BB076F"/>
    <w:rsid w:val="00BB58CD"/>
    <w:rsid w:val="00BC2D2F"/>
    <w:rsid w:val="00BD0EA4"/>
    <w:rsid w:val="00BD1E51"/>
    <w:rsid w:val="00BD64C2"/>
    <w:rsid w:val="00BD7BE5"/>
    <w:rsid w:val="00BE2A33"/>
    <w:rsid w:val="00BE6A31"/>
    <w:rsid w:val="00BE6F2C"/>
    <w:rsid w:val="00BE76BF"/>
    <w:rsid w:val="00BE7A2A"/>
    <w:rsid w:val="00BE7C18"/>
    <w:rsid w:val="00BF622F"/>
    <w:rsid w:val="00C01FF4"/>
    <w:rsid w:val="00C03368"/>
    <w:rsid w:val="00C0454D"/>
    <w:rsid w:val="00C056AD"/>
    <w:rsid w:val="00C128A0"/>
    <w:rsid w:val="00C2162F"/>
    <w:rsid w:val="00C22C68"/>
    <w:rsid w:val="00C2359F"/>
    <w:rsid w:val="00C24073"/>
    <w:rsid w:val="00C24A5B"/>
    <w:rsid w:val="00C3096C"/>
    <w:rsid w:val="00C31A8C"/>
    <w:rsid w:val="00C337C7"/>
    <w:rsid w:val="00C364E6"/>
    <w:rsid w:val="00C401B8"/>
    <w:rsid w:val="00C41ADC"/>
    <w:rsid w:val="00C41AE0"/>
    <w:rsid w:val="00C44628"/>
    <w:rsid w:val="00C5252D"/>
    <w:rsid w:val="00C54AB5"/>
    <w:rsid w:val="00C54B24"/>
    <w:rsid w:val="00C54CED"/>
    <w:rsid w:val="00C573E2"/>
    <w:rsid w:val="00C57A6C"/>
    <w:rsid w:val="00C61947"/>
    <w:rsid w:val="00C61DD5"/>
    <w:rsid w:val="00C63489"/>
    <w:rsid w:val="00C672DF"/>
    <w:rsid w:val="00C7575D"/>
    <w:rsid w:val="00C858FE"/>
    <w:rsid w:val="00C91599"/>
    <w:rsid w:val="00C920AB"/>
    <w:rsid w:val="00C9462C"/>
    <w:rsid w:val="00C96E39"/>
    <w:rsid w:val="00CA1296"/>
    <w:rsid w:val="00CA13CB"/>
    <w:rsid w:val="00CA1877"/>
    <w:rsid w:val="00CA3403"/>
    <w:rsid w:val="00CA386F"/>
    <w:rsid w:val="00CA3ED5"/>
    <w:rsid w:val="00CA4C04"/>
    <w:rsid w:val="00CA5229"/>
    <w:rsid w:val="00CA6271"/>
    <w:rsid w:val="00CA711F"/>
    <w:rsid w:val="00CB25C9"/>
    <w:rsid w:val="00CB56BA"/>
    <w:rsid w:val="00CB5BD6"/>
    <w:rsid w:val="00CB77C8"/>
    <w:rsid w:val="00CB78DA"/>
    <w:rsid w:val="00CC22B2"/>
    <w:rsid w:val="00CC4916"/>
    <w:rsid w:val="00CC57F0"/>
    <w:rsid w:val="00CC5E43"/>
    <w:rsid w:val="00CC734A"/>
    <w:rsid w:val="00CC7CC8"/>
    <w:rsid w:val="00CD2B51"/>
    <w:rsid w:val="00CD3C99"/>
    <w:rsid w:val="00CD771B"/>
    <w:rsid w:val="00CE198E"/>
    <w:rsid w:val="00CE5657"/>
    <w:rsid w:val="00CF0231"/>
    <w:rsid w:val="00CF0E9B"/>
    <w:rsid w:val="00CF1820"/>
    <w:rsid w:val="00CF419C"/>
    <w:rsid w:val="00D04047"/>
    <w:rsid w:val="00D04A18"/>
    <w:rsid w:val="00D06360"/>
    <w:rsid w:val="00D07BA5"/>
    <w:rsid w:val="00D11328"/>
    <w:rsid w:val="00D12161"/>
    <w:rsid w:val="00D123DE"/>
    <w:rsid w:val="00D1399C"/>
    <w:rsid w:val="00D13DB6"/>
    <w:rsid w:val="00D1554D"/>
    <w:rsid w:val="00D165B0"/>
    <w:rsid w:val="00D24C8C"/>
    <w:rsid w:val="00D27CA0"/>
    <w:rsid w:val="00D30FD3"/>
    <w:rsid w:val="00D313FF"/>
    <w:rsid w:val="00D37218"/>
    <w:rsid w:val="00D4121D"/>
    <w:rsid w:val="00D41C5A"/>
    <w:rsid w:val="00D43E12"/>
    <w:rsid w:val="00D44BD9"/>
    <w:rsid w:val="00D46199"/>
    <w:rsid w:val="00D512D8"/>
    <w:rsid w:val="00D5479E"/>
    <w:rsid w:val="00D55F19"/>
    <w:rsid w:val="00D5658C"/>
    <w:rsid w:val="00D57DB0"/>
    <w:rsid w:val="00D60097"/>
    <w:rsid w:val="00D61E34"/>
    <w:rsid w:val="00D66673"/>
    <w:rsid w:val="00D67CA1"/>
    <w:rsid w:val="00D71564"/>
    <w:rsid w:val="00D723F4"/>
    <w:rsid w:val="00D73F02"/>
    <w:rsid w:val="00D77AC3"/>
    <w:rsid w:val="00D8179C"/>
    <w:rsid w:val="00D82506"/>
    <w:rsid w:val="00D82674"/>
    <w:rsid w:val="00D8426F"/>
    <w:rsid w:val="00D84692"/>
    <w:rsid w:val="00D848EB"/>
    <w:rsid w:val="00D85017"/>
    <w:rsid w:val="00D8639D"/>
    <w:rsid w:val="00D919FE"/>
    <w:rsid w:val="00D91AB0"/>
    <w:rsid w:val="00D92968"/>
    <w:rsid w:val="00DA0F25"/>
    <w:rsid w:val="00DA5159"/>
    <w:rsid w:val="00DA5814"/>
    <w:rsid w:val="00DB2953"/>
    <w:rsid w:val="00DB6B9F"/>
    <w:rsid w:val="00DD043A"/>
    <w:rsid w:val="00DD05E0"/>
    <w:rsid w:val="00DD0B24"/>
    <w:rsid w:val="00DD2867"/>
    <w:rsid w:val="00DD3C74"/>
    <w:rsid w:val="00DD3DA7"/>
    <w:rsid w:val="00DD407F"/>
    <w:rsid w:val="00DD5C8C"/>
    <w:rsid w:val="00DD5E63"/>
    <w:rsid w:val="00DD636A"/>
    <w:rsid w:val="00DD7D86"/>
    <w:rsid w:val="00DE369A"/>
    <w:rsid w:val="00DE3AC5"/>
    <w:rsid w:val="00DE42D6"/>
    <w:rsid w:val="00DE63FA"/>
    <w:rsid w:val="00DE640A"/>
    <w:rsid w:val="00DE7184"/>
    <w:rsid w:val="00DF1AFF"/>
    <w:rsid w:val="00DF34F4"/>
    <w:rsid w:val="00DF57DF"/>
    <w:rsid w:val="00DF6D8F"/>
    <w:rsid w:val="00E048CC"/>
    <w:rsid w:val="00E10397"/>
    <w:rsid w:val="00E12601"/>
    <w:rsid w:val="00E13275"/>
    <w:rsid w:val="00E13E66"/>
    <w:rsid w:val="00E13FEE"/>
    <w:rsid w:val="00E1518D"/>
    <w:rsid w:val="00E15B6A"/>
    <w:rsid w:val="00E1621F"/>
    <w:rsid w:val="00E1770A"/>
    <w:rsid w:val="00E20077"/>
    <w:rsid w:val="00E203BD"/>
    <w:rsid w:val="00E21CE9"/>
    <w:rsid w:val="00E22C32"/>
    <w:rsid w:val="00E235A9"/>
    <w:rsid w:val="00E23EE3"/>
    <w:rsid w:val="00E24478"/>
    <w:rsid w:val="00E2610B"/>
    <w:rsid w:val="00E2636A"/>
    <w:rsid w:val="00E26611"/>
    <w:rsid w:val="00E268F9"/>
    <w:rsid w:val="00E305B2"/>
    <w:rsid w:val="00E37A3B"/>
    <w:rsid w:val="00E37B02"/>
    <w:rsid w:val="00E4178A"/>
    <w:rsid w:val="00E42868"/>
    <w:rsid w:val="00E470F2"/>
    <w:rsid w:val="00E54DE8"/>
    <w:rsid w:val="00E64638"/>
    <w:rsid w:val="00E651AC"/>
    <w:rsid w:val="00E676B0"/>
    <w:rsid w:val="00E7077B"/>
    <w:rsid w:val="00E717E0"/>
    <w:rsid w:val="00E71D43"/>
    <w:rsid w:val="00E73A9F"/>
    <w:rsid w:val="00E76106"/>
    <w:rsid w:val="00E77E88"/>
    <w:rsid w:val="00E815EF"/>
    <w:rsid w:val="00E91379"/>
    <w:rsid w:val="00E926AF"/>
    <w:rsid w:val="00E92F2A"/>
    <w:rsid w:val="00E93AC6"/>
    <w:rsid w:val="00E94A30"/>
    <w:rsid w:val="00E96334"/>
    <w:rsid w:val="00E96F7C"/>
    <w:rsid w:val="00EA14BE"/>
    <w:rsid w:val="00EA6315"/>
    <w:rsid w:val="00EB1934"/>
    <w:rsid w:val="00EB3A45"/>
    <w:rsid w:val="00EB3C9B"/>
    <w:rsid w:val="00EB4BDE"/>
    <w:rsid w:val="00EB5D84"/>
    <w:rsid w:val="00EB6F2A"/>
    <w:rsid w:val="00EC366E"/>
    <w:rsid w:val="00EC3C0C"/>
    <w:rsid w:val="00EC6C36"/>
    <w:rsid w:val="00ED1D78"/>
    <w:rsid w:val="00ED4B7F"/>
    <w:rsid w:val="00ED5364"/>
    <w:rsid w:val="00EE057C"/>
    <w:rsid w:val="00EE2769"/>
    <w:rsid w:val="00EE748E"/>
    <w:rsid w:val="00EF3A02"/>
    <w:rsid w:val="00EF4192"/>
    <w:rsid w:val="00EF6571"/>
    <w:rsid w:val="00EF6D34"/>
    <w:rsid w:val="00F0006D"/>
    <w:rsid w:val="00F001C5"/>
    <w:rsid w:val="00F00C0E"/>
    <w:rsid w:val="00F015EE"/>
    <w:rsid w:val="00F02753"/>
    <w:rsid w:val="00F04201"/>
    <w:rsid w:val="00F076B6"/>
    <w:rsid w:val="00F100F9"/>
    <w:rsid w:val="00F10522"/>
    <w:rsid w:val="00F10EB2"/>
    <w:rsid w:val="00F10F88"/>
    <w:rsid w:val="00F112FC"/>
    <w:rsid w:val="00F127C8"/>
    <w:rsid w:val="00F171BA"/>
    <w:rsid w:val="00F17A1A"/>
    <w:rsid w:val="00F20372"/>
    <w:rsid w:val="00F20869"/>
    <w:rsid w:val="00F20D50"/>
    <w:rsid w:val="00F27D35"/>
    <w:rsid w:val="00F30CEB"/>
    <w:rsid w:val="00F30E09"/>
    <w:rsid w:val="00F34E31"/>
    <w:rsid w:val="00F374A8"/>
    <w:rsid w:val="00F4007F"/>
    <w:rsid w:val="00F40D4F"/>
    <w:rsid w:val="00F42B25"/>
    <w:rsid w:val="00F446FF"/>
    <w:rsid w:val="00F5064A"/>
    <w:rsid w:val="00F51558"/>
    <w:rsid w:val="00F53D28"/>
    <w:rsid w:val="00F54224"/>
    <w:rsid w:val="00F55E5B"/>
    <w:rsid w:val="00F60306"/>
    <w:rsid w:val="00F607CA"/>
    <w:rsid w:val="00F61748"/>
    <w:rsid w:val="00F6278F"/>
    <w:rsid w:val="00F64AD1"/>
    <w:rsid w:val="00F666DB"/>
    <w:rsid w:val="00F67910"/>
    <w:rsid w:val="00F67ED2"/>
    <w:rsid w:val="00F71693"/>
    <w:rsid w:val="00F74860"/>
    <w:rsid w:val="00F74F59"/>
    <w:rsid w:val="00F8595F"/>
    <w:rsid w:val="00F910BF"/>
    <w:rsid w:val="00F91E2C"/>
    <w:rsid w:val="00F93A77"/>
    <w:rsid w:val="00F97F89"/>
    <w:rsid w:val="00FA0497"/>
    <w:rsid w:val="00FA079E"/>
    <w:rsid w:val="00FA0F82"/>
    <w:rsid w:val="00FA364B"/>
    <w:rsid w:val="00FA43A4"/>
    <w:rsid w:val="00FA5116"/>
    <w:rsid w:val="00FA7395"/>
    <w:rsid w:val="00FB1BB5"/>
    <w:rsid w:val="00FB2D4F"/>
    <w:rsid w:val="00FB35C1"/>
    <w:rsid w:val="00FB35EE"/>
    <w:rsid w:val="00FB4B66"/>
    <w:rsid w:val="00FB5100"/>
    <w:rsid w:val="00FB55A4"/>
    <w:rsid w:val="00FB75E5"/>
    <w:rsid w:val="00FC0F12"/>
    <w:rsid w:val="00FC2658"/>
    <w:rsid w:val="00FC5060"/>
    <w:rsid w:val="00FC56B6"/>
    <w:rsid w:val="00FC5F0F"/>
    <w:rsid w:val="00FC7088"/>
    <w:rsid w:val="00FC757C"/>
    <w:rsid w:val="00FD048F"/>
    <w:rsid w:val="00FD1BFE"/>
    <w:rsid w:val="00FD5C56"/>
    <w:rsid w:val="00FD7BCB"/>
    <w:rsid w:val="00FE71A0"/>
    <w:rsid w:val="00FF1306"/>
    <w:rsid w:val="00FF141C"/>
    <w:rsid w:val="00FF2E84"/>
    <w:rsid w:val="00FF2EAE"/>
    <w:rsid w:val="00FF36C1"/>
    <w:rsid w:val="00FF51C1"/>
    <w:rsid w:val="00FF5387"/>
    <w:rsid w:val="00FF56F6"/>
    <w:rsid w:val="00FF71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A59"/>
    <w:pPr>
      <w:widowControl w:val="0"/>
    </w:pPr>
    <w:rPr>
      <w:rFonts w:ascii="Times New Roman" w:eastAsia="Times New Roman" w:hAnsi="Times New Roman"/>
      <w:lang w:val="es-ES_tradnl" w:eastAsia="es-ES"/>
    </w:rPr>
  </w:style>
  <w:style w:type="paragraph" w:styleId="Ttulo1">
    <w:name w:val="heading 1"/>
    <w:basedOn w:val="Normal"/>
    <w:next w:val="Normal"/>
    <w:link w:val="Ttulo1Car"/>
    <w:uiPriority w:val="9"/>
    <w:qFormat/>
    <w:rsid w:val="0058164F"/>
    <w:pPr>
      <w:keepNext/>
      <w:keepLines/>
      <w:spacing w:before="480"/>
      <w:outlineLvl w:val="0"/>
    </w:pPr>
    <w:rPr>
      <w:rFonts w:ascii="Cambria" w:eastAsia="MS Gothic"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C3A59"/>
    <w:pPr>
      <w:tabs>
        <w:tab w:val="center" w:pos="4320"/>
        <w:tab w:val="right" w:pos="8640"/>
      </w:tabs>
    </w:pPr>
    <w:rPr>
      <w:rFonts w:ascii="Garamond" w:hAnsi="Garamond"/>
      <w:sz w:val="24"/>
    </w:rPr>
  </w:style>
  <w:style w:type="character" w:customStyle="1" w:styleId="EncabezadoCar">
    <w:name w:val="Encabezado Car"/>
    <w:link w:val="Encabezado"/>
    <w:uiPriority w:val="99"/>
    <w:rsid w:val="000C3A59"/>
    <w:rPr>
      <w:rFonts w:ascii="Garamond" w:eastAsia="Times New Roman" w:hAnsi="Garamond" w:cs="Times New Roman"/>
      <w:sz w:val="24"/>
      <w:szCs w:val="20"/>
      <w:lang w:val="es-ES_tradnl" w:eastAsia="es-ES"/>
    </w:rPr>
  </w:style>
  <w:style w:type="paragraph" w:styleId="Textoindependiente3">
    <w:name w:val="Body Text 3"/>
    <w:basedOn w:val="Normal"/>
    <w:link w:val="Textoindependiente3Car"/>
    <w:rsid w:val="000C3A59"/>
    <w:pPr>
      <w:tabs>
        <w:tab w:val="left" w:pos="680"/>
      </w:tabs>
      <w:jc w:val="both"/>
    </w:pPr>
    <w:rPr>
      <w:rFonts w:ascii="Garamond" w:hAnsi="Garamond"/>
      <w:b/>
      <w:sz w:val="24"/>
    </w:rPr>
  </w:style>
  <w:style w:type="character" w:customStyle="1" w:styleId="Textoindependiente3Car">
    <w:name w:val="Texto independiente 3 Car"/>
    <w:link w:val="Textoindependiente3"/>
    <w:rsid w:val="000C3A59"/>
    <w:rPr>
      <w:rFonts w:ascii="Garamond" w:eastAsia="Times New Roman" w:hAnsi="Garamond" w:cs="Times New Roman"/>
      <w:b/>
      <w:sz w:val="24"/>
      <w:szCs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0C3A59"/>
    <w:rPr>
      <w:sz w:val="20"/>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qFormat/>
    <w:rsid w:val="000C3A59"/>
    <w:rPr>
      <w:rFonts w:ascii="Times" w:hAnsi="Tim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rsid w:val="000C3A59"/>
    <w:rPr>
      <w:rFonts w:ascii="Times" w:eastAsia="Times New Roman" w:hAnsi="Times" w:cs="Times New Roman"/>
      <w:sz w:val="20"/>
      <w:szCs w:val="20"/>
      <w:lang w:val="es-ES_tradnl" w:eastAsia="es-ES"/>
    </w:rPr>
  </w:style>
  <w:style w:type="paragraph" w:styleId="Piedepgina">
    <w:name w:val="footer"/>
    <w:basedOn w:val="Normal"/>
    <w:link w:val="PiedepginaCar"/>
    <w:uiPriority w:val="99"/>
    <w:rsid w:val="000C3A59"/>
    <w:pPr>
      <w:tabs>
        <w:tab w:val="center" w:pos="4320"/>
        <w:tab w:val="right" w:pos="8640"/>
      </w:tabs>
    </w:pPr>
  </w:style>
  <w:style w:type="character" w:customStyle="1" w:styleId="PiedepginaCar">
    <w:name w:val="Pie de página Car"/>
    <w:link w:val="Piedepgina"/>
    <w:uiPriority w:val="99"/>
    <w:rsid w:val="000C3A59"/>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0C3A59"/>
  </w:style>
  <w:style w:type="character" w:styleId="Refdecomentario">
    <w:name w:val="annotation reference"/>
    <w:rsid w:val="000C3A59"/>
    <w:rPr>
      <w:sz w:val="18"/>
      <w:szCs w:val="18"/>
    </w:rPr>
  </w:style>
  <w:style w:type="character" w:styleId="Hipervnculo">
    <w:name w:val="Hyperlink"/>
    <w:uiPriority w:val="99"/>
    <w:rsid w:val="000C3A59"/>
    <w:rPr>
      <w:color w:val="0000FF"/>
      <w:u w:val="single"/>
    </w:rPr>
  </w:style>
  <w:style w:type="character" w:styleId="Textoennegrita">
    <w:name w:val="Strong"/>
    <w:uiPriority w:val="22"/>
    <w:qFormat/>
    <w:rsid w:val="000C3A59"/>
    <w:rPr>
      <w:b/>
      <w:bCs/>
    </w:rPr>
  </w:style>
  <w:style w:type="character" w:styleId="Nmerodelnea">
    <w:name w:val="line number"/>
    <w:basedOn w:val="Fuentedeprrafopredeter"/>
    <w:uiPriority w:val="99"/>
    <w:semiHidden/>
    <w:unhideWhenUsed/>
    <w:rsid w:val="000C3A59"/>
  </w:style>
  <w:style w:type="character" w:customStyle="1" w:styleId="ColorfulList-Accent1Char">
    <w:name w:val="Colorful List - Accent 1 Char"/>
    <w:aliases w:val="Footnote Char,Párrafo de lista1 Char"/>
    <w:link w:val="Listavistosa-nfasis1"/>
    <w:uiPriority w:val="34"/>
    <w:rsid w:val="007B0E9F"/>
  </w:style>
  <w:style w:type="table" w:styleId="Listavistosa-nfasis1">
    <w:name w:val="Colorful List Accent 1"/>
    <w:basedOn w:val="Tablanormal"/>
    <w:link w:val="ColorfulList-Accent1Char"/>
    <w:uiPriority w:val="34"/>
    <w:rsid w:val="007B0E9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Textodeglobo">
    <w:name w:val="Balloon Text"/>
    <w:basedOn w:val="Normal"/>
    <w:link w:val="TextodegloboCar"/>
    <w:uiPriority w:val="99"/>
    <w:semiHidden/>
    <w:unhideWhenUsed/>
    <w:rsid w:val="00CA13CB"/>
    <w:rPr>
      <w:rFonts w:ascii="Tahoma" w:hAnsi="Tahoma" w:cs="Tahoma"/>
      <w:sz w:val="16"/>
      <w:szCs w:val="16"/>
    </w:rPr>
  </w:style>
  <w:style w:type="character" w:customStyle="1" w:styleId="TextodegloboCar">
    <w:name w:val="Texto de globo Car"/>
    <w:link w:val="Textodeglobo"/>
    <w:uiPriority w:val="99"/>
    <w:semiHidden/>
    <w:rsid w:val="00CA13CB"/>
    <w:rPr>
      <w:rFonts w:ascii="Tahoma" w:eastAsia="Times New Roman" w:hAnsi="Tahoma" w:cs="Tahoma"/>
      <w:sz w:val="16"/>
      <w:szCs w:val="16"/>
      <w:lang w:val="es-ES_tradnl" w:eastAsia="es-ES"/>
    </w:rPr>
  </w:style>
  <w:style w:type="paragraph" w:styleId="Textocomentario">
    <w:name w:val="annotation text"/>
    <w:basedOn w:val="Normal"/>
    <w:link w:val="TextocomentarioCar"/>
    <w:uiPriority w:val="99"/>
    <w:semiHidden/>
    <w:unhideWhenUsed/>
    <w:rsid w:val="00CC734A"/>
  </w:style>
  <w:style w:type="character" w:customStyle="1" w:styleId="TextocomentarioCar">
    <w:name w:val="Texto comentario Car"/>
    <w:link w:val="Textocomentario"/>
    <w:uiPriority w:val="99"/>
    <w:semiHidden/>
    <w:rsid w:val="00CC734A"/>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CC734A"/>
    <w:rPr>
      <w:b/>
      <w:bCs/>
    </w:rPr>
  </w:style>
  <w:style w:type="character" w:customStyle="1" w:styleId="AsuntodelcomentarioCar">
    <w:name w:val="Asunto del comentario Car"/>
    <w:link w:val="Asuntodelcomentario"/>
    <w:uiPriority w:val="99"/>
    <w:semiHidden/>
    <w:rsid w:val="00CC734A"/>
    <w:rPr>
      <w:rFonts w:ascii="Times New Roman" w:eastAsia="Times New Roman" w:hAnsi="Times New Roman" w:cs="Times New Roman"/>
      <w:b/>
      <w:bCs/>
      <w:sz w:val="20"/>
      <w:szCs w:val="20"/>
      <w:lang w:val="es-ES_tradnl" w:eastAsia="es-ES"/>
    </w:rPr>
  </w:style>
  <w:style w:type="paragraph" w:styleId="Prrafodelista">
    <w:name w:val="List Paragraph"/>
    <w:aliases w:val="Footnote"/>
    <w:basedOn w:val="Normal"/>
    <w:link w:val="PrrafodelistaCar"/>
    <w:uiPriority w:val="34"/>
    <w:qFormat/>
    <w:rsid w:val="005536F0"/>
    <w:pPr>
      <w:ind w:left="720"/>
      <w:contextualSpacing/>
    </w:pPr>
  </w:style>
  <w:style w:type="character" w:styleId="Hipervnculovisitado">
    <w:name w:val="FollowedHyperlink"/>
    <w:uiPriority w:val="99"/>
    <w:semiHidden/>
    <w:unhideWhenUsed/>
    <w:rsid w:val="00347E50"/>
    <w:rPr>
      <w:color w:val="800080"/>
      <w:u w:val="single"/>
    </w:rPr>
  </w:style>
  <w:style w:type="character" w:customStyle="1" w:styleId="PrrafodelistaCar">
    <w:name w:val="Párrafo de lista Car"/>
    <w:aliases w:val="Footnote Car"/>
    <w:link w:val="Prrafodelista"/>
    <w:uiPriority w:val="34"/>
    <w:rsid w:val="00994AA6"/>
    <w:rPr>
      <w:rFonts w:ascii="Times New Roman" w:eastAsia="Times New Roman" w:hAnsi="Times New Roman" w:cs="Times New Roman"/>
      <w:sz w:val="20"/>
      <w:szCs w:val="20"/>
      <w:lang w:val="es-ES_tradnl" w:eastAsia="es-ES"/>
    </w:rPr>
  </w:style>
  <w:style w:type="character" w:customStyle="1" w:styleId="Ttulo1Car">
    <w:name w:val="Título 1 Car"/>
    <w:link w:val="Ttulo1"/>
    <w:uiPriority w:val="9"/>
    <w:rsid w:val="0058164F"/>
    <w:rPr>
      <w:rFonts w:ascii="Cambria" w:eastAsia="MS Gothic" w:hAnsi="Cambria" w:cs="Times New Roman"/>
      <w:b/>
      <w:bCs/>
      <w:color w:val="365F91"/>
      <w:sz w:val="28"/>
      <w:szCs w:val="28"/>
      <w:lang w:val="es-ES_tradnl" w:eastAsia="es-ES"/>
    </w:rPr>
  </w:style>
  <w:style w:type="paragraph" w:styleId="TtulodeTDC">
    <w:name w:val="TOC Heading"/>
    <w:basedOn w:val="Ttulo1"/>
    <w:next w:val="Normal"/>
    <w:uiPriority w:val="39"/>
    <w:semiHidden/>
    <w:unhideWhenUsed/>
    <w:qFormat/>
    <w:rsid w:val="0058164F"/>
    <w:pPr>
      <w:widowControl/>
      <w:spacing w:line="276" w:lineRule="auto"/>
      <w:outlineLvl w:val="9"/>
    </w:pPr>
    <w:rPr>
      <w:lang w:val="es-CR" w:eastAsia="es-CR"/>
    </w:rPr>
  </w:style>
  <w:style w:type="paragraph" w:styleId="TDC1">
    <w:name w:val="toc 1"/>
    <w:basedOn w:val="Normal"/>
    <w:next w:val="Normal"/>
    <w:autoRedefine/>
    <w:uiPriority w:val="39"/>
    <w:unhideWhenUsed/>
    <w:rsid w:val="0058164F"/>
    <w:pPr>
      <w:spacing w:before="120"/>
    </w:pPr>
    <w:rPr>
      <w:rFonts w:ascii="Calibri" w:hAnsi="Calibri"/>
      <w:b/>
      <w:bCs/>
      <w:i/>
      <w:iCs/>
      <w:sz w:val="24"/>
      <w:szCs w:val="24"/>
    </w:rPr>
  </w:style>
  <w:style w:type="paragraph" w:styleId="TDC2">
    <w:name w:val="toc 2"/>
    <w:basedOn w:val="Normal"/>
    <w:next w:val="Normal"/>
    <w:autoRedefine/>
    <w:uiPriority w:val="39"/>
    <w:unhideWhenUsed/>
    <w:rsid w:val="0058164F"/>
    <w:pPr>
      <w:spacing w:before="120"/>
      <w:ind w:left="200"/>
    </w:pPr>
    <w:rPr>
      <w:rFonts w:ascii="Calibri" w:hAnsi="Calibri"/>
      <w:b/>
      <w:bCs/>
      <w:sz w:val="22"/>
      <w:szCs w:val="22"/>
    </w:rPr>
  </w:style>
  <w:style w:type="paragraph" w:styleId="TDC3">
    <w:name w:val="toc 3"/>
    <w:basedOn w:val="Normal"/>
    <w:next w:val="Normal"/>
    <w:autoRedefine/>
    <w:uiPriority w:val="39"/>
    <w:unhideWhenUsed/>
    <w:rsid w:val="0058164F"/>
    <w:pPr>
      <w:ind w:left="400"/>
    </w:pPr>
    <w:rPr>
      <w:rFonts w:ascii="Calibri" w:hAnsi="Calibri"/>
    </w:rPr>
  </w:style>
  <w:style w:type="paragraph" w:styleId="TDC4">
    <w:name w:val="toc 4"/>
    <w:basedOn w:val="Normal"/>
    <w:next w:val="Normal"/>
    <w:autoRedefine/>
    <w:uiPriority w:val="39"/>
    <w:unhideWhenUsed/>
    <w:rsid w:val="0058164F"/>
    <w:pPr>
      <w:ind w:left="600"/>
    </w:pPr>
    <w:rPr>
      <w:rFonts w:ascii="Calibri" w:hAnsi="Calibri"/>
    </w:rPr>
  </w:style>
  <w:style w:type="paragraph" w:styleId="TDC5">
    <w:name w:val="toc 5"/>
    <w:basedOn w:val="Normal"/>
    <w:next w:val="Normal"/>
    <w:autoRedefine/>
    <w:uiPriority w:val="39"/>
    <w:unhideWhenUsed/>
    <w:rsid w:val="0058164F"/>
    <w:pPr>
      <w:ind w:left="800"/>
    </w:pPr>
    <w:rPr>
      <w:rFonts w:ascii="Calibri" w:hAnsi="Calibri"/>
    </w:rPr>
  </w:style>
  <w:style w:type="paragraph" w:styleId="TDC6">
    <w:name w:val="toc 6"/>
    <w:basedOn w:val="Normal"/>
    <w:next w:val="Normal"/>
    <w:autoRedefine/>
    <w:uiPriority w:val="39"/>
    <w:unhideWhenUsed/>
    <w:rsid w:val="0058164F"/>
    <w:pPr>
      <w:ind w:left="1000"/>
    </w:pPr>
    <w:rPr>
      <w:rFonts w:ascii="Calibri" w:hAnsi="Calibri"/>
    </w:rPr>
  </w:style>
  <w:style w:type="paragraph" w:styleId="TDC7">
    <w:name w:val="toc 7"/>
    <w:basedOn w:val="Normal"/>
    <w:next w:val="Normal"/>
    <w:autoRedefine/>
    <w:uiPriority w:val="39"/>
    <w:unhideWhenUsed/>
    <w:rsid w:val="0058164F"/>
    <w:pPr>
      <w:ind w:left="1200"/>
    </w:pPr>
    <w:rPr>
      <w:rFonts w:ascii="Calibri" w:hAnsi="Calibri"/>
    </w:rPr>
  </w:style>
  <w:style w:type="paragraph" w:styleId="TDC8">
    <w:name w:val="toc 8"/>
    <w:basedOn w:val="Normal"/>
    <w:next w:val="Normal"/>
    <w:autoRedefine/>
    <w:uiPriority w:val="39"/>
    <w:unhideWhenUsed/>
    <w:rsid w:val="0058164F"/>
    <w:pPr>
      <w:ind w:left="1400"/>
    </w:pPr>
    <w:rPr>
      <w:rFonts w:ascii="Calibri" w:hAnsi="Calibri"/>
    </w:rPr>
  </w:style>
  <w:style w:type="paragraph" w:styleId="TDC9">
    <w:name w:val="toc 9"/>
    <w:basedOn w:val="Normal"/>
    <w:next w:val="Normal"/>
    <w:autoRedefine/>
    <w:uiPriority w:val="39"/>
    <w:unhideWhenUsed/>
    <w:rsid w:val="0058164F"/>
    <w:pPr>
      <w:ind w:left="160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28850">
      <w:bodyDiv w:val="1"/>
      <w:marLeft w:val="0"/>
      <w:marRight w:val="0"/>
      <w:marTop w:val="0"/>
      <w:marBottom w:val="0"/>
      <w:divBdr>
        <w:top w:val="none" w:sz="0" w:space="0" w:color="auto"/>
        <w:left w:val="none" w:sz="0" w:space="0" w:color="auto"/>
        <w:bottom w:val="none" w:sz="0" w:space="0" w:color="auto"/>
        <w:right w:val="none" w:sz="0" w:space="0" w:color="auto"/>
      </w:divBdr>
    </w:div>
    <w:div w:id="551624699">
      <w:bodyDiv w:val="1"/>
      <w:marLeft w:val="0"/>
      <w:marRight w:val="0"/>
      <w:marTop w:val="0"/>
      <w:marBottom w:val="0"/>
      <w:divBdr>
        <w:top w:val="none" w:sz="0" w:space="0" w:color="auto"/>
        <w:left w:val="none" w:sz="0" w:space="0" w:color="auto"/>
        <w:bottom w:val="none" w:sz="0" w:space="0" w:color="auto"/>
        <w:right w:val="none" w:sz="0" w:space="0" w:color="auto"/>
      </w:divBdr>
    </w:div>
    <w:div w:id="1230968058">
      <w:bodyDiv w:val="1"/>
      <w:marLeft w:val="0"/>
      <w:marRight w:val="0"/>
      <w:marTop w:val="0"/>
      <w:marBottom w:val="0"/>
      <w:divBdr>
        <w:top w:val="none" w:sz="0" w:space="0" w:color="auto"/>
        <w:left w:val="none" w:sz="0" w:space="0" w:color="auto"/>
        <w:bottom w:val="none" w:sz="0" w:space="0" w:color="auto"/>
        <w:right w:val="none" w:sz="0" w:space="0" w:color="auto"/>
      </w:divBdr>
    </w:div>
    <w:div w:id="140183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quintana_21_08_14.pdf" TargetMode="External"/><Relationship Id="rId2" Type="http://schemas.openxmlformats.org/officeDocument/2006/relationships/hyperlink" Target="http://corteidh.or.cr/docs/casos/articulos/seriec_280_esp.pdf" TargetMode="External"/><Relationship Id="rId1" Type="http://schemas.openxmlformats.org/officeDocument/2006/relationships/hyperlink" Target="http://www.corteidh.or.cr/docs/casos/articulos/seriec_266_esp.pdf" TargetMode="External"/><Relationship Id="rId5" Type="http://schemas.openxmlformats.org/officeDocument/2006/relationships/hyperlink" Target="http://www.justicia.gob.ec/wp-content/uploads/2012/09/Sentencia-Quintana-Coello.pdf" TargetMode="External"/><Relationship Id="rId4" Type="http://schemas.openxmlformats.org/officeDocument/2006/relationships/hyperlink" Target="http://www.funcionjudicial.gob.ec/index.php/es/component/content/article/25-consejo-judicatura/353-derechos-humano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2AB83-A76F-4F73-9C81-4C30D6005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4326</Words>
  <Characters>23797</Characters>
  <Application>Microsoft Office Word</Application>
  <DocSecurity>0</DocSecurity>
  <Lines>198</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28067</CharactersWithSpaces>
  <SharedDoc>false</SharedDoc>
  <HLinks>
    <vt:vector size="48" baseType="variant">
      <vt:variant>
        <vt:i4>1769525</vt:i4>
      </vt:variant>
      <vt:variant>
        <vt:i4>14</vt:i4>
      </vt:variant>
      <vt:variant>
        <vt:i4>0</vt:i4>
      </vt:variant>
      <vt:variant>
        <vt:i4>5</vt:i4>
      </vt:variant>
      <vt:variant>
        <vt:lpwstr/>
      </vt:variant>
      <vt:variant>
        <vt:lpwstr>_Toc463857754</vt:lpwstr>
      </vt:variant>
      <vt:variant>
        <vt:i4>1769525</vt:i4>
      </vt:variant>
      <vt:variant>
        <vt:i4>8</vt:i4>
      </vt:variant>
      <vt:variant>
        <vt:i4>0</vt:i4>
      </vt:variant>
      <vt:variant>
        <vt:i4>5</vt:i4>
      </vt:variant>
      <vt:variant>
        <vt:lpwstr/>
      </vt:variant>
      <vt:variant>
        <vt:lpwstr>_Toc463857753</vt:lpwstr>
      </vt:variant>
      <vt:variant>
        <vt:i4>1769525</vt:i4>
      </vt:variant>
      <vt:variant>
        <vt:i4>2</vt:i4>
      </vt:variant>
      <vt:variant>
        <vt:i4>0</vt:i4>
      </vt:variant>
      <vt:variant>
        <vt:i4>5</vt:i4>
      </vt:variant>
      <vt:variant>
        <vt:lpwstr/>
      </vt:variant>
      <vt:variant>
        <vt:lpwstr>_Toc463857752</vt:lpwstr>
      </vt:variant>
      <vt:variant>
        <vt:i4>7798823</vt:i4>
      </vt:variant>
      <vt:variant>
        <vt:i4>12</vt:i4>
      </vt:variant>
      <vt:variant>
        <vt:i4>0</vt:i4>
      </vt:variant>
      <vt:variant>
        <vt:i4>5</vt:i4>
      </vt:variant>
      <vt:variant>
        <vt:lpwstr>http://www.justicia.gob.ec/wp-content/uploads/2012/09/Sentencia-Quintana-Coello.pdf</vt:lpwstr>
      </vt:variant>
      <vt:variant>
        <vt:lpwstr/>
      </vt:variant>
      <vt:variant>
        <vt:i4>4915276</vt:i4>
      </vt:variant>
      <vt:variant>
        <vt:i4>9</vt:i4>
      </vt:variant>
      <vt:variant>
        <vt:i4>0</vt:i4>
      </vt:variant>
      <vt:variant>
        <vt:i4>5</vt:i4>
      </vt:variant>
      <vt:variant>
        <vt:lpwstr>http://www.funcionjudicial.gob.ec/index.php/es/component/content/article/25-consejo-judicatura/353-derechos-humanos.html</vt:lpwstr>
      </vt:variant>
      <vt:variant>
        <vt:lpwstr/>
      </vt:variant>
      <vt:variant>
        <vt:i4>7995476</vt:i4>
      </vt:variant>
      <vt:variant>
        <vt:i4>6</vt:i4>
      </vt:variant>
      <vt:variant>
        <vt:i4>0</vt:i4>
      </vt:variant>
      <vt:variant>
        <vt:i4>5</vt:i4>
      </vt:variant>
      <vt:variant>
        <vt:lpwstr>http://www.corteidh.or.cr/docs/supervisiones/quintana_21_08_14.pdf</vt:lpwstr>
      </vt:variant>
      <vt:variant>
        <vt:lpwstr/>
      </vt:variant>
      <vt:variant>
        <vt:i4>5767183</vt:i4>
      </vt:variant>
      <vt:variant>
        <vt:i4>3</vt:i4>
      </vt:variant>
      <vt:variant>
        <vt:i4>0</vt:i4>
      </vt:variant>
      <vt:variant>
        <vt:i4>5</vt:i4>
      </vt:variant>
      <vt:variant>
        <vt:lpwstr>http://corteidh.or.cr/docs/casos/articulos/seriec_280_esp.pdf</vt:lpwstr>
      </vt:variant>
      <vt:variant>
        <vt:lpwstr/>
      </vt:variant>
      <vt:variant>
        <vt:i4>5636176</vt:i4>
      </vt:variant>
      <vt:variant>
        <vt:i4>0</vt:i4>
      </vt:variant>
      <vt:variant>
        <vt:i4>0</vt:i4>
      </vt:variant>
      <vt:variant>
        <vt:i4>5</vt:i4>
      </vt:variant>
      <vt:variant>
        <vt:lpwstr>http://www.corteidh.or.cr/docs/casos/articulos/seriec_266_esp.pdf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2017-07-28T20:39:00Z</cp:lastPrinted>
  <dcterms:created xsi:type="dcterms:W3CDTF">2017-07-28T20:39:00Z</dcterms:created>
  <dcterms:modified xsi:type="dcterms:W3CDTF">2017-07-28T20:39:00Z</dcterms:modified>
</cp:coreProperties>
</file>