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4AB" w:rsidRDefault="00CB34AB" w:rsidP="00BA78B4">
      <w:pPr>
        <w:autoSpaceDE w:val="0"/>
        <w:autoSpaceDN w:val="0"/>
        <w:adjustRightInd w:val="0"/>
        <w:spacing w:after="0" w:line="240" w:lineRule="auto"/>
        <w:jc w:val="center"/>
        <w:outlineLvl w:val="0"/>
        <w:rPr>
          <w:rFonts w:ascii="Verdana" w:hAnsi="Verdana" w:cs="Verdana"/>
          <w:b/>
          <w:bCs/>
          <w:caps/>
          <w:sz w:val="20"/>
          <w:szCs w:val="23"/>
          <w:lang w:val="es-ES_tradnl"/>
        </w:rPr>
      </w:pPr>
      <w:bookmarkStart w:id="0" w:name="_GoBack"/>
      <w:bookmarkEnd w:id="0"/>
    </w:p>
    <w:p w:rsidR="00A241E8" w:rsidRDefault="00A241E8" w:rsidP="00BA78B4">
      <w:pPr>
        <w:autoSpaceDE w:val="0"/>
        <w:autoSpaceDN w:val="0"/>
        <w:adjustRightInd w:val="0"/>
        <w:spacing w:after="0" w:line="240" w:lineRule="auto"/>
        <w:jc w:val="center"/>
        <w:outlineLvl w:val="0"/>
        <w:rPr>
          <w:rFonts w:ascii="Verdana" w:hAnsi="Verdana" w:cs="Verdana"/>
          <w:b/>
          <w:bCs/>
          <w:caps/>
          <w:sz w:val="20"/>
          <w:szCs w:val="23"/>
          <w:lang w:val="es-ES_tradnl"/>
        </w:rPr>
      </w:pPr>
    </w:p>
    <w:p w:rsidR="00C228C3" w:rsidRPr="00F17964" w:rsidRDefault="00C228C3" w:rsidP="00BA78B4">
      <w:pPr>
        <w:autoSpaceDE w:val="0"/>
        <w:autoSpaceDN w:val="0"/>
        <w:adjustRightInd w:val="0"/>
        <w:spacing w:after="0" w:line="240" w:lineRule="auto"/>
        <w:jc w:val="center"/>
        <w:outlineLvl w:val="0"/>
        <w:rPr>
          <w:rFonts w:ascii="Verdana" w:hAnsi="Verdana" w:cs="Verdana"/>
          <w:b/>
          <w:bCs/>
          <w:caps/>
          <w:sz w:val="20"/>
          <w:szCs w:val="23"/>
          <w:lang w:val="es-ES_tradnl"/>
        </w:rPr>
      </w:pPr>
      <w:r w:rsidRPr="00F17964">
        <w:rPr>
          <w:rFonts w:ascii="Verdana" w:hAnsi="Verdana" w:cs="Verdana"/>
          <w:b/>
          <w:bCs/>
          <w:caps/>
          <w:sz w:val="20"/>
          <w:szCs w:val="23"/>
          <w:lang w:val="es-ES_tradnl"/>
        </w:rPr>
        <w:t xml:space="preserve">Resolución de la </w:t>
      </w:r>
    </w:p>
    <w:p w:rsidR="00C228C3" w:rsidRPr="00F17964" w:rsidRDefault="00C228C3" w:rsidP="00BA78B4">
      <w:pPr>
        <w:autoSpaceDE w:val="0"/>
        <w:autoSpaceDN w:val="0"/>
        <w:adjustRightInd w:val="0"/>
        <w:spacing w:after="0" w:line="240" w:lineRule="auto"/>
        <w:jc w:val="center"/>
        <w:outlineLvl w:val="0"/>
        <w:rPr>
          <w:rFonts w:ascii="Verdana" w:hAnsi="Verdana" w:cs="Verdana"/>
          <w:b/>
          <w:bCs/>
          <w:caps/>
          <w:sz w:val="20"/>
          <w:szCs w:val="23"/>
          <w:lang w:val="es-ES_tradnl"/>
        </w:rPr>
      </w:pPr>
      <w:r w:rsidRPr="00F17964">
        <w:rPr>
          <w:rFonts w:ascii="Verdana" w:hAnsi="Verdana" w:cs="Verdana"/>
          <w:b/>
          <w:bCs/>
          <w:caps/>
          <w:sz w:val="20"/>
          <w:szCs w:val="23"/>
          <w:lang w:val="es-ES_tradnl"/>
        </w:rPr>
        <w:t>corte int</w:t>
      </w:r>
      <w:r w:rsidR="0030077C">
        <w:rPr>
          <w:rFonts w:ascii="Verdana" w:hAnsi="Verdana" w:cs="Verdana"/>
          <w:b/>
          <w:bCs/>
          <w:caps/>
          <w:sz w:val="20"/>
          <w:szCs w:val="23"/>
          <w:lang w:val="es-ES_tradnl"/>
        </w:rPr>
        <w:t>eramericana de derechos humanos</w:t>
      </w:r>
      <w:r w:rsidR="0030077C" w:rsidRPr="00E54CE1">
        <w:rPr>
          <w:rStyle w:val="Refdenotaalpie"/>
          <w:rFonts w:ascii="Verdana" w:hAnsi="Verdana"/>
          <w:i/>
          <w:smallCaps/>
          <w:sz w:val="20"/>
        </w:rPr>
        <w:footnoteReference w:customMarkFollows="1" w:id="1"/>
        <w:sym w:font="Symbol" w:char="F02A"/>
      </w:r>
    </w:p>
    <w:p w:rsidR="00BA78B4" w:rsidRDefault="00BA78B4" w:rsidP="00BA78B4">
      <w:pPr>
        <w:autoSpaceDE w:val="0"/>
        <w:autoSpaceDN w:val="0"/>
        <w:adjustRightInd w:val="0"/>
        <w:spacing w:after="0" w:line="240" w:lineRule="auto"/>
        <w:jc w:val="center"/>
        <w:outlineLvl w:val="0"/>
        <w:rPr>
          <w:rFonts w:ascii="Verdana" w:hAnsi="Verdana" w:cs="Verdana"/>
          <w:b/>
          <w:bCs/>
          <w:caps/>
          <w:sz w:val="20"/>
          <w:szCs w:val="23"/>
          <w:lang w:val="es-ES_tradnl"/>
        </w:rPr>
      </w:pPr>
    </w:p>
    <w:p w:rsidR="00C228C3" w:rsidRPr="00F17964" w:rsidRDefault="00C228C3" w:rsidP="00BA78B4">
      <w:pPr>
        <w:autoSpaceDE w:val="0"/>
        <w:autoSpaceDN w:val="0"/>
        <w:adjustRightInd w:val="0"/>
        <w:spacing w:after="0" w:line="240" w:lineRule="auto"/>
        <w:jc w:val="center"/>
        <w:outlineLvl w:val="0"/>
        <w:rPr>
          <w:rFonts w:ascii="Verdana" w:hAnsi="Verdana" w:cs="Verdana"/>
          <w:b/>
          <w:bCs/>
          <w:caps/>
          <w:sz w:val="20"/>
          <w:szCs w:val="23"/>
          <w:lang w:val="es-CR"/>
        </w:rPr>
      </w:pPr>
      <w:r w:rsidRPr="00F17964">
        <w:rPr>
          <w:rFonts w:ascii="Verdana" w:hAnsi="Verdana" w:cs="Verdana"/>
          <w:b/>
          <w:bCs/>
          <w:caps/>
          <w:sz w:val="20"/>
          <w:szCs w:val="23"/>
          <w:lang w:val="es-ES_tradnl"/>
        </w:rPr>
        <w:t xml:space="preserve">de </w:t>
      </w:r>
      <w:r w:rsidR="000974E1">
        <w:rPr>
          <w:rFonts w:ascii="Verdana" w:hAnsi="Verdana" w:cs="Verdana"/>
          <w:b/>
          <w:bCs/>
          <w:caps/>
          <w:sz w:val="20"/>
          <w:szCs w:val="23"/>
          <w:lang w:val="es-ES_tradnl"/>
        </w:rPr>
        <w:t>1</w:t>
      </w:r>
      <w:r w:rsidR="000974E1" w:rsidRPr="00F17964">
        <w:rPr>
          <w:rFonts w:ascii="Verdana" w:hAnsi="Verdana" w:cs="Verdana"/>
          <w:b/>
          <w:bCs/>
          <w:caps/>
          <w:sz w:val="20"/>
          <w:szCs w:val="23"/>
          <w:lang w:val="es-ES_tradnl"/>
        </w:rPr>
        <w:t xml:space="preserve"> </w:t>
      </w:r>
      <w:r w:rsidRPr="00F17964">
        <w:rPr>
          <w:rFonts w:ascii="Verdana" w:hAnsi="Verdana" w:cs="Verdana"/>
          <w:b/>
          <w:bCs/>
          <w:caps/>
          <w:sz w:val="20"/>
          <w:szCs w:val="23"/>
          <w:lang w:val="es-ES_tradnl"/>
        </w:rPr>
        <w:t xml:space="preserve">DE </w:t>
      </w:r>
      <w:r w:rsidR="00082996">
        <w:rPr>
          <w:rFonts w:ascii="Verdana" w:hAnsi="Verdana" w:cs="Verdana"/>
          <w:b/>
          <w:bCs/>
          <w:caps/>
          <w:sz w:val="20"/>
          <w:szCs w:val="23"/>
          <w:lang w:val="es-CR"/>
        </w:rPr>
        <w:t>septiembre</w:t>
      </w:r>
      <w:r w:rsidR="00101833" w:rsidRPr="00F17964">
        <w:rPr>
          <w:rFonts w:ascii="Verdana" w:hAnsi="Verdana" w:cs="Verdana"/>
          <w:b/>
          <w:bCs/>
          <w:caps/>
          <w:sz w:val="20"/>
          <w:szCs w:val="23"/>
          <w:lang w:val="es-CR"/>
        </w:rPr>
        <w:t xml:space="preserve"> DE 2016</w:t>
      </w:r>
    </w:p>
    <w:p w:rsidR="00BA78B4" w:rsidRDefault="00BA78B4" w:rsidP="00BA78B4">
      <w:pPr>
        <w:autoSpaceDE w:val="0"/>
        <w:autoSpaceDN w:val="0"/>
        <w:adjustRightInd w:val="0"/>
        <w:spacing w:after="0" w:line="240" w:lineRule="auto"/>
        <w:jc w:val="center"/>
        <w:outlineLvl w:val="0"/>
        <w:rPr>
          <w:rFonts w:ascii="Verdana" w:hAnsi="Verdana" w:cs="Verdana"/>
          <w:b/>
          <w:bCs/>
          <w:i/>
          <w:caps/>
          <w:sz w:val="20"/>
          <w:szCs w:val="23"/>
          <w:lang w:val="es-ES_tradnl"/>
        </w:rPr>
      </w:pPr>
    </w:p>
    <w:p w:rsidR="00C228C3" w:rsidRPr="00F17964" w:rsidRDefault="00C228C3" w:rsidP="00BA78B4">
      <w:pPr>
        <w:autoSpaceDE w:val="0"/>
        <w:autoSpaceDN w:val="0"/>
        <w:adjustRightInd w:val="0"/>
        <w:spacing w:after="0" w:line="240" w:lineRule="auto"/>
        <w:jc w:val="center"/>
        <w:outlineLvl w:val="0"/>
        <w:rPr>
          <w:rFonts w:ascii="Verdana" w:hAnsi="Verdana" w:cs="Verdana"/>
          <w:b/>
          <w:bCs/>
          <w:i/>
          <w:caps/>
          <w:sz w:val="20"/>
          <w:szCs w:val="23"/>
          <w:lang w:val="es-ES_tradnl"/>
        </w:rPr>
      </w:pPr>
      <w:r w:rsidRPr="00F17964">
        <w:rPr>
          <w:rFonts w:ascii="Verdana" w:hAnsi="Verdana" w:cs="Verdana"/>
          <w:b/>
          <w:bCs/>
          <w:i/>
          <w:caps/>
          <w:sz w:val="20"/>
          <w:szCs w:val="23"/>
          <w:lang w:val="es-ES_tradnl"/>
        </w:rPr>
        <w:t>Caso Zambrano vélez y otros vs. ecuador</w:t>
      </w:r>
    </w:p>
    <w:p w:rsidR="0030077C" w:rsidRDefault="0030077C" w:rsidP="00BA78B4">
      <w:pPr>
        <w:autoSpaceDE w:val="0"/>
        <w:autoSpaceDN w:val="0"/>
        <w:adjustRightInd w:val="0"/>
        <w:spacing w:after="0" w:line="240" w:lineRule="auto"/>
        <w:jc w:val="center"/>
        <w:outlineLvl w:val="0"/>
        <w:rPr>
          <w:rFonts w:ascii="Verdana" w:hAnsi="Verdana" w:cs="Verdana"/>
          <w:b/>
          <w:bCs/>
          <w:caps/>
          <w:sz w:val="20"/>
          <w:szCs w:val="23"/>
          <w:lang w:val="es-ES_tradnl"/>
        </w:rPr>
      </w:pPr>
    </w:p>
    <w:p w:rsidR="00C228C3" w:rsidRPr="00F17964" w:rsidRDefault="00C228C3" w:rsidP="00BA78B4">
      <w:pPr>
        <w:autoSpaceDE w:val="0"/>
        <w:autoSpaceDN w:val="0"/>
        <w:adjustRightInd w:val="0"/>
        <w:spacing w:after="0" w:line="240" w:lineRule="auto"/>
        <w:jc w:val="center"/>
        <w:outlineLvl w:val="0"/>
        <w:rPr>
          <w:rFonts w:ascii="Verdana" w:hAnsi="Verdana" w:cs="Verdana"/>
          <w:b/>
          <w:bCs/>
          <w:caps/>
          <w:sz w:val="20"/>
          <w:szCs w:val="23"/>
          <w:lang w:val="es-ES_tradnl"/>
        </w:rPr>
      </w:pPr>
      <w:r w:rsidRPr="00F17964">
        <w:rPr>
          <w:rFonts w:ascii="Verdana" w:hAnsi="Verdana" w:cs="Verdana"/>
          <w:b/>
          <w:bCs/>
          <w:caps/>
          <w:sz w:val="20"/>
          <w:szCs w:val="23"/>
          <w:lang w:val="es-ES_tradnl"/>
        </w:rPr>
        <w:t>Supervisión de cumplimiento de sentencia</w:t>
      </w:r>
    </w:p>
    <w:p w:rsidR="00BA78B4" w:rsidRDefault="00BA78B4" w:rsidP="00ED3720">
      <w:pPr>
        <w:pStyle w:val="Default"/>
        <w:spacing w:before="120" w:after="120"/>
        <w:jc w:val="both"/>
        <w:rPr>
          <w:b/>
          <w:bCs/>
          <w:sz w:val="20"/>
          <w:szCs w:val="20"/>
        </w:rPr>
      </w:pPr>
    </w:p>
    <w:p w:rsidR="00ED3720" w:rsidRPr="00F17964" w:rsidRDefault="00ED3720" w:rsidP="00ED3720">
      <w:pPr>
        <w:pStyle w:val="Default"/>
        <w:spacing w:before="120" w:after="120"/>
        <w:jc w:val="both"/>
        <w:rPr>
          <w:b/>
          <w:bCs/>
          <w:color w:val="auto"/>
          <w:sz w:val="20"/>
          <w:szCs w:val="20"/>
        </w:rPr>
      </w:pPr>
      <w:r w:rsidRPr="00F17964">
        <w:rPr>
          <w:b/>
          <w:bCs/>
          <w:sz w:val="20"/>
          <w:szCs w:val="20"/>
        </w:rPr>
        <w:t>VISTO:</w:t>
      </w:r>
    </w:p>
    <w:p w:rsidR="00C228C3" w:rsidRPr="00A241E8" w:rsidRDefault="00C228C3" w:rsidP="0010183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szCs w:val="20"/>
        </w:rPr>
        <w:t>La Sentencia de fondo, reparaciones y costas (en adelante “la Sentencia” o “el Fallo”), dictada por la Corte Interamericana de Derechos Humanos (en adelante “la Corte”, “la Corte Interamericana” o “el Tribunal”) el 4 de julio de 2007</w:t>
      </w:r>
      <w:r w:rsidRPr="00F17964">
        <w:rPr>
          <w:rStyle w:val="Refdenotaalpie"/>
          <w:rFonts w:ascii="Verdana" w:hAnsi="Verdana"/>
          <w:sz w:val="20"/>
          <w:szCs w:val="20"/>
        </w:rPr>
        <w:footnoteReference w:id="2"/>
      </w:r>
      <w:r w:rsidRPr="00F17964">
        <w:rPr>
          <w:rFonts w:ascii="Verdana" w:hAnsi="Verdana"/>
          <w:sz w:val="20"/>
          <w:szCs w:val="20"/>
        </w:rPr>
        <w:t xml:space="preserve">. </w:t>
      </w:r>
      <w:r w:rsidR="000974E1">
        <w:rPr>
          <w:rFonts w:ascii="Verdana" w:hAnsi="Verdana"/>
          <w:sz w:val="20"/>
          <w:szCs w:val="20"/>
        </w:rPr>
        <w:t>En ella l</w:t>
      </w:r>
      <w:r w:rsidRPr="00F17964">
        <w:rPr>
          <w:rFonts w:ascii="Verdana" w:hAnsi="Verdana"/>
          <w:sz w:val="20"/>
          <w:szCs w:val="20"/>
        </w:rPr>
        <w:t>a Corte declaró la responsabilidad internacional de la República del Ecuador (en adelante “el Estado” o “Ecuador”) por la violación del derecho a la vida</w:t>
      </w:r>
      <w:r w:rsidR="00A81B59">
        <w:rPr>
          <w:rFonts w:ascii="Verdana" w:hAnsi="Verdana"/>
          <w:sz w:val="20"/>
          <w:szCs w:val="20"/>
        </w:rPr>
        <w:t xml:space="preserve"> </w:t>
      </w:r>
      <w:r w:rsidRPr="00F17964">
        <w:rPr>
          <w:rFonts w:ascii="Verdana" w:hAnsi="Verdana"/>
          <w:sz w:val="20"/>
          <w:szCs w:val="20"/>
        </w:rPr>
        <w:t xml:space="preserve">de los señores Wilmer Zambrano Vélez, Segundo Olmedo Caicedo </w:t>
      </w:r>
      <w:proofErr w:type="spellStart"/>
      <w:r w:rsidRPr="00F17964">
        <w:rPr>
          <w:rFonts w:ascii="Verdana" w:hAnsi="Verdana"/>
          <w:sz w:val="20"/>
          <w:szCs w:val="20"/>
        </w:rPr>
        <w:t>Cobeña</w:t>
      </w:r>
      <w:proofErr w:type="spellEnd"/>
      <w:r w:rsidRPr="00F17964">
        <w:rPr>
          <w:rFonts w:ascii="Verdana" w:hAnsi="Verdana"/>
          <w:sz w:val="20"/>
          <w:szCs w:val="20"/>
        </w:rPr>
        <w:t xml:space="preserve"> y José Miguel Caicedo </w:t>
      </w:r>
      <w:proofErr w:type="spellStart"/>
      <w:r w:rsidRPr="00F17964">
        <w:rPr>
          <w:rFonts w:ascii="Verdana" w:hAnsi="Verdana"/>
          <w:sz w:val="20"/>
          <w:szCs w:val="20"/>
        </w:rPr>
        <w:t>Cobeña</w:t>
      </w:r>
      <w:proofErr w:type="spellEnd"/>
      <w:r w:rsidRPr="00F17964">
        <w:rPr>
          <w:rFonts w:ascii="Verdana" w:hAnsi="Verdana"/>
          <w:sz w:val="20"/>
          <w:szCs w:val="20"/>
        </w:rPr>
        <w:t>, quienes fueron ejecutados extrajudicialmente por agentes estatales durante un operativo realizado el 6 de marzo de 1993 en una zona suburbana de la ciudad de Guayaquil</w:t>
      </w:r>
      <w:r w:rsidRPr="00F17964">
        <w:rPr>
          <w:rStyle w:val="Refdenotaalpie"/>
          <w:rFonts w:ascii="Verdana" w:hAnsi="Verdana"/>
          <w:sz w:val="20"/>
          <w:szCs w:val="20"/>
        </w:rPr>
        <w:footnoteReference w:id="3"/>
      </w:r>
      <w:r w:rsidRPr="00F17964">
        <w:rPr>
          <w:rFonts w:ascii="Verdana" w:hAnsi="Verdana"/>
          <w:sz w:val="20"/>
          <w:szCs w:val="20"/>
        </w:rPr>
        <w:t xml:space="preserve">. Dicho operativo estuvo enmarcado en el estado de emergencia declarado mediante </w:t>
      </w:r>
      <w:r w:rsidR="000974E1">
        <w:rPr>
          <w:rFonts w:ascii="Verdana" w:hAnsi="Verdana"/>
          <w:sz w:val="20"/>
          <w:szCs w:val="20"/>
        </w:rPr>
        <w:t xml:space="preserve">un </w:t>
      </w:r>
      <w:r w:rsidRPr="00F17964">
        <w:rPr>
          <w:rFonts w:ascii="Verdana" w:hAnsi="Verdana"/>
          <w:sz w:val="20"/>
          <w:szCs w:val="20"/>
        </w:rPr>
        <w:t xml:space="preserve">decreto </w:t>
      </w:r>
      <w:r w:rsidR="000974E1">
        <w:rPr>
          <w:rFonts w:ascii="Verdana" w:hAnsi="Verdana"/>
          <w:sz w:val="20"/>
          <w:szCs w:val="20"/>
        </w:rPr>
        <w:t xml:space="preserve">emitido </w:t>
      </w:r>
      <w:r w:rsidRPr="00F17964">
        <w:rPr>
          <w:rFonts w:ascii="Verdana" w:hAnsi="Verdana"/>
          <w:sz w:val="20"/>
          <w:szCs w:val="20"/>
        </w:rPr>
        <w:t>seis meses antes de los hechos</w:t>
      </w:r>
      <w:r w:rsidRPr="00F17964">
        <w:rPr>
          <w:rStyle w:val="Refdenotaalpie"/>
          <w:rFonts w:ascii="Verdana" w:hAnsi="Verdana"/>
          <w:sz w:val="20"/>
          <w:szCs w:val="20"/>
        </w:rPr>
        <w:footnoteReference w:id="4"/>
      </w:r>
      <w:r w:rsidR="000974E1">
        <w:rPr>
          <w:rFonts w:ascii="Verdana" w:hAnsi="Verdana"/>
          <w:sz w:val="20"/>
          <w:szCs w:val="20"/>
        </w:rPr>
        <w:t>;</w:t>
      </w:r>
      <w:r w:rsidRPr="00F17964">
        <w:rPr>
          <w:rFonts w:ascii="Verdana" w:hAnsi="Verdana"/>
          <w:sz w:val="20"/>
          <w:szCs w:val="20"/>
        </w:rPr>
        <w:t xml:space="preserve"> declaratoria que incumplió las obligaciones convencionales relacionadas </w:t>
      </w:r>
      <w:r w:rsidR="004B1B70" w:rsidRPr="00F17964">
        <w:rPr>
          <w:rFonts w:ascii="Verdana" w:hAnsi="Verdana"/>
          <w:sz w:val="20"/>
          <w:szCs w:val="20"/>
        </w:rPr>
        <w:t>con la suspensión de garantías</w:t>
      </w:r>
      <w:r w:rsidRPr="00F17964">
        <w:rPr>
          <w:rStyle w:val="Refdenotaalpie"/>
          <w:rFonts w:ascii="Verdana" w:hAnsi="Verdana" w:cs="Verdana"/>
          <w:sz w:val="20"/>
          <w:szCs w:val="20"/>
        </w:rPr>
        <w:footnoteReference w:id="5"/>
      </w:r>
      <w:r w:rsidRPr="00F17964">
        <w:rPr>
          <w:rFonts w:ascii="Verdana" w:hAnsi="Verdana" w:cs="Verdana"/>
          <w:sz w:val="20"/>
          <w:szCs w:val="20"/>
        </w:rPr>
        <w:t xml:space="preserve">. Asimismo, </w:t>
      </w:r>
      <w:r w:rsidR="000974E1">
        <w:rPr>
          <w:rFonts w:ascii="Verdana" w:hAnsi="Verdana" w:cs="Verdana"/>
          <w:sz w:val="20"/>
          <w:szCs w:val="20"/>
        </w:rPr>
        <w:t>el Tribunal</w:t>
      </w:r>
      <w:r w:rsidRPr="00F17964">
        <w:rPr>
          <w:rFonts w:ascii="Verdana" w:hAnsi="Verdana" w:cs="Verdana"/>
          <w:sz w:val="20"/>
          <w:szCs w:val="20"/>
        </w:rPr>
        <w:t xml:space="preserve"> declaró que el Estado violó los derechos a las garantías judiciales y a la protección judicial</w:t>
      </w:r>
      <w:r w:rsidRPr="00F17964">
        <w:rPr>
          <w:rStyle w:val="Refdenotaalpie"/>
          <w:rFonts w:ascii="Verdana" w:hAnsi="Verdana" w:cs="Verdana"/>
          <w:sz w:val="20"/>
          <w:szCs w:val="20"/>
        </w:rPr>
        <w:footnoteReference w:id="6"/>
      </w:r>
      <w:r w:rsidRPr="00F17964">
        <w:rPr>
          <w:rFonts w:ascii="Verdana" w:hAnsi="Verdana" w:cs="Verdana"/>
          <w:sz w:val="20"/>
          <w:szCs w:val="20"/>
        </w:rPr>
        <w:t>, en perjuicio de los familiares de los referidos señores</w:t>
      </w:r>
      <w:r w:rsidRPr="00F17964">
        <w:rPr>
          <w:rStyle w:val="Refdenotaalpie"/>
          <w:rFonts w:ascii="Verdana" w:hAnsi="Verdana" w:cs="Verdana"/>
          <w:sz w:val="20"/>
          <w:szCs w:val="20"/>
        </w:rPr>
        <w:footnoteReference w:id="7"/>
      </w:r>
      <w:r w:rsidRPr="00F17964">
        <w:rPr>
          <w:rFonts w:ascii="Verdana" w:hAnsi="Verdana" w:cs="Verdana"/>
          <w:sz w:val="20"/>
          <w:szCs w:val="20"/>
        </w:rPr>
        <w:t xml:space="preserve">, puesto que incumplió con su deber de iniciar una investigación </w:t>
      </w:r>
      <w:r w:rsidRPr="00F17964">
        <w:rPr>
          <w:rFonts w:ascii="Verdana" w:hAnsi="Verdana" w:cs="Verdana"/>
          <w:i/>
          <w:sz w:val="20"/>
          <w:szCs w:val="20"/>
        </w:rPr>
        <w:t xml:space="preserve">ex </w:t>
      </w:r>
      <w:proofErr w:type="spellStart"/>
      <w:r w:rsidRPr="00F17964">
        <w:rPr>
          <w:rFonts w:ascii="Verdana" w:hAnsi="Verdana" w:cs="Verdana"/>
          <w:i/>
          <w:sz w:val="20"/>
          <w:szCs w:val="20"/>
        </w:rPr>
        <w:t>officio</w:t>
      </w:r>
      <w:proofErr w:type="spellEnd"/>
      <w:r w:rsidRPr="00F17964">
        <w:rPr>
          <w:rFonts w:ascii="Verdana" w:hAnsi="Verdana" w:cs="Verdana"/>
          <w:sz w:val="20"/>
          <w:szCs w:val="20"/>
        </w:rPr>
        <w:t xml:space="preserve"> </w:t>
      </w:r>
      <w:r w:rsidRPr="00F17964">
        <w:rPr>
          <w:rFonts w:ascii="Verdana" w:hAnsi="Verdana" w:cs="Verdana"/>
          <w:sz w:val="20"/>
          <w:szCs w:val="20"/>
        </w:rPr>
        <w:lastRenderedPageBreak/>
        <w:t>para realizar un adecuado control y verificación de la legalidad del uso de la fuerza, mediante una investigación seria, independiente, imparcial y efectiva de los hechos a nivel interno</w:t>
      </w:r>
      <w:r w:rsidRPr="00F17964">
        <w:rPr>
          <w:rStyle w:val="Refdenotaalpie"/>
          <w:rFonts w:ascii="Verdana" w:hAnsi="Verdana" w:cs="Verdana"/>
          <w:sz w:val="20"/>
          <w:szCs w:val="20"/>
        </w:rPr>
        <w:footnoteReference w:id="8"/>
      </w:r>
      <w:r w:rsidRPr="00F17964">
        <w:rPr>
          <w:rFonts w:ascii="Verdana" w:hAnsi="Verdana" w:cs="Verdana"/>
          <w:sz w:val="20"/>
          <w:szCs w:val="20"/>
        </w:rPr>
        <w:t xml:space="preserve">. La Corte estableció que su </w:t>
      </w:r>
      <w:r w:rsidRPr="00F17964">
        <w:rPr>
          <w:rFonts w:ascii="Verdana" w:hAnsi="Verdana"/>
          <w:sz w:val="20"/>
          <w:szCs w:val="20"/>
        </w:rPr>
        <w:t xml:space="preserve">Sentencia constituye </w:t>
      </w:r>
      <w:r w:rsidR="000974E1" w:rsidRPr="000974E1">
        <w:rPr>
          <w:rFonts w:ascii="Verdana" w:hAnsi="Verdana"/>
          <w:iCs/>
          <w:sz w:val="20"/>
          <w:szCs w:val="20"/>
        </w:rPr>
        <w:t>por s</w:t>
      </w:r>
      <w:r w:rsidR="000974E1">
        <w:rPr>
          <w:rFonts w:ascii="Verdana" w:hAnsi="Verdana"/>
          <w:iCs/>
          <w:sz w:val="20"/>
          <w:szCs w:val="20"/>
        </w:rPr>
        <w:t>í</w:t>
      </w:r>
      <w:r w:rsidR="000974E1" w:rsidRPr="000974E1">
        <w:rPr>
          <w:rFonts w:ascii="Verdana" w:hAnsi="Verdana"/>
          <w:iCs/>
          <w:sz w:val="20"/>
          <w:szCs w:val="20"/>
        </w:rPr>
        <w:t xml:space="preserve"> misma</w:t>
      </w:r>
      <w:r w:rsidRPr="000974E1">
        <w:rPr>
          <w:rFonts w:ascii="Verdana" w:hAnsi="Verdana"/>
          <w:iCs/>
          <w:sz w:val="20"/>
          <w:szCs w:val="20"/>
        </w:rPr>
        <w:t xml:space="preserve"> </w:t>
      </w:r>
      <w:r w:rsidRPr="00F17964">
        <w:rPr>
          <w:rFonts w:ascii="Verdana" w:hAnsi="Verdana"/>
          <w:sz w:val="20"/>
          <w:szCs w:val="20"/>
        </w:rPr>
        <w:t>una forma de reparación y, adicionalmente, ordenó al Estado determinadas medidas de reparación (</w:t>
      </w:r>
      <w:r w:rsidRPr="00F17964">
        <w:rPr>
          <w:rFonts w:ascii="Verdana" w:hAnsi="Verdana"/>
          <w:i/>
          <w:iCs/>
          <w:sz w:val="20"/>
          <w:szCs w:val="20"/>
        </w:rPr>
        <w:t xml:space="preserve">infra </w:t>
      </w:r>
      <w:r w:rsidRPr="00F17964">
        <w:rPr>
          <w:rFonts w:ascii="Verdana" w:hAnsi="Verdana"/>
          <w:sz w:val="20"/>
          <w:szCs w:val="20"/>
        </w:rPr>
        <w:t>Considerando 1).</w:t>
      </w:r>
    </w:p>
    <w:p w:rsidR="00C228C3" w:rsidRPr="00A241E8" w:rsidRDefault="00C228C3" w:rsidP="00101833">
      <w:pPr>
        <w:pStyle w:val="Prrafodelista"/>
        <w:numPr>
          <w:ilvl w:val="0"/>
          <w:numId w:val="1"/>
        </w:numPr>
        <w:autoSpaceDE w:val="0"/>
        <w:autoSpaceDN w:val="0"/>
        <w:adjustRightInd w:val="0"/>
        <w:spacing w:before="120" w:after="120" w:line="240" w:lineRule="auto"/>
        <w:ind w:left="0" w:firstLine="0"/>
        <w:contextualSpacing w:val="0"/>
        <w:jc w:val="both"/>
        <w:rPr>
          <w:rStyle w:val="Textoennegrita"/>
          <w:rFonts w:ascii="Verdana" w:hAnsi="Verdana" w:cs="Verdana"/>
          <w:b w:val="0"/>
          <w:bCs w:val="0"/>
          <w:sz w:val="20"/>
          <w:szCs w:val="20"/>
        </w:rPr>
      </w:pPr>
      <w:r w:rsidRPr="00F17964">
        <w:rPr>
          <w:rStyle w:val="Textoennegrita"/>
          <w:rFonts w:ascii="Verdana" w:hAnsi="Verdana"/>
          <w:b w:val="0"/>
          <w:sz w:val="20"/>
          <w:szCs w:val="20"/>
        </w:rPr>
        <w:t xml:space="preserve">Las Resoluciones de supervisión de cumplimiento de </w:t>
      </w:r>
      <w:r w:rsidR="00333B15">
        <w:rPr>
          <w:rStyle w:val="Textoennegrita"/>
          <w:rFonts w:ascii="Verdana" w:hAnsi="Verdana"/>
          <w:b w:val="0"/>
          <w:sz w:val="20"/>
          <w:szCs w:val="20"/>
        </w:rPr>
        <w:t>s</w:t>
      </w:r>
      <w:r w:rsidRPr="00F17964">
        <w:rPr>
          <w:rStyle w:val="Textoennegrita"/>
          <w:rFonts w:ascii="Verdana" w:hAnsi="Verdana"/>
          <w:b w:val="0"/>
          <w:sz w:val="20"/>
          <w:szCs w:val="20"/>
        </w:rPr>
        <w:t>entencia emitidas por el Tribunal los días</w:t>
      </w:r>
      <w:r w:rsidRPr="00F17964">
        <w:rPr>
          <w:rStyle w:val="Textoennegrita"/>
          <w:rFonts w:ascii="Verdana" w:hAnsi="Verdana" w:cs="Verdana"/>
          <w:b w:val="0"/>
          <w:sz w:val="20"/>
          <w:szCs w:val="20"/>
        </w:rPr>
        <w:t xml:space="preserve"> </w:t>
      </w:r>
      <w:r w:rsidRPr="00F17964">
        <w:rPr>
          <w:rStyle w:val="Textoennegrita"/>
          <w:rFonts w:ascii="Verdana" w:hAnsi="Verdana"/>
          <w:b w:val="0"/>
          <w:sz w:val="20"/>
          <w:szCs w:val="20"/>
        </w:rPr>
        <w:t>21 de septiembre de 2009 y 23 de noviembre de 2010</w:t>
      </w:r>
      <w:r w:rsidRPr="003F6328">
        <w:rPr>
          <w:rStyle w:val="Refdenotaalpie"/>
          <w:rFonts w:ascii="Verdana" w:hAnsi="Verdana"/>
          <w:bCs/>
          <w:sz w:val="20"/>
          <w:szCs w:val="20"/>
        </w:rPr>
        <w:footnoteReference w:id="9"/>
      </w:r>
      <w:r w:rsidRPr="00F17964">
        <w:rPr>
          <w:rStyle w:val="Textoennegrita"/>
          <w:rFonts w:ascii="Verdana" w:hAnsi="Verdana"/>
          <w:b w:val="0"/>
          <w:sz w:val="20"/>
          <w:szCs w:val="20"/>
        </w:rPr>
        <w:t>, así como la emitida por su Presidencia el 22 de mayo de 2009</w:t>
      </w:r>
      <w:r w:rsidRPr="003F6328">
        <w:rPr>
          <w:rStyle w:val="Refdenotaalpie"/>
          <w:rFonts w:ascii="Verdana" w:hAnsi="Verdana"/>
          <w:bCs/>
          <w:sz w:val="20"/>
          <w:szCs w:val="20"/>
        </w:rPr>
        <w:footnoteReference w:id="10"/>
      </w:r>
      <w:r w:rsidR="003F6328">
        <w:rPr>
          <w:rStyle w:val="Textoennegrita"/>
          <w:rFonts w:ascii="Verdana" w:hAnsi="Verdana"/>
          <w:b w:val="0"/>
          <w:sz w:val="20"/>
          <w:szCs w:val="20"/>
        </w:rPr>
        <w:t>.</w:t>
      </w:r>
    </w:p>
    <w:p w:rsidR="007703F0" w:rsidRPr="00F17964" w:rsidRDefault="007703F0" w:rsidP="0010183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szCs w:val="20"/>
        </w:rPr>
        <w:t xml:space="preserve">El </w:t>
      </w:r>
      <w:r w:rsidR="00ED3720" w:rsidRPr="00F17964">
        <w:rPr>
          <w:rFonts w:ascii="Verdana" w:hAnsi="Verdana"/>
          <w:sz w:val="20"/>
          <w:szCs w:val="20"/>
        </w:rPr>
        <w:t xml:space="preserve">informe presentado por el Estado </w:t>
      </w:r>
      <w:r w:rsidR="00445A42">
        <w:rPr>
          <w:rFonts w:ascii="Verdana" w:hAnsi="Verdana"/>
          <w:sz w:val="20"/>
          <w:szCs w:val="20"/>
        </w:rPr>
        <w:t xml:space="preserve">en </w:t>
      </w:r>
      <w:r w:rsidR="00E5616F">
        <w:rPr>
          <w:rFonts w:ascii="Verdana" w:hAnsi="Verdana"/>
          <w:sz w:val="20"/>
          <w:szCs w:val="20"/>
        </w:rPr>
        <w:t>marzo de</w:t>
      </w:r>
      <w:r w:rsidR="00E5616F" w:rsidRPr="00F17964">
        <w:rPr>
          <w:rFonts w:ascii="Verdana" w:hAnsi="Verdana"/>
          <w:sz w:val="20"/>
          <w:szCs w:val="20"/>
        </w:rPr>
        <w:t xml:space="preserve"> </w:t>
      </w:r>
      <w:r w:rsidRPr="00F17964">
        <w:rPr>
          <w:rFonts w:ascii="Verdana" w:hAnsi="Verdana"/>
          <w:sz w:val="20"/>
          <w:szCs w:val="20"/>
        </w:rPr>
        <w:t>2011</w:t>
      </w:r>
      <w:r w:rsidR="00445A42">
        <w:rPr>
          <w:rStyle w:val="Refdenotaalpie"/>
          <w:rFonts w:ascii="Verdana" w:hAnsi="Verdana"/>
          <w:sz w:val="20"/>
          <w:szCs w:val="20"/>
        </w:rPr>
        <w:footnoteReference w:id="11"/>
      </w:r>
      <w:r w:rsidR="00445A42">
        <w:rPr>
          <w:rFonts w:ascii="Verdana" w:hAnsi="Verdana"/>
          <w:sz w:val="20"/>
          <w:szCs w:val="20"/>
        </w:rPr>
        <w:t xml:space="preserve"> y los correspondientes escritos de observaciones presentados </w:t>
      </w:r>
      <w:r w:rsidR="00E5616F">
        <w:rPr>
          <w:rFonts w:ascii="Verdana" w:hAnsi="Verdana"/>
          <w:sz w:val="20"/>
          <w:lang w:val="es-MX"/>
        </w:rPr>
        <w:t>ese mismo año</w:t>
      </w:r>
      <w:r w:rsidR="00E5616F">
        <w:rPr>
          <w:rFonts w:ascii="Verdana" w:hAnsi="Verdana"/>
          <w:sz w:val="20"/>
          <w:szCs w:val="20"/>
        </w:rPr>
        <w:t xml:space="preserve"> </w:t>
      </w:r>
      <w:r w:rsidR="00445A42">
        <w:rPr>
          <w:rFonts w:ascii="Verdana" w:hAnsi="Verdana"/>
          <w:sz w:val="20"/>
          <w:szCs w:val="20"/>
        </w:rPr>
        <w:t xml:space="preserve">por los </w:t>
      </w:r>
      <w:r w:rsidR="00445A42" w:rsidRPr="00F17964">
        <w:rPr>
          <w:rStyle w:val="Textoennegrita"/>
          <w:rFonts w:ascii="Verdana" w:hAnsi="Verdana" w:cs="Verdana"/>
          <w:b w:val="0"/>
          <w:bCs w:val="0"/>
          <w:sz w:val="20"/>
          <w:szCs w:val="20"/>
        </w:rPr>
        <w:t>representantes</w:t>
      </w:r>
      <w:r w:rsidR="00445A42" w:rsidRPr="00F17964">
        <w:rPr>
          <w:rFonts w:ascii="Verdana" w:hAnsi="Verdana"/>
          <w:sz w:val="20"/>
          <w:szCs w:val="20"/>
        </w:rPr>
        <w:t xml:space="preserve"> de las víctimas (en adelante “los representantes”)</w:t>
      </w:r>
      <w:r w:rsidR="00445A42" w:rsidRPr="00F17964">
        <w:rPr>
          <w:rStyle w:val="Refdenotaalpie"/>
          <w:rFonts w:ascii="Verdana" w:hAnsi="Verdana"/>
          <w:sz w:val="20"/>
          <w:szCs w:val="20"/>
        </w:rPr>
        <w:footnoteReference w:id="12"/>
      </w:r>
      <w:r w:rsidR="00445A42" w:rsidRPr="00F17964">
        <w:rPr>
          <w:rFonts w:ascii="Verdana" w:hAnsi="Verdana"/>
          <w:sz w:val="20"/>
          <w:szCs w:val="20"/>
        </w:rPr>
        <w:t xml:space="preserve"> </w:t>
      </w:r>
      <w:r w:rsidR="00445A42">
        <w:rPr>
          <w:rFonts w:ascii="Verdana" w:hAnsi="Verdana"/>
          <w:sz w:val="20"/>
          <w:szCs w:val="20"/>
        </w:rPr>
        <w:t xml:space="preserve">y por la </w:t>
      </w:r>
      <w:r w:rsidR="00445A42" w:rsidRPr="00F17964">
        <w:rPr>
          <w:rFonts w:ascii="Verdana" w:hAnsi="Verdana"/>
          <w:sz w:val="20"/>
          <w:lang w:val="es-MX"/>
        </w:rPr>
        <w:t>Comisión Interamericana de Derechos Humanos (en adelante la “Comisión Interamericana” o la “Comisión”)</w:t>
      </w:r>
      <w:r w:rsidR="00445A42">
        <w:rPr>
          <w:rStyle w:val="Refdenotaalpie"/>
          <w:rFonts w:ascii="Verdana" w:hAnsi="Verdana"/>
          <w:sz w:val="20"/>
          <w:lang w:val="es-MX"/>
        </w:rPr>
        <w:footnoteReference w:id="13"/>
      </w:r>
      <w:r w:rsidR="00445A42">
        <w:rPr>
          <w:rFonts w:ascii="Verdana" w:hAnsi="Verdana"/>
          <w:sz w:val="20"/>
          <w:lang w:val="es-MX"/>
        </w:rPr>
        <w:t>.</w:t>
      </w:r>
    </w:p>
    <w:p w:rsidR="000D50CF" w:rsidRPr="00F17964" w:rsidRDefault="000D50CF" w:rsidP="0041755F">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szCs w:val="20"/>
        </w:rPr>
        <w:t xml:space="preserve">La nota de </w:t>
      </w:r>
      <w:r w:rsidR="00ED3720" w:rsidRPr="00F17964">
        <w:rPr>
          <w:rFonts w:ascii="Verdana" w:hAnsi="Verdana"/>
          <w:sz w:val="20"/>
          <w:szCs w:val="20"/>
        </w:rPr>
        <w:t xml:space="preserve">la </w:t>
      </w:r>
      <w:r w:rsidRPr="00F17964">
        <w:rPr>
          <w:rFonts w:ascii="Verdana" w:hAnsi="Verdana"/>
          <w:sz w:val="20"/>
          <w:szCs w:val="20"/>
        </w:rPr>
        <w:t xml:space="preserve">Secretaría de 2 de octubre de 2015, </w:t>
      </w:r>
      <w:r w:rsidR="00ED3720" w:rsidRPr="00F17964">
        <w:rPr>
          <w:rFonts w:ascii="Verdana" w:hAnsi="Verdana"/>
          <w:sz w:val="20"/>
          <w:szCs w:val="20"/>
        </w:rPr>
        <w:t xml:space="preserve">mediante la cual, </w:t>
      </w:r>
      <w:r w:rsidRPr="00F17964">
        <w:rPr>
          <w:rFonts w:ascii="Verdana" w:hAnsi="Verdana"/>
          <w:sz w:val="20"/>
          <w:szCs w:val="20"/>
        </w:rPr>
        <w:t xml:space="preserve">siguiendo instrucciones del Presidente del Tribunal, se solicitó al Estado que presentara información </w:t>
      </w:r>
      <w:r w:rsidR="00FD36E3" w:rsidRPr="00F17964">
        <w:rPr>
          <w:rFonts w:ascii="Verdana" w:hAnsi="Verdana"/>
          <w:sz w:val="20"/>
          <w:szCs w:val="20"/>
        </w:rPr>
        <w:t>actualizada y detallada sobre el</w:t>
      </w:r>
      <w:r w:rsidRPr="00F17964">
        <w:rPr>
          <w:rFonts w:ascii="Verdana" w:hAnsi="Verdana"/>
          <w:sz w:val="20"/>
          <w:szCs w:val="20"/>
        </w:rPr>
        <w:t xml:space="preserve"> cumplimiento de </w:t>
      </w:r>
      <w:r w:rsidR="00FD36E3" w:rsidRPr="00F17964">
        <w:rPr>
          <w:rFonts w:ascii="Verdana" w:hAnsi="Verdana"/>
          <w:sz w:val="20"/>
          <w:szCs w:val="20"/>
        </w:rPr>
        <w:t xml:space="preserve">las </w:t>
      </w:r>
      <w:r w:rsidRPr="00F17964">
        <w:rPr>
          <w:rFonts w:ascii="Verdana" w:hAnsi="Verdana"/>
          <w:sz w:val="20"/>
          <w:szCs w:val="20"/>
        </w:rPr>
        <w:t xml:space="preserve">medidas </w:t>
      </w:r>
      <w:r w:rsidRPr="00A241E8">
        <w:rPr>
          <w:rFonts w:ascii="Verdana" w:hAnsi="Verdana"/>
          <w:sz w:val="20"/>
          <w:szCs w:val="20"/>
        </w:rPr>
        <w:t>de reparación</w:t>
      </w:r>
      <w:r w:rsidR="00FD36E3" w:rsidRPr="00A241E8">
        <w:rPr>
          <w:rFonts w:ascii="Verdana" w:hAnsi="Verdana"/>
          <w:sz w:val="20"/>
          <w:szCs w:val="20"/>
        </w:rPr>
        <w:t xml:space="preserve"> ordenadas en los puntos dispositivos sexto y décimo primero de la Sentencia (</w:t>
      </w:r>
      <w:r w:rsidR="00FD36E3" w:rsidRPr="00A241E8">
        <w:rPr>
          <w:rFonts w:ascii="Verdana" w:hAnsi="Verdana"/>
          <w:i/>
          <w:sz w:val="20"/>
          <w:szCs w:val="20"/>
        </w:rPr>
        <w:t>infra</w:t>
      </w:r>
      <w:r w:rsidR="00FD36E3" w:rsidRPr="00A241E8">
        <w:rPr>
          <w:rFonts w:ascii="Verdana" w:hAnsi="Verdana"/>
          <w:sz w:val="20"/>
          <w:szCs w:val="20"/>
        </w:rPr>
        <w:t xml:space="preserve"> Considerando </w:t>
      </w:r>
      <w:r w:rsidR="00BE5B89" w:rsidRPr="00A241E8">
        <w:rPr>
          <w:rFonts w:ascii="Verdana" w:hAnsi="Verdana"/>
          <w:sz w:val="20"/>
          <w:szCs w:val="20"/>
        </w:rPr>
        <w:t>1).</w:t>
      </w:r>
      <w:r w:rsidR="00BE5B89" w:rsidRPr="00F17964">
        <w:rPr>
          <w:rFonts w:ascii="Verdana" w:hAnsi="Verdana"/>
          <w:sz w:val="20"/>
          <w:szCs w:val="20"/>
        </w:rPr>
        <w:t xml:space="preserve"> </w:t>
      </w:r>
    </w:p>
    <w:p w:rsidR="000D50CF" w:rsidRPr="00F17964" w:rsidRDefault="00FD36E3" w:rsidP="0041755F">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szCs w:val="20"/>
        </w:rPr>
        <w:t>Los informe</w:t>
      </w:r>
      <w:r w:rsidR="00041881">
        <w:rPr>
          <w:rFonts w:ascii="Verdana" w:hAnsi="Verdana"/>
          <w:sz w:val="20"/>
          <w:szCs w:val="20"/>
        </w:rPr>
        <w:t>s</w:t>
      </w:r>
      <w:r w:rsidRPr="00F17964">
        <w:rPr>
          <w:rFonts w:ascii="Verdana" w:hAnsi="Verdana"/>
          <w:sz w:val="20"/>
          <w:szCs w:val="20"/>
        </w:rPr>
        <w:t xml:space="preserve"> presentados por el Estado el </w:t>
      </w:r>
      <w:r w:rsidR="000D50CF" w:rsidRPr="00F17964">
        <w:rPr>
          <w:rFonts w:ascii="Verdana" w:hAnsi="Verdana"/>
          <w:sz w:val="20"/>
          <w:szCs w:val="20"/>
        </w:rPr>
        <w:t xml:space="preserve">25 de noviembre de 2015 </w:t>
      </w:r>
      <w:r w:rsidRPr="00F17964">
        <w:rPr>
          <w:rFonts w:ascii="Verdana" w:hAnsi="Verdana"/>
          <w:sz w:val="20"/>
          <w:szCs w:val="20"/>
        </w:rPr>
        <w:t xml:space="preserve">y el 17 de marzo de 2016. </w:t>
      </w:r>
    </w:p>
    <w:p w:rsidR="00FD36E3" w:rsidRPr="00A241E8" w:rsidRDefault="00FD36E3" w:rsidP="0041755F">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rPr>
        <w:t xml:space="preserve">Los </w:t>
      </w:r>
      <w:r w:rsidR="000D50CF" w:rsidRPr="00F17964">
        <w:rPr>
          <w:rFonts w:ascii="Verdana" w:hAnsi="Verdana"/>
          <w:sz w:val="20"/>
          <w:lang w:val="es-MX"/>
        </w:rPr>
        <w:t>escrito</w:t>
      </w:r>
      <w:r w:rsidRPr="00F17964">
        <w:rPr>
          <w:rFonts w:ascii="Verdana" w:hAnsi="Verdana"/>
          <w:sz w:val="20"/>
          <w:lang w:val="es-MX"/>
        </w:rPr>
        <w:t>s</w:t>
      </w:r>
      <w:r w:rsidR="000D50CF" w:rsidRPr="00F17964">
        <w:rPr>
          <w:rFonts w:ascii="Verdana" w:hAnsi="Verdana"/>
          <w:sz w:val="20"/>
          <w:lang w:val="es-MX"/>
        </w:rPr>
        <w:t xml:space="preserve"> de observaciones presentado</w:t>
      </w:r>
      <w:r w:rsidRPr="00F17964">
        <w:rPr>
          <w:rFonts w:ascii="Verdana" w:hAnsi="Verdana"/>
          <w:sz w:val="20"/>
          <w:lang w:val="es-MX"/>
        </w:rPr>
        <w:t xml:space="preserve">s por los representantes el 3 de febrero y el 31 de mayo de 2016. </w:t>
      </w:r>
    </w:p>
    <w:p w:rsidR="000D50CF" w:rsidRPr="00F17964" w:rsidRDefault="000D50CF" w:rsidP="0041755F">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z w:val="20"/>
          <w:szCs w:val="20"/>
        </w:rPr>
      </w:pPr>
      <w:r w:rsidRPr="00F17964">
        <w:rPr>
          <w:rFonts w:ascii="Verdana" w:hAnsi="Verdana"/>
          <w:sz w:val="20"/>
          <w:lang w:val="es-MX"/>
        </w:rPr>
        <w:t xml:space="preserve"> </w:t>
      </w:r>
      <w:r w:rsidR="00FD36E3" w:rsidRPr="00F17964">
        <w:rPr>
          <w:rFonts w:ascii="Verdana" w:hAnsi="Verdana"/>
          <w:sz w:val="20"/>
          <w:lang w:val="es-MX"/>
        </w:rPr>
        <w:t xml:space="preserve">Los escritos de observaciones presentados por la Comisión Interamericana </w:t>
      </w:r>
      <w:r w:rsidRPr="00F17964">
        <w:rPr>
          <w:rFonts w:ascii="Verdana" w:hAnsi="Verdana"/>
          <w:sz w:val="20"/>
          <w:lang w:val="es-MX"/>
        </w:rPr>
        <w:t xml:space="preserve">el 28 de enero </w:t>
      </w:r>
      <w:r w:rsidR="00FD36E3" w:rsidRPr="00F17964">
        <w:rPr>
          <w:rFonts w:ascii="Verdana" w:hAnsi="Verdana"/>
          <w:sz w:val="20"/>
          <w:lang w:val="es-MX"/>
        </w:rPr>
        <w:t xml:space="preserve">y el 20 de mayo </w:t>
      </w:r>
      <w:r w:rsidRPr="00F17964">
        <w:rPr>
          <w:rFonts w:ascii="Verdana" w:hAnsi="Verdana"/>
          <w:sz w:val="20"/>
          <w:lang w:val="es-MX"/>
        </w:rPr>
        <w:t xml:space="preserve">de 2016. </w:t>
      </w:r>
    </w:p>
    <w:p w:rsidR="00A241E8" w:rsidRPr="00A43EA8" w:rsidRDefault="00A241E8" w:rsidP="0041755F">
      <w:pPr>
        <w:pStyle w:val="Default"/>
        <w:spacing w:before="120" w:after="120"/>
        <w:jc w:val="both"/>
        <w:rPr>
          <w:b/>
          <w:color w:val="auto"/>
          <w:sz w:val="4"/>
          <w:szCs w:val="4"/>
        </w:rPr>
      </w:pPr>
    </w:p>
    <w:p w:rsidR="00A43EA8" w:rsidRDefault="00A43EA8" w:rsidP="0041755F">
      <w:pPr>
        <w:pStyle w:val="Default"/>
        <w:spacing w:before="120" w:after="120"/>
        <w:jc w:val="both"/>
        <w:rPr>
          <w:b/>
          <w:color w:val="auto"/>
          <w:sz w:val="20"/>
          <w:szCs w:val="20"/>
        </w:rPr>
      </w:pPr>
    </w:p>
    <w:p w:rsidR="00A43EA8" w:rsidRDefault="00A43EA8" w:rsidP="0041755F">
      <w:pPr>
        <w:pStyle w:val="Default"/>
        <w:spacing w:before="120" w:after="120"/>
        <w:jc w:val="both"/>
        <w:rPr>
          <w:b/>
          <w:color w:val="auto"/>
          <w:sz w:val="20"/>
          <w:szCs w:val="20"/>
        </w:rPr>
      </w:pPr>
    </w:p>
    <w:p w:rsidR="00C228C3" w:rsidRPr="00F17964" w:rsidRDefault="00C228C3" w:rsidP="0041755F">
      <w:pPr>
        <w:pStyle w:val="Default"/>
        <w:spacing w:before="120" w:after="120"/>
        <w:jc w:val="both"/>
        <w:rPr>
          <w:b/>
          <w:color w:val="auto"/>
          <w:sz w:val="20"/>
          <w:szCs w:val="20"/>
        </w:rPr>
      </w:pPr>
      <w:r w:rsidRPr="00F17964">
        <w:rPr>
          <w:b/>
          <w:color w:val="auto"/>
          <w:sz w:val="20"/>
          <w:szCs w:val="20"/>
        </w:rPr>
        <w:t>CONSIDERANDO QUE:</w:t>
      </w:r>
    </w:p>
    <w:p w:rsidR="00C228C3" w:rsidRPr="00F17964" w:rsidRDefault="00C228C3" w:rsidP="0041755F">
      <w:pPr>
        <w:pStyle w:val="Textonotapie"/>
        <w:numPr>
          <w:ilvl w:val="0"/>
          <w:numId w:val="2"/>
        </w:numPr>
        <w:autoSpaceDE w:val="0"/>
        <w:autoSpaceDN w:val="0"/>
        <w:adjustRightInd w:val="0"/>
        <w:spacing w:before="120" w:after="120"/>
        <w:ind w:left="0" w:firstLine="0"/>
        <w:jc w:val="both"/>
        <w:rPr>
          <w:rFonts w:ascii="Verdana" w:hAnsi="Verdana"/>
        </w:rPr>
      </w:pPr>
      <w:r w:rsidRPr="00F17964">
        <w:rPr>
          <w:rFonts w:ascii="Verdana" w:hAnsi="Verdana"/>
        </w:rPr>
        <w:t xml:space="preserve">En el ejercicio de </w:t>
      </w:r>
      <w:r w:rsidRPr="00F17964">
        <w:rPr>
          <w:rFonts w:ascii="Verdana" w:hAnsi="Verdana"/>
          <w:lang w:val="es-ES"/>
        </w:rPr>
        <w:t xml:space="preserve">su función jurisdiccional de </w:t>
      </w:r>
      <w:r w:rsidRPr="00F17964">
        <w:rPr>
          <w:rFonts w:ascii="Verdana" w:hAnsi="Verdana"/>
        </w:rPr>
        <w:t>supervisar el cumplimiento de sus decisiones</w:t>
      </w:r>
      <w:r w:rsidRPr="00F17964">
        <w:rPr>
          <w:rStyle w:val="Refdenotaalpie"/>
          <w:rFonts w:ascii="Verdana" w:hAnsi="Verdana"/>
        </w:rPr>
        <w:footnoteReference w:id="14"/>
      </w:r>
      <w:r w:rsidRPr="00F17964">
        <w:rPr>
          <w:rFonts w:ascii="Verdana" w:hAnsi="Verdana"/>
        </w:rPr>
        <w:t xml:space="preserve">, la Corte ha venido supervisando la ejecución de la Sentencia emitida </w:t>
      </w:r>
      <w:r w:rsidRPr="00F17964">
        <w:rPr>
          <w:rFonts w:ascii="Verdana" w:hAnsi="Verdana"/>
          <w:lang w:val="es-MX"/>
        </w:rPr>
        <w:t xml:space="preserve">en el </w:t>
      </w:r>
      <w:r w:rsidRPr="00F17964">
        <w:rPr>
          <w:rFonts w:ascii="Verdana" w:hAnsi="Verdana"/>
          <w:lang w:val="es-MX"/>
        </w:rPr>
        <w:lastRenderedPageBreak/>
        <w:t>presente caso</w:t>
      </w:r>
      <w:r w:rsidRPr="00F17964">
        <w:rPr>
          <w:rFonts w:ascii="Verdana" w:hAnsi="Verdana"/>
          <w:i/>
          <w:lang w:val="es-MX"/>
        </w:rPr>
        <w:t xml:space="preserve"> </w:t>
      </w:r>
      <w:r w:rsidRPr="00F17964">
        <w:rPr>
          <w:rFonts w:ascii="Verdana" w:hAnsi="Verdana"/>
          <w:lang w:val="es-MX"/>
        </w:rPr>
        <w:t xml:space="preserve">hace más de </w:t>
      </w:r>
      <w:r w:rsidR="00FD36E3" w:rsidRPr="00F17964">
        <w:rPr>
          <w:rFonts w:ascii="Verdana" w:hAnsi="Verdana"/>
          <w:lang w:val="es-MX"/>
        </w:rPr>
        <w:t xml:space="preserve">nueve </w:t>
      </w:r>
      <w:r w:rsidRPr="00F17964">
        <w:rPr>
          <w:rFonts w:ascii="Verdana" w:hAnsi="Verdana"/>
          <w:lang w:val="es-MX"/>
        </w:rPr>
        <w:t>años (</w:t>
      </w:r>
      <w:r w:rsidRPr="00F17964">
        <w:rPr>
          <w:rFonts w:ascii="Verdana" w:hAnsi="Verdana"/>
          <w:i/>
          <w:lang w:val="es-MX"/>
        </w:rPr>
        <w:t>supra</w:t>
      </w:r>
      <w:r w:rsidRPr="00F17964">
        <w:rPr>
          <w:rFonts w:ascii="Verdana" w:hAnsi="Verdana"/>
          <w:lang w:val="es-MX"/>
        </w:rPr>
        <w:t xml:space="preserve"> Visto 1).</w:t>
      </w:r>
      <w:r w:rsidRPr="00F17964">
        <w:rPr>
          <w:rFonts w:ascii="Verdana" w:hAnsi="Verdana" w:cs="Verdana"/>
        </w:rPr>
        <w:t xml:space="preserve"> El Tribunal ha emitido dos resoluciones de supervisión de cumplimiento en los años 2009 y 2010 (</w:t>
      </w:r>
      <w:r w:rsidRPr="00F17964">
        <w:rPr>
          <w:rFonts w:ascii="Verdana" w:hAnsi="Verdana" w:cs="Verdana"/>
          <w:i/>
        </w:rPr>
        <w:t>supra</w:t>
      </w:r>
      <w:r w:rsidRPr="00F17964">
        <w:rPr>
          <w:rFonts w:ascii="Verdana" w:hAnsi="Verdana" w:cs="Verdana"/>
        </w:rPr>
        <w:t xml:space="preserve"> Visto 2), en las cuales declaró que Ecuador</w:t>
      </w:r>
      <w:r w:rsidR="003B7375" w:rsidRPr="00F17964">
        <w:rPr>
          <w:rFonts w:ascii="Verdana" w:hAnsi="Verdana" w:cs="Verdana"/>
        </w:rPr>
        <w:t xml:space="preserve"> ha dado cumplimiento total a cinco</w:t>
      </w:r>
      <w:r w:rsidR="00D46041">
        <w:rPr>
          <w:rFonts w:ascii="Verdana" w:hAnsi="Verdana" w:cs="Verdana"/>
        </w:rPr>
        <w:t xml:space="preserve"> medidas de reparación</w:t>
      </w:r>
      <w:r w:rsidR="003B7375" w:rsidRPr="00F17964">
        <w:rPr>
          <w:rStyle w:val="Refdenotaalpie"/>
          <w:rFonts w:ascii="Verdana" w:hAnsi="Verdana" w:cs="Verdana"/>
        </w:rPr>
        <w:footnoteReference w:id="15"/>
      </w:r>
      <w:r w:rsidR="003B7375" w:rsidRPr="00F17964">
        <w:rPr>
          <w:rFonts w:ascii="Verdana" w:hAnsi="Verdana" w:cs="Verdana"/>
        </w:rPr>
        <w:t xml:space="preserve"> y </w:t>
      </w:r>
      <w:r w:rsidR="00D46041">
        <w:rPr>
          <w:rFonts w:ascii="Verdana" w:hAnsi="Verdana" w:cs="Verdana"/>
        </w:rPr>
        <w:t>cumplimiento parcial</w:t>
      </w:r>
      <w:r w:rsidR="00D46041" w:rsidRPr="00F17964">
        <w:rPr>
          <w:rFonts w:ascii="Verdana" w:hAnsi="Verdana" w:cs="Verdana"/>
        </w:rPr>
        <w:t xml:space="preserve"> </w:t>
      </w:r>
      <w:r w:rsidR="00D46041">
        <w:rPr>
          <w:rFonts w:ascii="Verdana" w:hAnsi="Verdana" w:cs="Verdana"/>
        </w:rPr>
        <w:t xml:space="preserve">a </w:t>
      </w:r>
      <w:r w:rsidR="003B7375" w:rsidRPr="00F17964">
        <w:rPr>
          <w:rFonts w:ascii="Verdana" w:hAnsi="Verdana" w:cs="Verdana"/>
        </w:rPr>
        <w:t>una reparación</w:t>
      </w:r>
      <w:r w:rsidR="00B929CA" w:rsidRPr="00F17964">
        <w:rPr>
          <w:rStyle w:val="Refdenotaalpie"/>
          <w:rFonts w:ascii="Verdana" w:hAnsi="Verdana" w:cs="Verdana"/>
        </w:rPr>
        <w:footnoteReference w:id="16"/>
      </w:r>
      <w:r w:rsidR="003B7375" w:rsidRPr="00F17964">
        <w:rPr>
          <w:rFonts w:ascii="Verdana" w:hAnsi="Verdana" w:cs="Verdana"/>
        </w:rPr>
        <w:t>, quedando pendientes de cumplimiento dos medidas</w:t>
      </w:r>
      <w:r w:rsidR="0012218A" w:rsidRPr="00F17964">
        <w:rPr>
          <w:rFonts w:ascii="Verdana" w:hAnsi="Verdana" w:cs="Verdana"/>
        </w:rPr>
        <w:t>, a saber:</w:t>
      </w:r>
    </w:p>
    <w:p w:rsidR="0012218A" w:rsidRPr="00F17964" w:rsidRDefault="0012218A" w:rsidP="0041755F">
      <w:pPr>
        <w:pStyle w:val="Textonotapie"/>
        <w:numPr>
          <w:ilvl w:val="0"/>
          <w:numId w:val="5"/>
        </w:numPr>
        <w:autoSpaceDE w:val="0"/>
        <w:autoSpaceDN w:val="0"/>
        <w:adjustRightInd w:val="0"/>
        <w:spacing w:before="120" w:after="120"/>
        <w:jc w:val="both"/>
        <w:rPr>
          <w:rFonts w:ascii="Verdana" w:hAnsi="Verdana"/>
        </w:rPr>
      </w:pPr>
      <w:r w:rsidRPr="00F17964">
        <w:rPr>
          <w:rFonts w:ascii="Verdana" w:hAnsi="Verdana"/>
        </w:rPr>
        <w:t xml:space="preserve">“realizar inmediatamente las debidas diligencias y utilizar todos los medios disponibles para hacer expedita la investigación y los procedimientos respectivos en la jurisdicción penal ordinaria para identificar, enjuiciar y, en su caso, sancionar a los responsables de la ejecución extrajudicial [de las víctimas]” </w:t>
      </w:r>
      <w:r w:rsidRPr="00F17964">
        <w:rPr>
          <w:rFonts w:ascii="Verdana" w:hAnsi="Verdana"/>
          <w:i/>
        </w:rPr>
        <w:t>(punto dispositivo sexto de la Sentencia)</w:t>
      </w:r>
      <w:r w:rsidRPr="00F17964">
        <w:rPr>
          <w:rFonts w:ascii="Verdana" w:hAnsi="Verdana"/>
        </w:rPr>
        <w:t>, y</w:t>
      </w:r>
    </w:p>
    <w:p w:rsidR="0012218A" w:rsidRPr="00B929CA" w:rsidRDefault="0012218A" w:rsidP="0041755F">
      <w:pPr>
        <w:pStyle w:val="Textonotapie"/>
        <w:numPr>
          <w:ilvl w:val="0"/>
          <w:numId w:val="5"/>
        </w:numPr>
        <w:autoSpaceDE w:val="0"/>
        <w:autoSpaceDN w:val="0"/>
        <w:adjustRightInd w:val="0"/>
        <w:spacing w:before="120" w:after="120"/>
        <w:jc w:val="both"/>
        <w:rPr>
          <w:rFonts w:ascii="Verdana" w:hAnsi="Verdana"/>
        </w:rPr>
      </w:pPr>
      <w:r w:rsidRPr="00F17964">
        <w:rPr>
          <w:rFonts w:ascii="Verdana" w:hAnsi="Verdana" w:cs="Verdana"/>
        </w:rPr>
        <w:t xml:space="preserve">pagar a algunas de las víctimas los intereses moratorios en relación con los pagos realizados por concepto de indemnización por daño material e inmaterial </w:t>
      </w:r>
      <w:r w:rsidRPr="00F17964">
        <w:rPr>
          <w:rFonts w:ascii="Verdana" w:hAnsi="Verdana" w:cs="Verdana"/>
          <w:i/>
        </w:rPr>
        <w:t xml:space="preserve">(punto dispositivo décimo primero de la Sentencia) </w:t>
      </w:r>
      <w:r w:rsidRPr="00F17964">
        <w:rPr>
          <w:rFonts w:ascii="Verdana" w:hAnsi="Verdana" w:cs="Verdana"/>
        </w:rPr>
        <w:t>(</w:t>
      </w:r>
      <w:r w:rsidRPr="00F17964">
        <w:rPr>
          <w:rFonts w:ascii="Verdana" w:hAnsi="Verdana" w:cs="Verdana"/>
          <w:i/>
        </w:rPr>
        <w:t xml:space="preserve">supra </w:t>
      </w:r>
      <w:r w:rsidRPr="00F17964">
        <w:rPr>
          <w:rFonts w:ascii="Verdana" w:hAnsi="Verdana" w:cs="Verdana"/>
        </w:rPr>
        <w:t>nota al pie 1</w:t>
      </w:r>
      <w:r w:rsidR="00B929CA">
        <w:rPr>
          <w:rFonts w:ascii="Verdana" w:hAnsi="Verdana" w:cs="Verdana"/>
        </w:rPr>
        <w:t>5</w:t>
      </w:r>
      <w:r w:rsidRPr="00F17964">
        <w:rPr>
          <w:rFonts w:ascii="Verdana" w:hAnsi="Verdana" w:cs="Verdana"/>
        </w:rPr>
        <w:t>).</w:t>
      </w:r>
    </w:p>
    <w:p w:rsidR="0012218A" w:rsidRPr="00F17964" w:rsidRDefault="0012218A" w:rsidP="0041755F">
      <w:pPr>
        <w:pStyle w:val="Prrafodelista"/>
        <w:numPr>
          <w:ilvl w:val="0"/>
          <w:numId w:val="2"/>
        </w:numPr>
        <w:spacing w:before="120" w:after="120" w:line="240" w:lineRule="auto"/>
        <w:ind w:left="0" w:firstLine="0"/>
        <w:contextualSpacing w:val="0"/>
        <w:jc w:val="both"/>
        <w:rPr>
          <w:rFonts w:ascii="Verdana" w:hAnsi="Verdana"/>
          <w:sz w:val="20"/>
          <w:szCs w:val="20"/>
          <w:lang w:val="es-MX"/>
        </w:rPr>
      </w:pPr>
      <w:r w:rsidRPr="00F17964">
        <w:rPr>
          <w:rFonts w:ascii="Verdana" w:hAnsi="Verdana"/>
          <w:sz w:val="20"/>
          <w:szCs w:val="20"/>
        </w:rPr>
        <w:t xml:space="preserve">De conformidad con </w:t>
      </w:r>
      <w:r w:rsidRPr="00F17964">
        <w:rPr>
          <w:rFonts w:ascii="Verdana" w:hAnsi="Verdana"/>
          <w:sz w:val="20"/>
          <w:szCs w:val="20"/>
          <w:lang w:val="es-ES"/>
        </w:rPr>
        <w:t xml:space="preserve">lo establecido en el artículo </w:t>
      </w:r>
      <w:r w:rsidRPr="00F17964">
        <w:rPr>
          <w:rFonts w:ascii="Verdana" w:hAnsi="Verdana"/>
          <w:color w:val="000000"/>
          <w:sz w:val="20"/>
          <w:szCs w:val="20"/>
          <w:lang w:val="es-CO"/>
        </w:rPr>
        <w:t xml:space="preserve">68.1 de la Convención Americana, “[l]os Estados Partes en la Convención se comprometen a cumplir la decisión de la </w:t>
      </w:r>
      <w:r w:rsidRPr="00F17964">
        <w:rPr>
          <w:rFonts w:ascii="Verdana" w:hAnsi="Verdana"/>
          <w:color w:val="000000"/>
          <w:sz w:val="20"/>
          <w:szCs w:val="20"/>
          <w:lang w:val="es-MX"/>
        </w:rPr>
        <w:t>Corte en todo caso en que sean parte</w:t>
      </w:r>
      <w:r w:rsidRPr="00F17964">
        <w:rPr>
          <w:rFonts w:ascii="Verdana" w:hAnsi="Verdana"/>
          <w:i/>
          <w:color w:val="000000"/>
          <w:sz w:val="20"/>
          <w:szCs w:val="20"/>
          <w:lang w:val="es-MX"/>
        </w:rPr>
        <w:t>s”</w:t>
      </w:r>
      <w:r w:rsidRPr="00F17964">
        <w:rPr>
          <w:rFonts w:ascii="Verdana" w:hAnsi="Verdana" w:cs="Verdana"/>
          <w:i/>
          <w:sz w:val="20"/>
          <w:szCs w:val="20"/>
          <w:lang w:val="es-MX"/>
        </w:rPr>
        <w:t>.</w:t>
      </w:r>
      <w:r w:rsidRPr="00F17964">
        <w:rPr>
          <w:rFonts w:ascii="Verdana" w:hAnsi="Verdana" w:cs="Verdana"/>
          <w:sz w:val="20"/>
          <w:szCs w:val="20"/>
          <w:lang w:val="es-MX"/>
        </w:rPr>
        <w:t xml:space="preserve"> </w:t>
      </w:r>
      <w:r w:rsidRPr="00F17964">
        <w:rPr>
          <w:rFonts w:ascii="Verdana" w:hAnsi="Verdana"/>
          <w:sz w:val="20"/>
          <w:szCs w:val="20"/>
          <w:lang w:val="es-MX"/>
        </w:rPr>
        <w:t>Esta obligación incluye el deber del Estado de informar a la Corte sobre las medidas adoptadas</w:t>
      </w:r>
      <w:r w:rsidRPr="00F17964">
        <w:rPr>
          <w:rFonts w:ascii="Verdana" w:hAnsi="Verdana"/>
          <w:sz w:val="20"/>
          <w:szCs w:val="20"/>
        </w:rPr>
        <w:t xml:space="preserve"> para cumplir cada uno de los puntos ordenados por ésta, lo cual es funda</w:t>
      </w:r>
      <w:r w:rsidRPr="00F17964">
        <w:rPr>
          <w:rFonts w:ascii="Verdana" w:hAnsi="Verdana"/>
          <w:sz w:val="20"/>
          <w:szCs w:val="20"/>
          <w:lang w:val="es-MX"/>
        </w:rPr>
        <w:t>mental para evaluar</w:t>
      </w:r>
      <w:r w:rsidRPr="00F17964">
        <w:rPr>
          <w:rFonts w:ascii="Verdana" w:hAnsi="Verdana"/>
          <w:sz w:val="20"/>
          <w:szCs w:val="20"/>
        </w:rPr>
        <w:t xml:space="preserve"> el estado de cumplimiento de la Sentencia en su conjunto.</w:t>
      </w:r>
    </w:p>
    <w:p w:rsidR="0012218A" w:rsidRPr="00B929CA" w:rsidRDefault="0012218A" w:rsidP="0041755F">
      <w:pPr>
        <w:pStyle w:val="Prrafodelista"/>
        <w:numPr>
          <w:ilvl w:val="0"/>
          <w:numId w:val="2"/>
        </w:numPr>
        <w:spacing w:before="120" w:after="120" w:line="240" w:lineRule="auto"/>
        <w:ind w:left="0" w:firstLine="0"/>
        <w:contextualSpacing w:val="0"/>
        <w:jc w:val="both"/>
        <w:rPr>
          <w:rFonts w:ascii="Verdana" w:hAnsi="Verdana"/>
          <w:sz w:val="20"/>
          <w:szCs w:val="20"/>
          <w:lang w:val="es-MX"/>
        </w:rPr>
      </w:pPr>
      <w:r w:rsidRPr="00F17964">
        <w:rPr>
          <w:rFonts w:ascii="Verdana" w:hAnsi="Verdana" w:cs="Verdana"/>
          <w:sz w:val="20"/>
          <w:szCs w:val="20"/>
          <w:lang w:val="es-ES"/>
        </w:rPr>
        <w:t>Los Estados Parte en la Convención deben garantizar el cumplimiento de las disposiciones convencionales y sus efectos propios (</w:t>
      </w:r>
      <w:proofErr w:type="spellStart"/>
      <w:r w:rsidRPr="00F17964">
        <w:rPr>
          <w:rFonts w:ascii="Verdana" w:hAnsi="Verdana" w:cs="Verdana-Italic"/>
          <w:i/>
          <w:iCs/>
          <w:sz w:val="20"/>
          <w:szCs w:val="20"/>
          <w:lang w:val="es-ES"/>
        </w:rPr>
        <w:t>effet</w:t>
      </w:r>
      <w:proofErr w:type="spellEnd"/>
      <w:r w:rsidRPr="00F17964">
        <w:rPr>
          <w:rFonts w:ascii="Verdana" w:hAnsi="Verdana" w:cs="Verdana-Italic"/>
          <w:i/>
          <w:iCs/>
          <w:sz w:val="20"/>
          <w:szCs w:val="20"/>
          <w:lang w:val="es-ES"/>
        </w:rPr>
        <w:t xml:space="preserve"> </w:t>
      </w:r>
      <w:proofErr w:type="spellStart"/>
      <w:r w:rsidRPr="00F17964">
        <w:rPr>
          <w:rFonts w:ascii="Verdana" w:hAnsi="Verdana" w:cs="Verdana-Italic"/>
          <w:i/>
          <w:iCs/>
          <w:sz w:val="20"/>
          <w:szCs w:val="20"/>
          <w:lang w:val="es-ES"/>
        </w:rPr>
        <w:t>utile</w:t>
      </w:r>
      <w:proofErr w:type="spellEnd"/>
      <w:r w:rsidRPr="00F17964">
        <w:rPr>
          <w:rFonts w:ascii="Verdana" w:hAnsi="Verdana" w:cs="Verdana"/>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F17964">
        <w:rPr>
          <w:rStyle w:val="Refdenotaalpie"/>
          <w:rFonts w:ascii="Verdana" w:hAnsi="Verdana" w:cs="Verdana"/>
          <w:sz w:val="20"/>
          <w:szCs w:val="20"/>
        </w:rPr>
        <w:footnoteReference w:id="17"/>
      </w:r>
      <w:r w:rsidRPr="00F17964">
        <w:rPr>
          <w:rFonts w:ascii="Verdana" w:hAnsi="Verdana" w:cs="Verdana"/>
          <w:sz w:val="20"/>
          <w:szCs w:val="20"/>
          <w:lang w:val="es-ES"/>
        </w:rPr>
        <w:t>.</w:t>
      </w:r>
    </w:p>
    <w:p w:rsidR="0041755F" w:rsidRPr="00B929CA" w:rsidRDefault="00F44CF7" w:rsidP="0041755F">
      <w:pPr>
        <w:pStyle w:val="Prrafodelista"/>
        <w:numPr>
          <w:ilvl w:val="0"/>
          <w:numId w:val="2"/>
        </w:numPr>
        <w:spacing w:before="120" w:after="120" w:line="240" w:lineRule="auto"/>
        <w:ind w:left="0" w:firstLine="0"/>
        <w:jc w:val="both"/>
        <w:rPr>
          <w:rFonts w:ascii="Verdana" w:hAnsi="Verdana"/>
          <w:sz w:val="20"/>
          <w:szCs w:val="20"/>
          <w:lang w:val="es-MX"/>
        </w:rPr>
      </w:pPr>
      <w:r>
        <w:rPr>
          <w:rFonts w:ascii="Verdana" w:hAnsi="Verdana"/>
          <w:sz w:val="20"/>
          <w:lang w:val="es-ES"/>
        </w:rPr>
        <w:t>L</w:t>
      </w:r>
      <w:r w:rsidR="0041755F" w:rsidRPr="00F17964">
        <w:rPr>
          <w:rFonts w:ascii="Verdana" w:hAnsi="Verdana"/>
          <w:sz w:val="20"/>
          <w:lang w:val="es-ES"/>
        </w:rPr>
        <w:t xml:space="preserve">a Corte valorará la información presentada por las partes respecto de las </w:t>
      </w:r>
      <w:r w:rsidR="004476EE" w:rsidRPr="00F17964">
        <w:rPr>
          <w:rFonts w:ascii="Verdana" w:hAnsi="Verdana"/>
          <w:sz w:val="20"/>
          <w:lang w:val="es-ES"/>
        </w:rPr>
        <w:t>dos</w:t>
      </w:r>
      <w:r w:rsidR="0041755F" w:rsidRPr="00F17964">
        <w:rPr>
          <w:rFonts w:ascii="Verdana" w:hAnsi="Verdana"/>
          <w:sz w:val="20"/>
          <w:lang w:val="es-ES"/>
        </w:rPr>
        <w:t xml:space="preserve"> medidas de reparación </w:t>
      </w:r>
      <w:r w:rsidR="004476EE" w:rsidRPr="00F17964">
        <w:rPr>
          <w:rFonts w:ascii="Verdana" w:hAnsi="Verdana"/>
          <w:sz w:val="20"/>
          <w:lang w:val="es-ES"/>
        </w:rPr>
        <w:t xml:space="preserve">ordenadas en este caso que se encuentran pendientes </w:t>
      </w:r>
      <w:r w:rsidR="0041755F" w:rsidRPr="00F17964">
        <w:rPr>
          <w:rFonts w:ascii="Verdana" w:hAnsi="Verdana"/>
          <w:sz w:val="20"/>
          <w:lang w:val="es-ES"/>
        </w:rPr>
        <w:t>(</w:t>
      </w:r>
      <w:r w:rsidR="0041755F" w:rsidRPr="00F17964">
        <w:rPr>
          <w:rFonts w:ascii="Verdana" w:hAnsi="Verdana"/>
          <w:i/>
          <w:sz w:val="20"/>
          <w:lang w:val="es-ES"/>
        </w:rPr>
        <w:t xml:space="preserve">supra </w:t>
      </w:r>
      <w:r w:rsidR="0041755F" w:rsidRPr="00F17964">
        <w:rPr>
          <w:rFonts w:ascii="Verdana" w:hAnsi="Verdana"/>
          <w:sz w:val="20"/>
          <w:lang w:val="es-ES"/>
        </w:rPr>
        <w:t xml:space="preserve">Considerando 1), y determinará el grado de cumplimiento por parte del Estado. </w:t>
      </w:r>
      <w:r>
        <w:rPr>
          <w:rFonts w:ascii="Verdana" w:hAnsi="Verdana"/>
          <w:sz w:val="20"/>
          <w:lang w:val="es-ES"/>
        </w:rPr>
        <w:t xml:space="preserve">Las </w:t>
      </w:r>
      <w:r w:rsidR="0041755F" w:rsidRPr="00F17964">
        <w:rPr>
          <w:rFonts w:ascii="Verdana" w:hAnsi="Verdana"/>
          <w:sz w:val="20"/>
          <w:lang w:val="es-ES"/>
        </w:rPr>
        <w:t xml:space="preserve">consideraciones </w:t>
      </w:r>
      <w:r>
        <w:rPr>
          <w:rFonts w:ascii="Verdana" w:hAnsi="Verdana"/>
          <w:sz w:val="20"/>
          <w:lang w:val="es-ES"/>
        </w:rPr>
        <w:t xml:space="preserve">se estructuran </w:t>
      </w:r>
      <w:r w:rsidR="0041755F" w:rsidRPr="00F17964">
        <w:rPr>
          <w:rFonts w:ascii="Verdana" w:hAnsi="Verdana"/>
          <w:sz w:val="20"/>
          <w:lang w:val="es-ES"/>
        </w:rPr>
        <w:t>en el siguiente orden:</w:t>
      </w:r>
    </w:p>
    <w:tbl>
      <w:tblPr>
        <w:tblW w:w="0" w:type="auto"/>
        <w:jc w:val="center"/>
        <w:tblInd w:w="423" w:type="dxa"/>
        <w:tblLook w:val="04A0" w:firstRow="1" w:lastRow="0" w:firstColumn="1" w:lastColumn="0" w:noHBand="0" w:noVBand="1"/>
      </w:tblPr>
      <w:tblGrid>
        <w:gridCol w:w="6312"/>
        <w:gridCol w:w="1207"/>
      </w:tblGrid>
      <w:tr w:rsidR="0041755F" w:rsidRPr="00F47912" w:rsidTr="0041755F">
        <w:trPr>
          <w:trHeight w:val="243"/>
          <w:jc w:val="center"/>
        </w:trPr>
        <w:tc>
          <w:tcPr>
            <w:tcW w:w="6312" w:type="dxa"/>
            <w:tcBorders>
              <w:top w:val="nil"/>
              <w:left w:val="nil"/>
              <w:bottom w:val="single" w:sz="4" w:space="0" w:color="auto"/>
              <w:right w:val="nil"/>
            </w:tcBorders>
          </w:tcPr>
          <w:p w:rsidR="0041755F" w:rsidRPr="00F47912" w:rsidRDefault="0041755F" w:rsidP="00BA78B4">
            <w:pPr>
              <w:spacing w:after="0" w:line="240" w:lineRule="auto"/>
              <w:jc w:val="both"/>
              <w:rPr>
                <w:rFonts w:ascii="Verdana" w:hAnsi="Verdana"/>
                <w:sz w:val="16"/>
                <w:szCs w:val="16"/>
                <w:lang w:val="es-CR"/>
              </w:rPr>
            </w:pPr>
          </w:p>
        </w:tc>
        <w:tc>
          <w:tcPr>
            <w:tcW w:w="1207" w:type="dxa"/>
            <w:tcBorders>
              <w:top w:val="nil"/>
              <w:left w:val="nil"/>
              <w:bottom w:val="single" w:sz="4" w:space="0" w:color="auto"/>
              <w:right w:val="nil"/>
            </w:tcBorders>
            <w:hideMark/>
          </w:tcPr>
          <w:p w:rsidR="0041755F" w:rsidRPr="00F47912" w:rsidRDefault="0041755F" w:rsidP="00BA78B4">
            <w:pPr>
              <w:spacing w:after="0" w:line="240" w:lineRule="auto"/>
              <w:jc w:val="center"/>
              <w:rPr>
                <w:rFonts w:ascii="Verdana" w:hAnsi="Verdana"/>
                <w:b/>
                <w:sz w:val="16"/>
                <w:szCs w:val="16"/>
              </w:rPr>
            </w:pPr>
            <w:proofErr w:type="spellStart"/>
            <w:r w:rsidRPr="00F47912">
              <w:rPr>
                <w:rFonts w:ascii="Verdana" w:hAnsi="Verdana"/>
                <w:b/>
                <w:sz w:val="16"/>
                <w:szCs w:val="16"/>
              </w:rPr>
              <w:t>Página</w:t>
            </w:r>
            <w:proofErr w:type="spellEnd"/>
          </w:p>
        </w:tc>
      </w:tr>
      <w:tr w:rsidR="0041755F" w:rsidRPr="00F47912" w:rsidTr="0041755F">
        <w:trPr>
          <w:jc w:val="center"/>
        </w:trPr>
        <w:tc>
          <w:tcPr>
            <w:tcW w:w="6312" w:type="dxa"/>
            <w:tcBorders>
              <w:top w:val="single" w:sz="4" w:space="0" w:color="auto"/>
              <w:left w:val="nil"/>
              <w:bottom w:val="nil"/>
              <w:right w:val="nil"/>
            </w:tcBorders>
            <w:hideMark/>
          </w:tcPr>
          <w:p w:rsidR="0041755F" w:rsidRPr="00F47912" w:rsidRDefault="004476EE" w:rsidP="00BA78B4">
            <w:pPr>
              <w:numPr>
                <w:ilvl w:val="0"/>
                <w:numId w:val="9"/>
              </w:numPr>
              <w:spacing w:after="120" w:line="240" w:lineRule="auto"/>
              <w:jc w:val="both"/>
              <w:rPr>
                <w:rFonts w:ascii="Verdana" w:hAnsi="Verdana"/>
                <w:sz w:val="16"/>
                <w:szCs w:val="16"/>
                <w:lang w:val="es-CR"/>
              </w:rPr>
            </w:pPr>
            <w:r w:rsidRPr="00F47912">
              <w:rPr>
                <w:rFonts w:ascii="Verdana" w:hAnsi="Verdana"/>
                <w:sz w:val="16"/>
                <w:szCs w:val="16"/>
                <w:lang w:val="es-CR"/>
              </w:rPr>
              <w:t>Deber de realizar las investigaciones en la jurisdicción penal ordinaria</w:t>
            </w:r>
            <w:r w:rsidR="0041755F" w:rsidRPr="00F47912">
              <w:rPr>
                <w:rFonts w:ascii="Verdana" w:hAnsi="Verdana"/>
                <w:sz w:val="16"/>
                <w:szCs w:val="16"/>
                <w:lang w:val="es-CR"/>
              </w:rPr>
              <w:t xml:space="preserve"> </w:t>
            </w:r>
          </w:p>
        </w:tc>
        <w:tc>
          <w:tcPr>
            <w:tcW w:w="1207" w:type="dxa"/>
            <w:tcBorders>
              <w:top w:val="single" w:sz="4" w:space="0" w:color="auto"/>
              <w:left w:val="nil"/>
              <w:bottom w:val="nil"/>
              <w:right w:val="nil"/>
            </w:tcBorders>
            <w:hideMark/>
          </w:tcPr>
          <w:p w:rsidR="0041755F" w:rsidRPr="00F47912" w:rsidRDefault="00F17964" w:rsidP="00BA78B4">
            <w:pPr>
              <w:spacing w:after="120" w:line="240" w:lineRule="auto"/>
              <w:jc w:val="center"/>
              <w:rPr>
                <w:rFonts w:ascii="Verdana" w:hAnsi="Verdana"/>
                <w:sz w:val="16"/>
                <w:szCs w:val="16"/>
              </w:rPr>
            </w:pPr>
            <w:r w:rsidRPr="00F47912">
              <w:rPr>
                <w:rFonts w:ascii="Verdana" w:hAnsi="Verdana"/>
                <w:sz w:val="16"/>
                <w:szCs w:val="16"/>
              </w:rPr>
              <w:t>4</w:t>
            </w:r>
          </w:p>
        </w:tc>
      </w:tr>
      <w:tr w:rsidR="0041755F" w:rsidRPr="00F47912" w:rsidTr="0041755F">
        <w:trPr>
          <w:jc w:val="center"/>
        </w:trPr>
        <w:tc>
          <w:tcPr>
            <w:tcW w:w="6312" w:type="dxa"/>
            <w:hideMark/>
          </w:tcPr>
          <w:p w:rsidR="0041755F" w:rsidRPr="00F47912" w:rsidRDefault="004476EE" w:rsidP="00BA78B4">
            <w:pPr>
              <w:pStyle w:val="Prrafodelista"/>
              <w:numPr>
                <w:ilvl w:val="0"/>
                <w:numId w:val="9"/>
              </w:numPr>
              <w:autoSpaceDE w:val="0"/>
              <w:autoSpaceDN w:val="0"/>
              <w:adjustRightInd w:val="0"/>
              <w:spacing w:after="0" w:line="240" w:lineRule="auto"/>
              <w:contextualSpacing w:val="0"/>
              <w:jc w:val="both"/>
              <w:rPr>
                <w:rFonts w:ascii="Verdana" w:hAnsi="Verdana" w:cs="Arial"/>
                <w:i/>
                <w:sz w:val="16"/>
                <w:szCs w:val="16"/>
              </w:rPr>
            </w:pPr>
            <w:r w:rsidRPr="00F47912">
              <w:rPr>
                <w:rFonts w:ascii="Verdana" w:hAnsi="Verdana" w:cs="Arial"/>
                <w:i/>
                <w:sz w:val="16"/>
                <w:szCs w:val="16"/>
              </w:rPr>
              <w:t xml:space="preserve">Pago de los intereses moratorios en relación con los pagos realizados </w:t>
            </w:r>
            <w:r w:rsidRPr="00F47912">
              <w:rPr>
                <w:rFonts w:ascii="Verdana" w:hAnsi="Verdana" w:cs="Arial"/>
                <w:i/>
                <w:sz w:val="16"/>
                <w:szCs w:val="16"/>
              </w:rPr>
              <w:lastRenderedPageBreak/>
              <w:t>por concepto de indemnizaciones por daño material e inmaterial</w:t>
            </w:r>
          </w:p>
        </w:tc>
        <w:tc>
          <w:tcPr>
            <w:tcW w:w="1207" w:type="dxa"/>
            <w:hideMark/>
          </w:tcPr>
          <w:p w:rsidR="0041755F" w:rsidRPr="00F47912" w:rsidRDefault="0041755F" w:rsidP="00BA78B4">
            <w:pPr>
              <w:spacing w:after="0" w:line="240" w:lineRule="auto"/>
              <w:jc w:val="center"/>
              <w:rPr>
                <w:rFonts w:ascii="Verdana" w:hAnsi="Verdana"/>
                <w:sz w:val="16"/>
                <w:szCs w:val="16"/>
                <w:lang w:val="es-CR"/>
              </w:rPr>
            </w:pPr>
          </w:p>
          <w:p w:rsidR="00F17964" w:rsidRPr="00F47912" w:rsidRDefault="00F17964" w:rsidP="00BA78B4">
            <w:pPr>
              <w:spacing w:after="0" w:line="240" w:lineRule="auto"/>
              <w:jc w:val="center"/>
              <w:rPr>
                <w:rFonts w:ascii="Verdana" w:hAnsi="Verdana"/>
                <w:sz w:val="16"/>
                <w:szCs w:val="16"/>
              </w:rPr>
            </w:pPr>
            <w:r w:rsidRPr="00F47912">
              <w:rPr>
                <w:rFonts w:ascii="Verdana" w:hAnsi="Verdana"/>
                <w:sz w:val="16"/>
                <w:szCs w:val="16"/>
              </w:rPr>
              <w:lastRenderedPageBreak/>
              <w:t>7</w:t>
            </w:r>
          </w:p>
        </w:tc>
      </w:tr>
    </w:tbl>
    <w:p w:rsidR="004476EE" w:rsidRPr="00B929CA" w:rsidRDefault="004476EE" w:rsidP="003B508B">
      <w:pPr>
        <w:pStyle w:val="Default"/>
        <w:ind w:left="1066"/>
        <w:jc w:val="both"/>
        <w:rPr>
          <w:b/>
          <w:i/>
          <w:sz w:val="20"/>
          <w:szCs w:val="20"/>
        </w:rPr>
      </w:pPr>
    </w:p>
    <w:p w:rsidR="00C228C3" w:rsidRPr="00F17964" w:rsidRDefault="00C228C3" w:rsidP="00B929CA">
      <w:pPr>
        <w:pStyle w:val="Default"/>
        <w:numPr>
          <w:ilvl w:val="0"/>
          <w:numId w:val="3"/>
        </w:numPr>
        <w:spacing w:before="120" w:after="120"/>
        <w:ind w:left="1066"/>
        <w:jc w:val="both"/>
        <w:outlineLvl w:val="0"/>
        <w:rPr>
          <w:b/>
          <w:i/>
          <w:sz w:val="20"/>
          <w:szCs w:val="20"/>
        </w:rPr>
      </w:pPr>
      <w:r w:rsidRPr="00F17964">
        <w:rPr>
          <w:b/>
          <w:i/>
          <w:sz w:val="20"/>
          <w:szCs w:val="20"/>
        </w:rPr>
        <w:t>Deber de realizar investigaciones en la jurisdicción penal ordinaria</w:t>
      </w:r>
    </w:p>
    <w:p w:rsidR="00C228C3" w:rsidRPr="00F17964" w:rsidRDefault="00C228C3" w:rsidP="0071315E">
      <w:pPr>
        <w:pStyle w:val="Default"/>
        <w:spacing w:before="120" w:after="120"/>
        <w:ind w:left="706"/>
        <w:jc w:val="both"/>
        <w:rPr>
          <w:i/>
          <w:color w:val="auto"/>
          <w:sz w:val="20"/>
          <w:szCs w:val="20"/>
        </w:rPr>
      </w:pPr>
      <w:r w:rsidRPr="00F17964">
        <w:rPr>
          <w:i/>
          <w:color w:val="auto"/>
          <w:sz w:val="20"/>
          <w:szCs w:val="20"/>
        </w:rPr>
        <w:t>A.1) Medida ordenada por la Corte y supervisión realizada en resoluciones anteriores</w:t>
      </w:r>
    </w:p>
    <w:p w:rsidR="00C625E7" w:rsidRDefault="00C228C3" w:rsidP="00C625E7">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sz w:val="20"/>
        </w:rPr>
        <w:t>En el punto dispositivo sexto y en los párrafos 148 y 149 de la Sentencia, la Corte, tomando en cuenta las violaciones e incumplimientos declarados en el presente caso (</w:t>
      </w:r>
      <w:r w:rsidRPr="00F17964">
        <w:rPr>
          <w:rFonts w:ascii="Verdana" w:hAnsi="Verdana"/>
          <w:i/>
          <w:sz w:val="20"/>
        </w:rPr>
        <w:t xml:space="preserve">supra </w:t>
      </w:r>
      <w:r w:rsidRPr="00F17964">
        <w:rPr>
          <w:rFonts w:ascii="Verdana" w:hAnsi="Verdana"/>
          <w:sz w:val="20"/>
        </w:rPr>
        <w:t>Visto 1), ordenó que el Estado “debe realizar inmediatamente las debidas diligencias y utilizar todos los medios disponibles para hacer expedita la investigación y los procedimientos respectivos en la jurisdicción penal ordinaria para identificar, enjuiciar y, en su caso, sancionar a los responsables […], y así evitar la repetición de hechos como los presentes”. Además, dispuso que Ecuador “debe satisfacer el derecho a la verdad de los familiares de las víctimas y asegurar que ellos tengan pleno acceso y capacidad de actuar en todas las etapas e instancias de dichas investigaciones y procesos, de acuerdo con el derecho interno y las normas de la Convención Americana”.</w:t>
      </w:r>
      <w:r w:rsidRPr="00F17964">
        <w:rPr>
          <w:sz w:val="20"/>
        </w:rPr>
        <w:t xml:space="preserve"> </w:t>
      </w:r>
    </w:p>
    <w:p w:rsidR="00C228C3" w:rsidRPr="00816C8A" w:rsidRDefault="00C228C3" w:rsidP="007F4C29">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C625E7">
        <w:rPr>
          <w:rFonts w:ascii="Verdana" w:hAnsi="Verdana"/>
          <w:sz w:val="20"/>
          <w:szCs w:val="20"/>
        </w:rPr>
        <w:t>En las Resoluciones de supervisión de cumplimiento (</w:t>
      </w:r>
      <w:r w:rsidRPr="00C625E7">
        <w:rPr>
          <w:rFonts w:ascii="Verdana" w:hAnsi="Verdana"/>
          <w:i/>
          <w:sz w:val="20"/>
          <w:szCs w:val="20"/>
        </w:rPr>
        <w:t>supra</w:t>
      </w:r>
      <w:r w:rsidRPr="00C625E7">
        <w:rPr>
          <w:rFonts w:ascii="Verdana" w:hAnsi="Verdana"/>
          <w:sz w:val="20"/>
          <w:szCs w:val="20"/>
        </w:rPr>
        <w:t xml:space="preserve"> Visto 2) se hizo constar, con base en lo informado </w:t>
      </w:r>
      <w:r w:rsidR="00B929CA">
        <w:rPr>
          <w:rFonts w:ascii="Verdana" w:hAnsi="Verdana"/>
          <w:sz w:val="20"/>
          <w:szCs w:val="20"/>
        </w:rPr>
        <w:t>por las partes</w:t>
      </w:r>
      <w:r w:rsidRPr="00C625E7">
        <w:rPr>
          <w:rFonts w:ascii="Verdana" w:hAnsi="Verdana"/>
          <w:sz w:val="20"/>
          <w:szCs w:val="20"/>
        </w:rPr>
        <w:t>, que en septiembre de 1999 la Fiscalía General recibió una denuncia sobre los hechos</w:t>
      </w:r>
      <w:r w:rsidR="005F3763" w:rsidRPr="00C625E7">
        <w:rPr>
          <w:rFonts w:ascii="Verdana" w:hAnsi="Verdana"/>
          <w:sz w:val="20"/>
          <w:szCs w:val="20"/>
        </w:rPr>
        <w:t>.</w:t>
      </w:r>
      <w:r w:rsidRPr="00C625E7">
        <w:rPr>
          <w:rFonts w:ascii="Verdana" w:hAnsi="Verdana"/>
          <w:sz w:val="20"/>
          <w:szCs w:val="20"/>
        </w:rPr>
        <w:t xml:space="preserve"> En aquel entonces, el monopolio de la investigación correspondía a los jueces penales. El Juez Noveno de lo Penal del Guayas, a cargo de esta investigación, habría extraviado el expediente de la misma, y decretado su prescripción en el 2007</w:t>
      </w:r>
      <w:r w:rsidR="00C625E7">
        <w:rPr>
          <w:rStyle w:val="Refdenotaalpie"/>
          <w:rFonts w:ascii="Verdana" w:hAnsi="Verdana"/>
          <w:sz w:val="20"/>
          <w:szCs w:val="20"/>
        </w:rPr>
        <w:footnoteReference w:id="18"/>
      </w:r>
      <w:r w:rsidRPr="00C625E7">
        <w:rPr>
          <w:rFonts w:ascii="Verdana" w:hAnsi="Verdana"/>
          <w:sz w:val="20"/>
          <w:szCs w:val="20"/>
        </w:rPr>
        <w:t xml:space="preserve">. </w:t>
      </w:r>
      <w:r w:rsidR="00816C8A" w:rsidRPr="00816C8A">
        <w:rPr>
          <w:rFonts w:ascii="Verdana" w:hAnsi="Verdana"/>
          <w:sz w:val="20"/>
          <w:szCs w:val="20"/>
        </w:rPr>
        <w:t>E</w:t>
      </w:r>
      <w:r w:rsidRPr="00816C8A">
        <w:rPr>
          <w:rFonts w:ascii="Verdana" w:hAnsi="Verdana"/>
          <w:sz w:val="20"/>
          <w:szCs w:val="20"/>
        </w:rPr>
        <w:t xml:space="preserve">n octubre de </w:t>
      </w:r>
      <w:r w:rsidR="00816C8A" w:rsidRPr="00816C8A">
        <w:rPr>
          <w:rFonts w:ascii="Verdana" w:hAnsi="Verdana"/>
          <w:sz w:val="20"/>
          <w:szCs w:val="20"/>
        </w:rPr>
        <w:t>ese año</w:t>
      </w:r>
      <w:r w:rsidRPr="00816C8A">
        <w:rPr>
          <w:rFonts w:ascii="Verdana" w:hAnsi="Verdana"/>
          <w:sz w:val="20"/>
          <w:szCs w:val="20"/>
        </w:rPr>
        <w:t xml:space="preserve"> se presentó una denuncia ant</w:t>
      </w:r>
      <w:r w:rsidR="00B929CA">
        <w:rPr>
          <w:rFonts w:ascii="Verdana" w:hAnsi="Verdana"/>
          <w:sz w:val="20"/>
          <w:szCs w:val="20"/>
        </w:rPr>
        <w:t xml:space="preserve">e el Ministro Fiscal General del Estado </w:t>
      </w:r>
      <w:r w:rsidRPr="00816C8A">
        <w:rPr>
          <w:rFonts w:ascii="Verdana" w:hAnsi="Verdana"/>
          <w:sz w:val="20"/>
          <w:szCs w:val="20"/>
        </w:rPr>
        <w:t>a fin de que se iniciara una indagación previa para descubrir, enjuiciar y sancionar a los responsables de las</w:t>
      </w:r>
      <w:r w:rsidRPr="007F4C29">
        <w:rPr>
          <w:rFonts w:ascii="Verdana" w:hAnsi="Verdana"/>
          <w:sz w:val="20"/>
          <w:szCs w:val="20"/>
        </w:rPr>
        <w:t xml:space="preserve"> ejecuciones extrajudiciales de las víctimas de este caso</w:t>
      </w:r>
      <w:r w:rsidR="00816C8A">
        <w:rPr>
          <w:rFonts w:ascii="Verdana" w:hAnsi="Verdana"/>
          <w:sz w:val="20"/>
          <w:szCs w:val="20"/>
        </w:rPr>
        <w:t>. Según lo afirmado por e</w:t>
      </w:r>
      <w:r w:rsidRPr="00816C8A">
        <w:rPr>
          <w:rFonts w:ascii="Verdana" w:hAnsi="Verdana"/>
          <w:sz w:val="20"/>
          <w:szCs w:val="20"/>
        </w:rPr>
        <w:t>l Estado</w:t>
      </w:r>
      <w:r w:rsidR="00816C8A">
        <w:rPr>
          <w:rFonts w:ascii="Verdana" w:hAnsi="Verdana"/>
          <w:sz w:val="20"/>
          <w:szCs w:val="20"/>
        </w:rPr>
        <w:t xml:space="preserve">, casi tres años después, en agosto de 2010 se </w:t>
      </w:r>
      <w:r w:rsidR="00C625E7">
        <w:rPr>
          <w:rFonts w:ascii="Verdana" w:hAnsi="Verdana"/>
          <w:sz w:val="20"/>
          <w:szCs w:val="20"/>
        </w:rPr>
        <w:t xml:space="preserve">habría </w:t>
      </w:r>
      <w:r w:rsidR="00816C8A">
        <w:rPr>
          <w:rFonts w:ascii="Verdana" w:hAnsi="Verdana"/>
          <w:sz w:val="20"/>
          <w:szCs w:val="20"/>
        </w:rPr>
        <w:t>dispu</w:t>
      </w:r>
      <w:r w:rsidR="00C625E7">
        <w:rPr>
          <w:rFonts w:ascii="Verdana" w:hAnsi="Verdana"/>
          <w:sz w:val="20"/>
          <w:szCs w:val="20"/>
        </w:rPr>
        <w:t>esto</w:t>
      </w:r>
      <w:r w:rsidRPr="00816C8A">
        <w:rPr>
          <w:rFonts w:ascii="Verdana" w:hAnsi="Verdana"/>
          <w:sz w:val="20"/>
          <w:szCs w:val="20"/>
        </w:rPr>
        <w:t xml:space="preserve"> la apertura de la indagación previa</w:t>
      </w:r>
      <w:r w:rsidR="00C625E7">
        <w:rPr>
          <w:rStyle w:val="Refdenotaalpie"/>
          <w:rFonts w:ascii="Verdana" w:hAnsi="Verdana"/>
          <w:sz w:val="20"/>
          <w:szCs w:val="20"/>
        </w:rPr>
        <w:footnoteReference w:id="19"/>
      </w:r>
      <w:r w:rsidRPr="00816C8A">
        <w:rPr>
          <w:rFonts w:ascii="Verdana" w:hAnsi="Verdana"/>
          <w:sz w:val="20"/>
          <w:szCs w:val="20"/>
        </w:rPr>
        <w:t>.</w:t>
      </w:r>
    </w:p>
    <w:p w:rsidR="00C228C3" w:rsidRPr="00F17964" w:rsidRDefault="00C228C3"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sz w:val="20"/>
          <w:szCs w:val="20"/>
        </w:rPr>
        <w:t>Adicionalmente, según lo indicado por Ecuador, se dejó constando que se coordinaron acciones con la Defensoría del Pueblo para que ésta presentara una “acción por incumplimiento”, prevista en el artículo 93 de la Constitución, contra la Fiscalía General del Estado por la falta de investigación del caso, de modo que la Corte Constitucional declare incumplida esta Sentencia de la Corte Interamericana y ordene las medidas necesarias para darle cumplimiento.</w:t>
      </w:r>
    </w:p>
    <w:p w:rsidR="00C228C3" w:rsidRPr="00C625E7" w:rsidRDefault="00C228C3"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sz w:val="20"/>
          <w:szCs w:val="20"/>
        </w:rPr>
        <w:t xml:space="preserve">En ambas resoluciones de supervisión la Corte evidenció la falta de avances en la investigación </w:t>
      </w:r>
      <w:r w:rsidR="00897850">
        <w:rPr>
          <w:rFonts w:ascii="Verdana" w:hAnsi="Verdana"/>
          <w:sz w:val="20"/>
          <w:szCs w:val="20"/>
        </w:rPr>
        <w:t xml:space="preserve">penal </w:t>
      </w:r>
      <w:r w:rsidRPr="00F17964">
        <w:rPr>
          <w:rFonts w:ascii="Verdana" w:hAnsi="Verdana"/>
          <w:sz w:val="20"/>
          <w:szCs w:val="20"/>
        </w:rPr>
        <w:t>de los hechos del presente caso, así como la falta de acceso a la justicia de las víctimas de este caso, y consideró que la situación de impunidad verificada en la Sentencia se mantenía</w:t>
      </w:r>
      <w:r w:rsidR="00A379FB">
        <w:rPr>
          <w:rFonts w:ascii="Verdana" w:hAnsi="Verdana"/>
          <w:sz w:val="20"/>
          <w:szCs w:val="20"/>
        </w:rPr>
        <w:t>.</w:t>
      </w:r>
      <w:r w:rsidRPr="00F17964">
        <w:rPr>
          <w:rFonts w:ascii="Verdana" w:hAnsi="Verdana"/>
          <w:sz w:val="20"/>
          <w:szCs w:val="20"/>
        </w:rPr>
        <w:t xml:space="preserve"> </w:t>
      </w:r>
      <w:r w:rsidR="00897850">
        <w:rPr>
          <w:rFonts w:ascii="Verdana" w:hAnsi="Verdana"/>
          <w:sz w:val="20"/>
          <w:szCs w:val="20"/>
        </w:rPr>
        <w:t>La Corte sostuvo que</w:t>
      </w:r>
      <w:r w:rsidRPr="00F17964">
        <w:rPr>
          <w:rFonts w:ascii="Verdana" w:hAnsi="Verdana"/>
          <w:sz w:val="20"/>
          <w:szCs w:val="20"/>
        </w:rPr>
        <w:t xml:space="preserve"> “el Estado continua […] incumpliendo con la obligación de garantizar una investigación de lo ocurrido”. En ese sentido, en </w:t>
      </w:r>
      <w:r w:rsidR="0020293A" w:rsidRPr="00F17964">
        <w:rPr>
          <w:rFonts w:ascii="Verdana" w:hAnsi="Verdana"/>
          <w:sz w:val="20"/>
          <w:szCs w:val="20"/>
        </w:rPr>
        <w:t xml:space="preserve">la </w:t>
      </w:r>
      <w:r w:rsidRPr="00F17964">
        <w:rPr>
          <w:rFonts w:ascii="Verdana" w:hAnsi="Verdana"/>
          <w:sz w:val="20"/>
          <w:szCs w:val="20"/>
        </w:rPr>
        <w:t xml:space="preserve">resolución de noviembre de 2010, el Tribunal reiteró que “es indispensable que el Estado continúe presentando información actualizada, detallada y completa sobre los avances de la investigación en sede penal, si la referida decisión que declaró la prescripción fue revocada, así como sobre las investigaciones complementarias que han sido abiertas”. </w:t>
      </w:r>
      <w:r w:rsidR="009670A2">
        <w:rPr>
          <w:rFonts w:ascii="Verdana" w:hAnsi="Verdana"/>
          <w:sz w:val="20"/>
          <w:szCs w:val="20"/>
        </w:rPr>
        <w:t xml:space="preserve">También solicitó al </w:t>
      </w:r>
      <w:r w:rsidRPr="00F17964">
        <w:rPr>
          <w:rFonts w:ascii="Verdana" w:hAnsi="Verdana"/>
          <w:sz w:val="20"/>
          <w:szCs w:val="20"/>
        </w:rPr>
        <w:t xml:space="preserve">Estado </w:t>
      </w:r>
      <w:r w:rsidR="009670A2">
        <w:rPr>
          <w:rFonts w:ascii="Verdana" w:hAnsi="Verdana"/>
          <w:sz w:val="20"/>
          <w:szCs w:val="20"/>
        </w:rPr>
        <w:t xml:space="preserve">que </w:t>
      </w:r>
      <w:r w:rsidRPr="00F17964">
        <w:rPr>
          <w:rFonts w:ascii="Verdana" w:hAnsi="Verdana"/>
          <w:sz w:val="20"/>
          <w:szCs w:val="20"/>
        </w:rPr>
        <w:t>“informar</w:t>
      </w:r>
      <w:r w:rsidR="00A379FB">
        <w:rPr>
          <w:rFonts w:ascii="Verdana" w:hAnsi="Verdana"/>
          <w:sz w:val="20"/>
          <w:szCs w:val="20"/>
        </w:rPr>
        <w:t>[</w:t>
      </w:r>
      <w:r w:rsidR="009670A2">
        <w:rPr>
          <w:rFonts w:ascii="Verdana" w:hAnsi="Verdana"/>
          <w:sz w:val="20"/>
          <w:szCs w:val="20"/>
        </w:rPr>
        <w:t>a</w:t>
      </w:r>
      <w:r w:rsidR="00A379FB">
        <w:rPr>
          <w:rFonts w:ascii="Verdana" w:hAnsi="Verdana"/>
          <w:sz w:val="20"/>
          <w:szCs w:val="20"/>
        </w:rPr>
        <w:t>]</w:t>
      </w:r>
      <w:r w:rsidRPr="00F17964">
        <w:rPr>
          <w:rFonts w:ascii="Verdana" w:hAnsi="Verdana"/>
          <w:sz w:val="20"/>
          <w:szCs w:val="20"/>
        </w:rPr>
        <w:t xml:space="preserve"> acerca de los mecanismos legales a través de los cuales los familiares de las víctimas tendrían acceso y participación en los procesos penales”.</w:t>
      </w:r>
    </w:p>
    <w:p w:rsidR="00C228C3" w:rsidRPr="00F17964" w:rsidRDefault="00C228C3" w:rsidP="00E17F2C">
      <w:pPr>
        <w:pStyle w:val="Default"/>
        <w:tabs>
          <w:tab w:val="left" w:pos="1418"/>
        </w:tabs>
        <w:spacing w:before="120" w:after="120"/>
        <w:ind w:left="709"/>
        <w:jc w:val="both"/>
        <w:rPr>
          <w:i/>
          <w:color w:val="auto"/>
          <w:sz w:val="20"/>
          <w:szCs w:val="20"/>
        </w:rPr>
      </w:pPr>
      <w:r w:rsidRPr="00F17964">
        <w:rPr>
          <w:i/>
          <w:color w:val="auto"/>
          <w:sz w:val="20"/>
          <w:szCs w:val="20"/>
        </w:rPr>
        <w:t xml:space="preserve">A.2) </w:t>
      </w:r>
      <w:r w:rsidR="007D663E" w:rsidRPr="00F17964">
        <w:rPr>
          <w:i/>
          <w:color w:val="auto"/>
          <w:sz w:val="20"/>
          <w:szCs w:val="20"/>
        </w:rPr>
        <w:t>Consideraciones de la Corte</w:t>
      </w:r>
      <w:r w:rsidRPr="00F17964">
        <w:rPr>
          <w:i/>
          <w:color w:val="auto"/>
          <w:sz w:val="20"/>
          <w:szCs w:val="20"/>
        </w:rPr>
        <w:t xml:space="preserve"> </w:t>
      </w:r>
    </w:p>
    <w:p w:rsidR="007D663E" w:rsidRPr="00F17964" w:rsidRDefault="007D663E" w:rsidP="00334A0B">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cs="Arial"/>
          <w:sz w:val="20"/>
          <w:szCs w:val="20"/>
        </w:rPr>
        <w:lastRenderedPageBreak/>
        <w:t xml:space="preserve">Con respecto a la investigación penal de los hechos en la jurisdicción ordinaria, </w:t>
      </w:r>
      <w:r w:rsidR="00124459">
        <w:rPr>
          <w:rFonts w:ascii="Verdana" w:hAnsi="Verdana" w:cs="Arial"/>
          <w:sz w:val="20"/>
          <w:szCs w:val="20"/>
        </w:rPr>
        <w:t xml:space="preserve">la información más reciente aportada por </w:t>
      </w:r>
      <w:r w:rsidR="00334A0B" w:rsidRPr="00F17964">
        <w:rPr>
          <w:rFonts w:ascii="Verdana" w:hAnsi="Verdana" w:cs="Arial"/>
          <w:sz w:val="20"/>
          <w:szCs w:val="20"/>
        </w:rPr>
        <w:t xml:space="preserve">el Estado </w:t>
      </w:r>
      <w:r w:rsidR="00124459">
        <w:rPr>
          <w:rFonts w:ascii="Verdana" w:hAnsi="Verdana" w:cs="Arial"/>
          <w:sz w:val="20"/>
          <w:szCs w:val="20"/>
        </w:rPr>
        <w:t>cons</w:t>
      </w:r>
      <w:r w:rsidR="00E97409">
        <w:rPr>
          <w:rFonts w:ascii="Verdana" w:hAnsi="Verdana" w:cs="Arial"/>
          <w:sz w:val="20"/>
          <w:szCs w:val="20"/>
        </w:rPr>
        <w:t>is</w:t>
      </w:r>
      <w:r w:rsidR="00124459">
        <w:rPr>
          <w:rFonts w:ascii="Verdana" w:hAnsi="Verdana" w:cs="Arial"/>
          <w:sz w:val="20"/>
          <w:szCs w:val="20"/>
        </w:rPr>
        <w:t xml:space="preserve">te en </w:t>
      </w:r>
      <w:r w:rsidR="00334A0B" w:rsidRPr="00F17964">
        <w:rPr>
          <w:rFonts w:ascii="Verdana" w:hAnsi="Verdana" w:cs="Arial"/>
          <w:sz w:val="20"/>
          <w:szCs w:val="20"/>
        </w:rPr>
        <w:t xml:space="preserve">un </w:t>
      </w:r>
      <w:r w:rsidR="00F35346" w:rsidRPr="00F17964">
        <w:rPr>
          <w:rFonts w:ascii="Verdana" w:hAnsi="Verdana" w:cs="Arial"/>
          <w:sz w:val="20"/>
          <w:szCs w:val="20"/>
        </w:rPr>
        <w:t>oficio</w:t>
      </w:r>
      <w:r w:rsidR="00334A0B" w:rsidRPr="00F17964">
        <w:rPr>
          <w:rFonts w:ascii="Verdana" w:hAnsi="Verdana" w:cs="Arial"/>
          <w:sz w:val="20"/>
          <w:szCs w:val="20"/>
        </w:rPr>
        <w:t xml:space="preserve"> </w:t>
      </w:r>
      <w:r w:rsidR="00532ADF">
        <w:rPr>
          <w:rFonts w:ascii="Verdana" w:hAnsi="Verdana" w:cs="Arial"/>
          <w:sz w:val="20"/>
          <w:szCs w:val="20"/>
        </w:rPr>
        <w:t xml:space="preserve">de </w:t>
      </w:r>
      <w:r w:rsidR="00334A0B" w:rsidRPr="00F17964">
        <w:rPr>
          <w:rFonts w:ascii="Verdana" w:hAnsi="Verdana" w:cs="Arial"/>
          <w:sz w:val="20"/>
          <w:szCs w:val="20"/>
        </w:rPr>
        <w:t xml:space="preserve">marzo de 2016 </w:t>
      </w:r>
      <w:r w:rsidR="00532ADF">
        <w:rPr>
          <w:rFonts w:ascii="Verdana" w:hAnsi="Verdana" w:cs="Arial"/>
          <w:sz w:val="20"/>
          <w:szCs w:val="20"/>
        </w:rPr>
        <w:t xml:space="preserve">suscrito </w:t>
      </w:r>
      <w:r w:rsidR="00334A0B" w:rsidRPr="00F17964">
        <w:rPr>
          <w:rFonts w:ascii="Verdana" w:hAnsi="Verdana" w:cs="Arial"/>
          <w:sz w:val="20"/>
          <w:szCs w:val="20"/>
        </w:rPr>
        <w:t xml:space="preserve">por el Director de </w:t>
      </w:r>
      <w:r w:rsidR="00FC4A53" w:rsidRPr="00F17964">
        <w:rPr>
          <w:rFonts w:ascii="Verdana" w:hAnsi="Verdana" w:cs="Arial"/>
          <w:sz w:val="20"/>
          <w:szCs w:val="20"/>
        </w:rPr>
        <w:t>la “Comisión de la Verdad y Derechos Humanos de la Fiscalía General del Estado”</w:t>
      </w:r>
      <w:r w:rsidR="00334A0B" w:rsidRPr="00F17964">
        <w:rPr>
          <w:rFonts w:ascii="Verdana" w:hAnsi="Verdana" w:cs="Arial"/>
          <w:sz w:val="20"/>
          <w:szCs w:val="20"/>
        </w:rPr>
        <w:t xml:space="preserve">, la cual está </w:t>
      </w:r>
      <w:r w:rsidR="00FC4A53" w:rsidRPr="00F17964">
        <w:rPr>
          <w:rFonts w:ascii="Verdana" w:hAnsi="Verdana" w:cs="Arial"/>
          <w:sz w:val="20"/>
          <w:szCs w:val="20"/>
        </w:rPr>
        <w:t xml:space="preserve">a cargo </w:t>
      </w:r>
      <w:r w:rsidR="005C2594" w:rsidRPr="00F17964">
        <w:rPr>
          <w:rFonts w:ascii="Verdana" w:hAnsi="Verdana" w:cs="Arial"/>
          <w:sz w:val="20"/>
          <w:szCs w:val="20"/>
        </w:rPr>
        <w:t>de</w:t>
      </w:r>
      <w:r w:rsidR="00FC4A53" w:rsidRPr="00F17964">
        <w:rPr>
          <w:rFonts w:ascii="Verdana" w:hAnsi="Verdana" w:cs="Arial"/>
          <w:sz w:val="20"/>
          <w:szCs w:val="20"/>
        </w:rPr>
        <w:t xml:space="preserve"> la investigación</w:t>
      </w:r>
      <w:r w:rsidR="00334A0B" w:rsidRPr="00F17964">
        <w:rPr>
          <w:rStyle w:val="Refdenotaalpie"/>
          <w:rFonts w:ascii="Verdana" w:hAnsi="Verdana" w:cs="Arial"/>
          <w:sz w:val="20"/>
          <w:szCs w:val="20"/>
        </w:rPr>
        <w:footnoteReference w:id="20"/>
      </w:r>
      <w:r w:rsidR="00334A0B" w:rsidRPr="00F17964">
        <w:rPr>
          <w:rFonts w:ascii="Verdana" w:hAnsi="Verdana" w:cs="Arial"/>
          <w:sz w:val="20"/>
          <w:szCs w:val="20"/>
        </w:rPr>
        <w:t xml:space="preserve">. </w:t>
      </w:r>
      <w:r w:rsidR="00532ADF">
        <w:rPr>
          <w:rFonts w:ascii="Verdana" w:hAnsi="Verdana" w:cs="Arial"/>
          <w:sz w:val="20"/>
          <w:szCs w:val="20"/>
        </w:rPr>
        <w:t xml:space="preserve">En ese documento se </w:t>
      </w:r>
      <w:r w:rsidR="00F35346" w:rsidRPr="00F17964">
        <w:rPr>
          <w:rFonts w:ascii="Verdana" w:hAnsi="Verdana" w:cs="Arial"/>
          <w:sz w:val="20"/>
          <w:szCs w:val="20"/>
        </w:rPr>
        <w:t>indica que</w:t>
      </w:r>
      <w:r w:rsidR="002504E5" w:rsidRPr="00F17964">
        <w:rPr>
          <w:rFonts w:ascii="Verdana" w:hAnsi="Verdana" w:cs="Arial"/>
          <w:sz w:val="20"/>
          <w:szCs w:val="20"/>
        </w:rPr>
        <w:t xml:space="preserve"> </w:t>
      </w:r>
      <w:r w:rsidRPr="00F17964">
        <w:rPr>
          <w:rFonts w:ascii="Verdana" w:hAnsi="Verdana" w:cs="Arial"/>
          <w:sz w:val="20"/>
          <w:szCs w:val="20"/>
        </w:rPr>
        <w:t xml:space="preserve">el </w:t>
      </w:r>
      <w:r w:rsidR="00FC4A53" w:rsidRPr="00F17964">
        <w:rPr>
          <w:rFonts w:ascii="Verdana" w:hAnsi="Verdana" w:cs="Arial"/>
          <w:sz w:val="20"/>
          <w:szCs w:val="20"/>
        </w:rPr>
        <w:t>6</w:t>
      </w:r>
      <w:r w:rsidRPr="00F17964">
        <w:rPr>
          <w:rFonts w:ascii="Verdana" w:hAnsi="Verdana" w:cs="Arial"/>
          <w:sz w:val="20"/>
          <w:szCs w:val="20"/>
        </w:rPr>
        <w:t xml:space="preserve"> de </w:t>
      </w:r>
      <w:r w:rsidR="00FC4A53" w:rsidRPr="00F17964">
        <w:rPr>
          <w:rFonts w:ascii="Verdana" w:hAnsi="Verdana" w:cs="Arial"/>
          <w:sz w:val="20"/>
          <w:szCs w:val="20"/>
        </w:rPr>
        <w:t>octubre</w:t>
      </w:r>
      <w:r w:rsidRPr="00F17964">
        <w:rPr>
          <w:rFonts w:ascii="Verdana" w:hAnsi="Verdana" w:cs="Arial"/>
          <w:sz w:val="20"/>
          <w:szCs w:val="20"/>
        </w:rPr>
        <w:t xml:space="preserve"> de 201</w:t>
      </w:r>
      <w:r w:rsidR="00FC4A53" w:rsidRPr="00F17964">
        <w:rPr>
          <w:rFonts w:ascii="Verdana" w:hAnsi="Verdana" w:cs="Arial"/>
          <w:sz w:val="20"/>
          <w:szCs w:val="20"/>
        </w:rPr>
        <w:t>0</w:t>
      </w:r>
      <w:r w:rsidRPr="00F17964">
        <w:rPr>
          <w:rFonts w:ascii="Verdana" w:hAnsi="Verdana" w:cs="Arial"/>
          <w:sz w:val="20"/>
          <w:szCs w:val="20"/>
        </w:rPr>
        <w:t xml:space="preserve"> “</w:t>
      </w:r>
      <w:proofErr w:type="gramStart"/>
      <w:r w:rsidRPr="00F17964">
        <w:rPr>
          <w:rFonts w:ascii="Verdana" w:hAnsi="Verdana" w:cs="Arial"/>
          <w:sz w:val="20"/>
          <w:szCs w:val="20"/>
        </w:rPr>
        <w:t>d[</w:t>
      </w:r>
      <w:proofErr w:type="spellStart"/>
      <w:proofErr w:type="gramEnd"/>
      <w:r w:rsidRPr="00F17964">
        <w:rPr>
          <w:rFonts w:ascii="Verdana" w:hAnsi="Verdana" w:cs="Arial"/>
          <w:sz w:val="20"/>
          <w:szCs w:val="20"/>
        </w:rPr>
        <w:t>io</w:t>
      </w:r>
      <w:proofErr w:type="spellEnd"/>
      <w:r w:rsidRPr="00F17964">
        <w:rPr>
          <w:rFonts w:ascii="Verdana" w:hAnsi="Verdana" w:cs="Arial"/>
          <w:sz w:val="20"/>
          <w:szCs w:val="20"/>
        </w:rPr>
        <w:t xml:space="preserve">] inicio la etapa de indagación previa” </w:t>
      </w:r>
      <w:r w:rsidR="00FC4A53" w:rsidRPr="00F17964">
        <w:rPr>
          <w:rFonts w:ascii="Verdana" w:hAnsi="Verdana" w:cs="Arial"/>
          <w:sz w:val="20"/>
          <w:szCs w:val="20"/>
        </w:rPr>
        <w:t xml:space="preserve">(No. 53-2010) por la “detención ilegal, tortura y ejecución extrajudicial de los señores </w:t>
      </w:r>
      <w:r w:rsidR="00912FFE" w:rsidRPr="00F17964">
        <w:rPr>
          <w:rFonts w:ascii="Verdana" w:hAnsi="Verdana" w:cs="Arial"/>
          <w:sz w:val="20"/>
          <w:szCs w:val="20"/>
        </w:rPr>
        <w:t xml:space="preserve">[Wilmer] </w:t>
      </w:r>
      <w:r w:rsidR="00FC4A53" w:rsidRPr="00F17964">
        <w:rPr>
          <w:rFonts w:ascii="Verdana" w:hAnsi="Verdana" w:cs="Arial"/>
          <w:sz w:val="20"/>
          <w:szCs w:val="20"/>
        </w:rPr>
        <w:t>Zambrano Vélez, [</w:t>
      </w:r>
      <w:r w:rsidR="00FC4A53" w:rsidRPr="00F17964">
        <w:rPr>
          <w:rFonts w:ascii="Verdana" w:hAnsi="Verdana"/>
          <w:sz w:val="20"/>
          <w:szCs w:val="20"/>
        </w:rPr>
        <w:t xml:space="preserve">Segundo Olmedo y José Miguel] </w:t>
      </w:r>
      <w:r w:rsidR="00FC4A53" w:rsidRPr="00F17964">
        <w:rPr>
          <w:rFonts w:ascii="Verdana" w:hAnsi="Verdana" w:cs="Arial"/>
          <w:sz w:val="20"/>
          <w:szCs w:val="20"/>
        </w:rPr>
        <w:t xml:space="preserve">Caicedo </w:t>
      </w:r>
      <w:proofErr w:type="spellStart"/>
      <w:r w:rsidR="00FC4A53" w:rsidRPr="00F17964">
        <w:rPr>
          <w:rFonts w:ascii="Verdana" w:hAnsi="Verdana" w:cs="Arial"/>
          <w:sz w:val="20"/>
          <w:szCs w:val="20"/>
        </w:rPr>
        <w:t>Cobeña</w:t>
      </w:r>
      <w:proofErr w:type="spellEnd"/>
      <w:r w:rsidR="00FC4A53" w:rsidRPr="00F17964">
        <w:rPr>
          <w:rFonts w:ascii="Verdana" w:hAnsi="Verdana" w:cs="Arial"/>
          <w:sz w:val="20"/>
          <w:szCs w:val="20"/>
        </w:rPr>
        <w:t>”</w:t>
      </w:r>
      <w:r w:rsidR="007A57B5" w:rsidRPr="00F17964">
        <w:rPr>
          <w:rFonts w:ascii="Verdana" w:hAnsi="Verdana" w:cs="Arial"/>
          <w:sz w:val="20"/>
          <w:szCs w:val="20"/>
        </w:rPr>
        <w:t>, y que el trámite de la indagación empezó el 11 de enero de 2011</w:t>
      </w:r>
      <w:r w:rsidR="00231011" w:rsidRPr="00F17964">
        <w:rPr>
          <w:rFonts w:ascii="Verdana" w:hAnsi="Verdana" w:cs="Arial"/>
          <w:sz w:val="20"/>
          <w:szCs w:val="20"/>
        </w:rPr>
        <w:t>.</w:t>
      </w:r>
      <w:r w:rsidR="00334A0B" w:rsidRPr="00F17964">
        <w:rPr>
          <w:rFonts w:ascii="Verdana" w:hAnsi="Verdana" w:cs="Arial"/>
          <w:sz w:val="20"/>
          <w:szCs w:val="20"/>
        </w:rPr>
        <w:t xml:space="preserve"> </w:t>
      </w:r>
      <w:r w:rsidR="00A379FB">
        <w:rPr>
          <w:rFonts w:ascii="Verdana" w:hAnsi="Verdana" w:cs="Arial"/>
          <w:sz w:val="20"/>
          <w:szCs w:val="20"/>
        </w:rPr>
        <w:t>Ecuador</w:t>
      </w:r>
      <w:r w:rsidR="00231011" w:rsidRPr="00F17964">
        <w:rPr>
          <w:rFonts w:ascii="Verdana" w:hAnsi="Verdana" w:cs="Arial"/>
          <w:sz w:val="20"/>
          <w:szCs w:val="20"/>
        </w:rPr>
        <w:t xml:space="preserve"> alegó que</w:t>
      </w:r>
      <w:r w:rsidR="00532ADF">
        <w:rPr>
          <w:rFonts w:ascii="Verdana" w:hAnsi="Verdana" w:cs="Arial"/>
          <w:sz w:val="20"/>
          <w:szCs w:val="20"/>
        </w:rPr>
        <w:t>,</w:t>
      </w:r>
      <w:r w:rsidR="00231011" w:rsidRPr="00F17964">
        <w:rPr>
          <w:rFonts w:ascii="Verdana" w:hAnsi="Verdana" w:cs="Arial"/>
          <w:sz w:val="20"/>
          <w:szCs w:val="20"/>
        </w:rPr>
        <w:t xml:space="preserve"> “de conformidad con lo establecido en el artículo 215 del Código de Procedimiento </w:t>
      </w:r>
      <w:proofErr w:type="gramStart"/>
      <w:r w:rsidR="00231011" w:rsidRPr="00F17964">
        <w:rPr>
          <w:rFonts w:ascii="Verdana" w:hAnsi="Verdana" w:cs="Arial"/>
          <w:sz w:val="20"/>
          <w:szCs w:val="20"/>
        </w:rPr>
        <w:t>Penal</w:t>
      </w:r>
      <w:r w:rsidR="006534C8" w:rsidRPr="00F17964">
        <w:rPr>
          <w:rFonts w:ascii="Verdana" w:hAnsi="Verdana" w:cs="Arial"/>
          <w:sz w:val="20"/>
          <w:szCs w:val="20"/>
        </w:rPr>
        <w:t>[</w:t>
      </w:r>
      <w:proofErr w:type="gramEnd"/>
      <w:r w:rsidR="00532ADF">
        <w:rPr>
          <w:rFonts w:ascii="Verdana" w:hAnsi="Verdana" w:cs="Arial"/>
          <w:sz w:val="20"/>
          <w:szCs w:val="20"/>
        </w:rPr>
        <w:t xml:space="preserve">, </w:t>
      </w:r>
      <w:r w:rsidR="006534C8" w:rsidRPr="00F17964">
        <w:rPr>
          <w:rFonts w:ascii="Verdana" w:hAnsi="Verdana" w:cs="Arial"/>
          <w:sz w:val="20"/>
          <w:szCs w:val="20"/>
        </w:rPr>
        <w:t xml:space="preserve">la indagación previa] puede durar un año </w:t>
      </w:r>
      <w:r w:rsidR="00532ADF">
        <w:rPr>
          <w:rFonts w:ascii="Verdana" w:hAnsi="Verdana" w:cs="Arial"/>
          <w:sz w:val="20"/>
          <w:szCs w:val="20"/>
        </w:rPr>
        <w:t xml:space="preserve">y </w:t>
      </w:r>
      <w:r w:rsidR="006534C8" w:rsidRPr="00F17964">
        <w:rPr>
          <w:rFonts w:ascii="Verdana" w:hAnsi="Verdana" w:cs="Arial"/>
          <w:sz w:val="20"/>
          <w:szCs w:val="20"/>
        </w:rPr>
        <w:t>prorrogarse de ser el caso[,] así como también por su naturaleza ésta es considerada como reservada”.</w:t>
      </w:r>
      <w:r w:rsidR="006534C8" w:rsidRPr="00F17964">
        <w:rPr>
          <w:rFonts w:ascii="Verdana" w:hAnsi="Verdana" w:cs="Arial"/>
          <w:b/>
          <w:sz w:val="20"/>
          <w:szCs w:val="20"/>
        </w:rPr>
        <w:t xml:space="preserve"> </w:t>
      </w:r>
      <w:r w:rsidR="002504E5" w:rsidRPr="00F17964">
        <w:rPr>
          <w:rFonts w:ascii="Verdana" w:hAnsi="Verdana" w:cs="Arial"/>
          <w:sz w:val="20"/>
          <w:szCs w:val="20"/>
        </w:rPr>
        <w:t xml:space="preserve">Además, </w:t>
      </w:r>
      <w:r w:rsidR="00F35346" w:rsidRPr="00F17964">
        <w:rPr>
          <w:rFonts w:ascii="Verdana" w:hAnsi="Verdana" w:cs="Arial"/>
          <w:sz w:val="20"/>
          <w:szCs w:val="20"/>
        </w:rPr>
        <w:t>en el referido oficio</w:t>
      </w:r>
      <w:r w:rsidR="0033097D">
        <w:rPr>
          <w:rFonts w:ascii="Verdana" w:hAnsi="Verdana" w:cs="Arial"/>
          <w:sz w:val="20"/>
          <w:szCs w:val="20"/>
        </w:rPr>
        <w:t xml:space="preserve"> se indicó que</w:t>
      </w:r>
      <w:r w:rsidR="00F35346" w:rsidRPr="00F17964">
        <w:rPr>
          <w:rFonts w:ascii="Verdana" w:hAnsi="Verdana" w:cs="Arial"/>
          <w:sz w:val="20"/>
          <w:szCs w:val="20"/>
        </w:rPr>
        <w:t>, “[d]</w:t>
      </w:r>
      <w:proofErr w:type="spellStart"/>
      <w:r w:rsidR="00F35346" w:rsidRPr="00F17964">
        <w:rPr>
          <w:rFonts w:ascii="Verdana" w:hAnsi="Verdana" w:cs="Arial"/>
          <w:sz w:val="20"/>
          <w:szCs w:val="20"/>
        </w:rPr>
        <w:t>ada</w:t>
      </w:r>
      <w:proofErr w:type="spellEnd"/>
      <w:r w:rsidR="00F35346" w:rsidRPr="00F17964">
        <w:rPr>
          <w:rFonts w:ascii="Verdana" w:hAnsi="Verdana" w:cs="Arial"/>
          <w:sz w:val="20"/>
          <w:szCs w:val="20"/>
        </w:rPr>
        <w:t xml:space="preserve"> la reserva legal que recae sobre la indagación previa”, solamente se presentó un listado de</w:t>
      </w:r>
      <w:r w:rsidR="002504E5" w:rsidRPr="00F17964">
        <w:rPr>
          <w:rFonts w:ascii="Verdana" w:hAnsi="Verdana" w:cs="Arial"/>
          <w:sz w:val="20"/>
          <w:szCs w:val="20"/>
        </w:rPr>
        <w:t xml:space="preserve"> las </w:t>
      </w:r>
      <w:r w:rsidR="00334A0B" w:rsidRPr="00F17964">
        <w:rPr>
          <w:rFonts w:ascii="Verdana" w:hAnsi="Verdana" w:cs="Arial"/>
          <w:sz w:val="20"/>
          <w:szCs w:val="20"/>
        </w:rPr>
        <w:t>“diligencias” realizadas</w:t>
      </w:r>
      <w:r w:rsidR="00334A0B" w:rsidRPr="00F17964">
        <w:rPr>
          <w:rStyle w:val="Refdenotaalpie"/>
          <w:rFonts w:ascii="Verdana" w:hAnsi="Verdana" w:cs="Arial"/>
          <w:sz w:val="20"/>
          <w:szCs w:val="20"/>
        </w:rPr>
        <w:footnoteReference w:id="21"/>
      </w:r>
      <w:r w:rsidR="00334A0B" w:rsidRPr="00F17964">
        <w:rPr>
          <w:rFonts w:ascii="Verdana" w:hAnsi="Verdana" w:cs="Arial"/>
          <w:sz w:val="20"/>
          <w:szCs w:val="20"/>
        </w:rPr>
        <w:t xml:space="preserve"> </w:t>
      </w:r>
      <w:r w:rsidR="000B4762">
        <w:rPr>
          <w:rFonts w:ascii="Verdana" w:hAnsi="Verdana" w:cs="Arial"/>
          <w:sz w:val="20"/>
          <w:szCs w:val="20"/>
        </w:rPr>
        <w:t xml:space="preserve">desde el 2010 </w:t>
      </w:r>
      <w:r w:rsidR="00334A0B" w:rsidRPr="00F17964">
        <w:rPr>
          <w:rFonts w:ascii="Verdana" w:hAnsi="Verdana" w:cs="Arial"/>
          <w:sz w:val="20"/>
          <w:szCs w:val="20"/>
        </w:rPr>
        <w:t>y de la “documentación” recabada</w:t>
      </w:r>
      <w:r w:rsidR="00334A0B" w:rsidRPr="00F17964">
        <w:rPr>
          <w:rStyle w:val="Refdenotaalpie"/>
          <w:rFonts w:ascii="Verdana" w:hAnsi="Verdana" w:cs="Arial"/>
          <w:sz w:val="20"/>
          <w:szCs w:val="20"/>
        </w:rPr>
        <w:footnoteReference w:id="22"/>
      </w:r>
      <w:r w:rsidR="00334A0B" w:rsidRPr="00F17964">
        <w:rPr>
          <w:rFonts w:ascii="Verdana" w:hAnsi="Verdana" w:cs="Arial"/>
          <w:sz w:val="20"/>
          <w:szCs w:val="20"/>
        </w:rPr>
        <w:t xml:space="preserve"> “a fin de […] determinar la posible participación y responsabilidad [por los</w:t>
      </w:r>
      <w:r w:rsidR="00A379FB">
        <w:rPr>
          <w:rFonts w:ascii="Verdana" w:hAnsi="Verdana" w:cs="Arial"/>
          <w:sz w:val="20"/>
          <w:szCs w:val="20"/>
        </w:rPr>
        <w:t>]</w:t>
      </w:r>
      <w:r w:rsidR="00334A0B" w:rsidRPr="00F17964">
        <w:rPr>
          <w:rFonts w:ascii="Verdana" w:hAnsi="Verdana" w:cs="Arial"/>
          <w:sz w:val="20"/>
          <w:szCs w:val="20"/>
        </w:rPr>
        <w:t xml:space="preserve"> hechos” de este caso</w:t>
      </w:r>
      <w:r w:rsidR="002504E5" w:rsidRPr="00F17964">
        <w:rPr>
          <w:rFonts w:ascii="Verdana" w:hAnsi="Verdana" w:cs="Arial"/>
          <w:sz w:val="20"/>
          <w:szCs w:val="20"/>
        </w:rPr>
        <w:t xml:space="preserve">, </w:t>
      </w:r>
      <w:r w:rsidR="00912FFE" w:rsidRPr="00F17964">
        <w:rPr>
          <w:rFonts w:ascii="Verdana" w:hAnsi="Verdana" w:cs="Arial"/>
          <w:sz w:val="20"/>
          <w:szCs w:val="20"/>
        </w:rPr>
        <w:t>así como de</w:t>
      </w:r>
      <w:r w:rsidR="00334A0B" w:rsidRPr="00F17964">
        <w:rPr>
          <w:rFonts w:ascii="Verdana" w:hAnsi="Verdana" w:cs="Arial"/>
          <w:sz w:val="20"/>
          <w:szCs w:val="20"/>
        </w:rPr>
        <w:t xml:space="preserve"> </w:t>
      </w:r>
      <w:r w:rsidR="0072764E" w:rsidRPr="00F17964">
        <w:rPr>
          <w:rFonts w:ascii="Verdana" w:hAnsi="Verdana" w:cs="Arial"/>
          <w:sz w:val="20"/>
          <w:szCs w:val="20"/>
        </w:rPr>
        <w:t xml:space="preserve">otras “diligencias de relevancia” cuya realización “se </w:t>
      </w:r>
      <w:proofErr w:type="gramStart"/>
      <w:r w:rsidR="0072764E" w:rsidRPr="00F17964">
        <w:rPr>
          <w:rFonts w:ascii="Verdana" w:hAnsi="Verdana" w:cs="Arial"/>
          <w:sz w:val="20"/>
          <w:szCs w:val="20"/>
        </w:rPr>
        <w:t>e[</w:t>
      </w:r>
      <w:proofErr w:type="spellStart"/>
      <w:proofErr w:type="gramEnd"/>
      <w:r w:rsidR="0072764E" w:rsidRPr="00F17964">
        <w:rPr>
          <w:rFonts w:ascii="Verdana" w:hAnsi="Verdana" w:cs="Arial"/>
          <w:sz w:val="20"/>
          <w:szCs w:val="20"/>
        </w:rPr>
        <w:t>stá</w:t>
      </w:r>
      <w:proofErr w:type="spellEnd"/>
      <w:r w:rsidR="0072764E" w:rsidRPr="00F17964">
        <w:rPr>
          <w:rFonts w:ascii="Verdana" w:hAnsi="Verdana" w:cs="Arial"/>
          <w:sz w:val="20"/>
          <w:szCs w:val="20"/>
        </w:rPr>
        <w:t>] coordinando”</w:t>
      </w:r>
      <w:r w:rsidR="00572BC8" w:rsidRPr="00F17964">
        <w:rPr>
          <w:rStyle w:val="Refdenotaalpie"/>
          <w:rFonts w:ascii="Verdana" w:hAnsi="Verdana" w:cs="Arial"/>
          <w:sz w:val="20"/>
          <w:szCs w:val="20"/>
        </w:rPr>
        <w:footnoteReference w:id="23"/>
      </w:r>
      <w:r w:rsidR="0072764E" w:rsidRPr="00F17964">
        <w:rPr>
          <w:rFonts w:ascii="Verdana" w:hAnsi="Verdana" w:cs="Arial"/>
          <w:sz w:val="20"/>
          <w:szCs w:val="20"/>
        </w:rPr>
        <w:t>.</w:t>
      </w:r>
    </w:p>
    <w:p w:rsidR="00534925" w:rsidRPr="00F17964" w:rsidRDefault="001B4900" w:rsidP="00FC4A5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cs="Arial"/>
          <w:sz w:val="20"/>
          <w:szCs w:val="20"/>
        </w:rPr>
        <w:t>L</w:t>
      </w:r>
      <w:r w:rsidR="004739AF" w:rsidRPr="00F17964">
        <w:rPr>
          <w:rFonts w:ascii="Verdana" w:hAnsi="Verdana" w:cs="Arial"/>
          <w:sz w:val="20"/>
          <w:szCs w:val="20"/>
        </w:rPr>
        <w:t xml:space="preserve">os </w:t>
      </w:r>
      <w:r w:rsidR="004739AF" w:rsidRPr="00F17964">
        <w:rPr>
          <w:rFonts w:ascii="Verdana" w:hAnsi="Verdana" w:cs="Arial"/>
          <w:i/>
          <w:sz w:val="20"/>
          <w:szCs w:val="20"/>
        </w:rPr>
        <w:t>representantes</w:t>
      </w:r>
      <w:r w:rsidR="004739AF" w:rsidRPr="00F17964">
        <w:rPr>
          <w:rFonts w:ascii="Verdana" w:hAnsi="Verdana" w:cs="Arial"/>
          <w:sz w:val="20"/>
          <w:szCs w:val="20"/>
        </w:rPr>
        <w:t xml:space="preserve"> </w:t>
      </w:r>
      <w:r w:rsidR="00231011" w:rsidRPr="00F17964">
        <w:rPr>
          <w:rFonts w:ascii="Verdana" w:hAnsi="Verdana" w:cs="Arial"/>
          <w:sz w:val="20"/>
          <w:szCs w:val="20"/>
        </w:rPr>
        <w:t>sostuvieron</w:t>
      </w:r>
      <w:r w:rsidR="004739AF" w:rsidRPr="00F17964">
        <w:rPr>
          <w:rFonts w:ascii="Verdana" w:hAnsi="Verdana" w:cs="Arial"/>
          <w:sz w:val="20"/>
          <w:szCs w:val="20"/>
        </w:rPr>
        <w:t xml:space="preserve"> que la referida información “no es nueva, puesto que los documentos [recabados] se encontraban en poder del Estado y de las víctimas […], por lo que no se justifica la demora de tantos años para la realización de tales diligencias”. También hicieron notar que el Estado “no informa qué acciones ha desarrollado o está programando efectuar para […] identificar a los responsables [de los hechos] e imponerles una sanción adecuada”. Por su parte, la </w:t>
      </w:r>
      <w:r w:rsidR="004739AF" w:rsidRPr="00F17964">
        <w:rPr>
          <w:rFonts w:ascii="Verdana" w:hAnsi="Verdana" w:cs="Arial"/>
          <w:i/>
          <w:sz w:val="20"/>
          <w:szCs w:val="20"/>
        </w:rPr>
        <w:t>Comisión Interamericana</w:t>
      </w:r>
      <w:r w:rsidR="004739AF" w:rsidRPr="00F17964">
        <w:rPr>
          <w:rFonts w:ascii="Verdana" w:hAnsi="Verdana" w:cs="Arial"/>
          <w:sz w:val="20"/>
          <w:szCs w:val="20"/>
        </w:rPr>
        <w:t xml:space="preserve"> </w:t>
      </w:r>
      <w:r w:rsidR="00231011" w:rsidRPr="00F17964">
        <w:rPr>
          <w:rFonts w:ascii="Verdana" w:hAnsi="Verdana" w:cs="Arial"/>
          <w:sz w:val="20"/>
          <w:szCs w:val="20"/>
        </w:rPr>
        <w:t>“</w:t>
      </w:r>
      <w:proofErr w:type="spellStart"/>
      <w:r w:rsidR="00231011" w:rsidRPr="00F17964">
        <w:rPr>
          <w:rFonts w:ascii="Verdana" w:hAnsi="Verdana" w:cs="Arial"/>
          <w:sz w:val="20"/>
          <w:szCs w:val="20"/>
        </w:rPr>
        <w:t>observ</w:t>
      </w:r>
      <w:proofErr w:type="spellEnd"/>
      <w:r w:rsidR="00231011" w:rsidRPr="00F17964">
        <w:rPr>
          <w:rFonts w:ascii="Verdana" w:hAnsi="Verdana" w:cs="Arial"/>
          <w:sz w:val="20"/>
          <w:szCs w:val="20"/>
        </w:rPr>
        <w:t>[</w:t>
      </w:r>
      <w:proofErr w:type="spellStart"/>
      <w:r w:rsidR="00231011" w:rsidRPr="00F17964">
        <w:rPr>
          <w:rFonts w:ascii="Verdana" w:hAnsi="Verdana" w:cs="Arial"/>
          <w:sz w:val="20"/>
          <w:szCs w:val="20"/>
        </w:rPr>
        <w:t>ó</w:t>
      </w:r>
      <w:proofErr w:type="spellEnd"/>
      <w:r w:rsidR="00231011" w:rsidRPr="00F17964">
        <w:rPr>
          <w:rFonts w:ascii="Verdana" w:hAnsi="Verdana" w:cs="Arial"/>
          <w:sz w:val="20"/>
          <w:szCs w:val="20"/>
        </w:rPr>
        <w:t xml:space="preserve">] con preocupación la falta de información del Estado sobre el </w:t>
      </w:r>
      <w:r w:rsidR="00A75779">
        <w:rPr>
          <w:rFonts w:ascii="Verdana" w:hAnsi="Verdana" w:cs="Arial"/>
          <w:sz w:val="20"/>
          <w:szCs w:val="20"/>
        </w:rPr>
        <w:t>e</w:t>
      </w:r>
      <w:r w:rsidR="00231011" w:rsidRPr="00F17964">
        <w:rPr>
          <w:rFonts w:ascii="Verdana" w:hAnsi="Verdana" w:cs="Arial"/>
          <w:sz w:val="20"/>
          <w:szCs w:val="20"/>
        </w:rPr>
        <w:t xml:space="preserve">stado actual de las investigaciones”, e hizo notar que la información proporcionada sobre las diligencias realizadas y documentación recabada “no denotan un avance sustancial en la investigación”. </w:t>
      </w:r>
    </w:p>
    <w:p w:rsidR="006C2AA6" w:rsidRPr="00F17964" w:rsidRDefault="002217B1" w:rsidP="00FC4A5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sz w:val="20"/>
          <w:szCs w:val="20"/>
        </w:rPr>
        <w:t xml:space="preserve">Esta Corte toma nota de las diligencias </w:t>
      </w:r>
      <w:r w:rsidR="00D0347A" w:rsidRPr="00F17964">
        <w:rPr>
          <w:rFonts w:ascii="Verdana" w:hAnsi="Verdana"/>
          <w:sz w:val="20"/>
          <w:szCs w:val="20"/>
        </w:rPr>
        <w:t xml:space="preserve">y acciones </w:t>
      </w:r>
      <w:r w:rsidRPr="00F17964">
        <w:rPr>
          <w:rFonts w:ascii="Verdana" w:hAnsi="Verdana"/>
          <w:sz w:val="20"/>
          <w:szCs w:val="20"/>
        </w:rPr>
        <w:t xml:space="preserve">realizadas por el Estado y valora positivamente que haya adoptado el importante paso de iniciar la investigación </w:t>
      </w:r>
      <w:r w:rsidR="00D0347A" w:rsidRPr="00F17964">
        <w:rPr>
          <w:rFonts w:ascii="Verdana" w:hAnsi="Verdana"/>
          <w:sz w:val="20"/>
          <w:szCs w:val="20"/>
        </w:rPr>
        <w:t>en la jurisdicción penal ordinaria por</w:t>
      </w:r>
      <w:r w:rsidRPr="00F17964">
        <w:rPr>
          <w:rFonts w:ascii="Verdana" w:hAnsi="Verdana"/>
          <w:sz w:val="20"/>
          <w:szCs w:val="20"/>
        </w:rPr>
        <w:t xml:space="preserve"> los hechos </w:t>
      </w:r>
      <w:r w:rsidR="00D0347A" w:rsidRPr="00F17964">
        <w:rPr>
          <w:rFonts w:ascii="Verdana" w:hAnsi="Verdana"/>
          <w:sz w:val="20"/>
          <w:szCs w:val="20"/>
        </w:rPr>
        <w:t xml:space="preserve">ocurridos a los señores </w:t>
      </w:r>
      <w:r w:rsidR="00D0347A" w:rsidRPr="00F17964">
        <w:rPr>
          <w:rFonts w:ascii="Verdana" w:hAnsi="Verdana" w:cs="Arial"/>
          <w:sz w:val="20"/>
          <w:szCs w:val="20"/>
        </w:rPr>
        <w:t xml:space="preserve">Zambrano Vélez, Caicedo </w:t>
      </w:r>
      <w:proofErr w:type="spellStart"/>
      <w:r w:rsidR="00D0347A" w:rsidRPr="00F17964">
        <w:rPr>
          <w:rFonts w:ascii="Verdana" w:hAnsi="Verdana" w:cs="Arial"/>
          <w:sz w:val="20"/>
          <w:szCs w:val="20"/>
        </w:rPr>
        <w:t>Cobeña</w:t>
      </w:r>
      <w:proofErr w:type="spellEnd"/>
      <w:r w:rsidR="00D0347A" w:rsidRPr="00F17964">
        <w:rPr>
          <w:rFonts w:ascii="Verdana" w:hAnsi="Verdana" w:cs="Arial"/>
          <w:sz w:val="20"/>
          <w:szCs w:val="20"/>
        </w:rPr>
        <w:t xml:space="preserve"> y Caicedo </w:t>
      </w:r>
      <w:proofErr w:type="spellStart"/>
      <w:r w:rsidR="00D0347A" w:rsidRPr="00F17964">
        <w:rPr>
          <w:rFonts w:ascii="Verdana" w:hAnsi="Verdana" w:cs="Arial"/>
          <w:sz w:val="20"/>
          <w:szCs w:val="20"/>
        </w:rPr>
        <w:t>Cobeña</w:t>
      </w:r>
      <w:proofErr w:type="spellEnd"/>
      <w:r w:rsidRPr="00F17964">
        <w:rPr>
          <w:rFonts w:ascii="Verdana" w:hAnsi="Verdana"/>
          <w:sz w:val="20"/>
          <w:szCs w:val="20"/>
        </w:rPr>
        <w:t>. No obstante,</w:t>
      </w:r>
      <w:r w:rsidRPr="00F17964">
        <w:t xml:space="preserve"> </w:t>
      </w:r>
      <w:r w:rsidR="00912FFE" w:rsidRPr="00F17964">
        <w:rPr>
          <w:rFonts w:ascii="Verdana" w:hAnsi="Verdana" w:cs="Arial"/>
          <w:sz w:val="20"/>
          <w:szCs w:val="20"/>
        </w:rPr>
        <w:t xml:space="preserve">observa con preocupación que habiendo transcurrido más de 23 años desde que sucedieron los hechos </w:t>
      </w:r>
      <w:r w:rsidR="004B2438" w:rsidRPr="00F17964">
        <w:rPr>
          <w:rFonts w:ascii="Verdana" w:hAnsi="Verdana" w:cs="Arial"/>
          <w:sz w:val="20"/>
          <w:szCs w:val="20"/>
        </w:rPr>
        <w:t xml:space="preserve">y más de nueve </w:t>
      </w:r>
      <w:r w:rsidR="00AA2EB2" w:rsidRPr="00F17964">
        <w:rPr>
          <w:rFonts w:ascii="Verdana" w:hAnsi="Verdana" w:cs="Arial"/>
          <w:sz w:val="20"/>
          <w:szCs w:val="20"/>
        </w:rPr>
        <w:t xml:space="preserve">años </w:t>
      </w:r>
      <w:r w:rsidR="004B2438" w:rsidRPr="00F17964">
        <w:rPr>
          <w:rFonts w:ascii="Verdana" w:hAnsi="Verdana" w:cs="Arial"/>
          <w:sz w:val="20"/>
          <w:szCs w:val="20"/>
        </w:rPr>
        <w:t>desde dictada la Sentencia (</w:t>
      </w:r>
      <w:r w:rsidR="004B2438" w:rsidRPr="00F17964">
        <w:rPr>
          <w:rFonts w:ascii="Verdana" w:hAnsi="Verdana" w:cs="Arial"/>
          <w:i/>
          <w:sz w:val="20"/>
          <w:szCs w:val="20"/>
        </w:rPr>
        <w:t xml:space="preserve">supra </w:t>
      </w:r>
      <w:r w:rsidR="004B2438" w:rsidRPr="00F17964">
        <w:rPr>
          <w:rFonts w:ascii="Verdana" w:hAnsi="Verdana" w:cs="Arial"/>
          <w:sz w:val="20"/>
          <w:szCs w:val="20"/>
        </w:rPr>
        <w:t>Visto 1)</w:t>
      </w:r>
      <w:r w:rsidR="003A4C46" w:rsidRPr="00F17964">
        <w:rPr>
          <w:rFonts w:ascii="Verdana" w:hAnsi="Verdana" w:cs="Arial"/>
          <w:sz w:val="20"/>
          <w:szCs w:val="20"/>
        </w:rPr>
        <w:t xml:space="preserve"> la investigación está </w:t>
      </w:r>
      <w:r w:rsidR="00AA2EB2" w:rsidRPr="00F17964">
        <w:rPr>
          <w:rFonts w:ascii="Verdana" w:hAnsi="Verdana" w:cs="Arial"/>
          <w:sz w:val="20"/>
          <w:szCs w:val="20"/>
        </w:rPr>
        <w:t>desde hace seis años en</w:t>
      </w:r>
      <w:r w:rsidR="003A4C46" w:rsidRPr="00F17964">
        <w:rPr>
          <w:rFonts w:ascii="Verdana" w:hAnsi="Verdana" w:cs="Arial"/>
          <w:sz w:val="20"/>
          <w:szCs w:val="20"/>
        </w:rPr>
        <w:t xml:space="preserve"> etapa de indagación previa</w:t>
      </w:r>
      <w:r w:rsidR="00AA2EB2" w:rsidRPr="00F17964">
        <w:rPr>
          <w:rFonts w:ascii="Verdana" w:hAnsi="Verdana" w:cs="Arial"/>
          <w:sz w:val="20"/>
          <w:szCs w:val="20"/>
        </w:rPr>
        <w:t xml:space="preserve"> (</w:t>
      </w:r>
      <w:r w:rsidR="00AA2EB2" w:rsidRPr="00F17964">
        <w:rPr>
          <w:rFonts w:ascii="Verdana" w:hAnsi="Verdana" w:cs="Arial"/>
          <w:i/>
          <w:sz w:val="20"/>
          <w:szCs w:val="20"/>
        </w:rPr>
        <w:t>supra</w:t>
      </w:r>
      <w:r w:rsidR="00AA2EB2" w:rsidRPr="00F17964">
        <w:rPr>
          <w:rFonts w:ascii="Verdana" w:hAnsi="Verdana" w:cs="Arial"/>
          <w:sz w:val="20"/>
          <w:szCs w:val="20"/>
        </w:rPr>
        <w:t xml:space="preserve"> Considerando </w:t>
      </w:r>
      <w:r w:rsidR="000E5764">
        <w:rPr>
          <w:rFonts w:ascii="Verdana" w:hAnsi="Verdana" w:cs="Arial"/>
          <w:sz w:val="20"/>
          <w:szCs w:val="20"/>
        </w:rPr>
        <w:t>9</w:t>
      </w:r>
      <w:r w:rsidR="00AA2EB2" w:rsidRPr="00F17964">
        <w:rPr>
          <w:rFonts w:ascii="Verdana" w:hAnsi="Verdana" w:cs="Arial"/>
          <w:sz w:val="20"/>
          <w:szCs w:val="20"/>
        </w:rPr>
        <w:t xml:space="preserve">), sin que de la información presentada por el Estado se pueda desprender </w:t>
      </w:r>
      <w:r w:rsidR="00940D7E" w:rsidRPr="00F17964">
        <w:rPr>
          <w:rFonts w:ascii="Verdana" w:hAnsi="Verdana" w:cs="Arial"/>
          <w:sz w:val="20"/>
          <w:szCs w:val="20"/>
        </w:rPr>
        <w:t xml:space="preserve">que </w:t>
      </w:r>
      <w:r w:rsidR="00AA2EB2" w:rsidRPr="00F17964">
        <w:rPr>
          <w:rFonts w:ascii="Verdana" w:hAnsi="Verdana" w:cs="Arial"/>
          <w:sz w:val="20"/>
          <w:szCs w:val="20"/>
        </w:rPr>
        <w:t>ha</w:t>
      </w:r>
      <w:r w:rsidR="00940D7E" w:rsidRPr="00F17964">
        <w:rPr>
          <w:rFonts w:ascii="Verdana" w:hAnsi="Verdana" w:cs="Arial"/>
          <w:sz w:val="20"/>
          <w:szCs w:val="20"/>
        </w:rPr>
        <w:t>ya</w:t>
      </w:r>
      <w:r w:rsidR="00AA2EB2" w:rsidRPr="00F17964">
        <w:rPr>
          <w:rFonts w:ascii="Verdana" w:hAnsi="Verdana" w:cs="Arial"/>
          <w:sz w:val="20"/>
          <w:szCs w:val="20"/>
        </w:rPr>
        <w:t xml:space="preserve"> habido algún avance sustancial en la identificación de posibles responsables</w:t>
      </w:r>
      <w:r w:rsidR="00BD7C3F">
        <w:rPr>
          <w:rFonts w:ascii="Verdana" w:hAnsi="Verdana" w:cs="Arial"/>
          <w:sz w:val="20"/>
          <w:szCs w:val="20"/>
        </w:rPr>
        <w:t xml:space="preserve"> que permita avanzar a otras etapas del proceso penal</w:t>
      </w:r>
      <w:r w:rsidR="007C28C0" w:rsidRPr="00F17964">
        <w:rPr>
          <w:rFonts w:ascii="Verdana" w:hAnsi="Verdana" w:cs="Arial"/>
          <w:sz w:val="20"/>
          <w:szCs w:val="20"/>
        </w:rPr>
        <w:t>.</w:t>
      </w:r>
      <w:r w:rsidR="00AA2EB2" w:rsidRPr="00F17964">
        <w:rPr>
          <w:rFonts w:ascii="Verdana" w:hAnsi="Verdana" w:cs="Arial"/>
          <w:sz w:val="20"/>
          <w:szCs w:val="20"/>
        </w:rPr>
        <w:t xml:space="preserve"> </w:t>
      </w:r>
      <w:r w:rsidR="00A41947" w:rsidRPr="00F17964">
        <w:rPr>
          <w:rFonts w:ascii="Verdana" w:hAnsi="Verdana"/>
          <w:sz w:val="20"/>
          <w:szCs w:val="20"/>
        </w:rPr>
        <w:t>Dicha situación es grave considerando que desde la propia Sentencia</w:t>
      </w:r>
      <w:r w:rsidR="00B929CA">
        <w:rPr>
          <w:rFonts w:ascii="Verdana" w:hAnsi="Verdana"/>
          <w:sz w:val="20"/>
          <w:szCs w:val="20"/>
        </w:rPr>
        <w:t xml:space="preserve"> de 2007</w:t>
      </w:r>
      <w:r w:rsidR="00A41947" w:rsidRPr="00F17964">
        <w:rPr>
          <w:rFonts w:ascii="Verdana" w:hAnsi="Verdana"/>
          <w:sz w:val="20"/>
          <w:szCs w:val="20"/>
        </w:rPr>
        <w:t xml:space="preserve"> este Tribunal ya había advertido que:</w:t>
      </w:r>
    </w:p>
    <w:p w:rsidR="00A41947" w:rsidRPr="00F17964" w:rsidRDefault="00A41947" w:rsidP="009D0541">
      <w:pPr>
        <w:pStyle w:val="Prrafodelista"/>
        <w:autoSpaceDE w:val="0"/>
        <w:autoSpaceDN w:val="0"/>
        <w:adjustRightInd w:val="0"/>
        <w:spacing w:before="120" w:after="120" w:line="240" w:lineRule="auto"/>
        <w:ind w:left="709" w:right="855"/>
        <w:contextualSpacing w:val="0"/>
        <w:jc w:val="both"/>
        <w:rPr>
          <w:rFonts w:ascii="Verdana" w:hAnsi="Verdana" w:cs="Arial"/>
          <w:sz w:val="16"/>
          <w:szCs w:val="16"/>
        </w:rPr>
      </w:pPr>
      <w:r w:rsidRPr="00F17964">
        <w:rPr>
          <w:rFonts w:ascii="Verdana" w:hAnsi="Verdana"/>
          <w:sz w:val="16"/>
          <w:szCs w:val="16"/>
        </w:rPr>
        <w:lastRenderedPageBreak/>
        <w:t xml:space="preserve">126. […] </w:t>
      </w:r>
      <w:r w:rsidRPr="00F17964">
        <w:rPr>
          <w:rFonts w:ascii="Verdana" w:hAnsi="Verdana"/>
          <w:b/>
          <w:sz w:val="16"/>
          <w:szCs w:val="16"/>
        </w:rPr>
        <w:t xml:space="preserve">el tiempo transcurrido </w:t>
      </w:r>
      <w:r w:rsidR="009D0541" w:rsidRPr="00F17964">
        <w:rPr>
          <w:rFonts w:ascii="Verdana" w:hAnsi="Verdana"/>
          <w:b/>
          <w:sz w:val="16"/>
          <w:szCs w:val="16"/>
        </w:rPr>
        <w:t>desde el momento de los hechos sobrepasa excesivamente un plazo que pueda considerarse razonable para que el Estado realizara las correspondientes diligencias investigativas</w:t>
      </w:r>
      <w:r w:rsidR="009D0541" w:rsidRPr="00F17964">
        <w:rPr>
          <w:rFonts w:ascii="Verdana" w:hAnsi="Verdana"/>
          <w:sz w:val="16"/>
          <w:szCs w:val="16"/>
        </w:rPr>
        <w:t>, máxime que a ese tiempo habrá que sumar el que tome la iniciación y realización del proceso penal, con sus distintas etapas, hasta la sentencia firme. Esta falta de investigación durante tan largo período configura una flagrante denegación de justicia y una violación al derecho de acceso a la justicia de los familiares de las víctimas</w:t>
      </w:r>
      <w:r w:rsidR="00B00DC0">
        <w:rPr>
          <w:rFonts w:ascii="Verdana" w:hAnsi="Verdana"/>
          <w:sz w:val="16"/>
          <w:szCs w:val="16"/>
        </w:rPr>
        <w:t xml:space="preserve"> (énfasis añadido).</w:t>
      </w:r>
    </w:p>
    <w:p w:rsidR="00150056" w:rsidRPr="00217AD0" w:rsidRDefault="001B4900" w:rsidP="00217AD0">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217AD0">
        <w:rPr>
          <w:rFonts w:ascii="Verdana" w:hAnsi="Verdana" w:cs="Arial"/>
          <w:sz w:val="20"/>
          <w:szCs w:val="20"/>
        </w:rPr>
        <w:t>Asimismo, la falta de avances en la investigación resulta grave</w:t>
      </w:r>
      <w:r w:rsidR="00095435">
        <w:rPr>
          <w:rFonts w:ascii="Verdana" w:hAnsi="Verdana" w:cs="Arial"/>
          <w:sz w:val="20"/>
          <w:szCs w:val="20"/>
        </w:rPr>
        <w:t>,</w:t>
      </w:r>
      <w:r w:rsidRPr="00217AD0">
        <w:rPr>
          <w:rFonts w:ascii="Verdana" w:hAnsi="Verdana" w:cs="Arial"/>
          <w:sz w:val="20"/>
          <w:szCs w:val="20"/>
        </w:rPr>
        <w:t xml:space="preserve"> al considerar que </w:t>
      </w:r>
      <w:r w:rsidR="00B929CA">
        <w:rPr>
          <w:rFonts w:ascii="Verdana" w:hAnsi="Verdana" w:cs="Arial"/>
          <w:sz w:val="20"/>
          <w:szCs w:val="20"/>
        </w:rPr>
        <w:t>en</w:t>
      </w:r>
      <w:r w:rsidRPr="00217AD0">
        <w:rPr>
          <w:rFonts w:ascii="Verdana" w:hAnsi="Verdana" w:cs="Arial"/>
          <w:sz w:val="20"/>
          <w:szCs w:val="20"/>
        </w:rPr>
        <w:t xml:space="preserve"> la propia Sentencia se estableció que “las víctimas Zambrano Vélez, Caicedo </w:t>
      </w:r>
      <w:proofErr w:type="spellStart"/>
      <w:r w:rsidRPr="00217AD0">
        <w:rPr>
          <w:rFonts w:ascii="Verdana" w:hAnsi="Verdana" w:cs="Arial"/>
          <w:sz w:val="20"/>
          <w:szCs w:val="20"/>
        </w:rPr>
        <w:t>Cobeña</w:t>
      </w:r>
      <w:proofErr w:type="spellEnd"/>
      <w:r w:rsidRPr="00217AD0">
        <w:rPr>
          <w:rFonts w:ascii="Verdana" w:hAnsi="Verdana" w:cs="Arial"/>
          <w:sz w:val="20"/>
          <w:szCs w:val="20"/>
        </w:rPr>
        <w:t xml:space="preserve"> y Caicedo </w:t>
      </w:r>
      <w:proofErr w:type="spellStart"/>
      <w:r w:rsidRPr="00217AD0">
        <w:rPr>
          <w:rFonts w:ascii="Verdana" w:hAnsi="Verdana" w:cs="Arial"/>
          <w:sz w:val="20"/>
          <w:szCs w:val="20"/>
        </w:rPr>
        <w:t>Cobeña</w:t>
      </w:r>
      <w:proofErr w:type="spellEnd"/>
      <w:r w:rsidRPr="00217AD0">
        <w:rPr>
          <w:rFonts w:ascii="Verdana" w:hAnsi="Verdana" w:cs="Arial"/>
          <w:sz w:val="20"/>
          <w:szCs w:val="20"/>
        </w:rPr>
        <w:t xml:space="preserve"> fueron privados de su vida por agentes estatales que hicieron uso letal de la fuerza en el marco de un operativo de seguridad y en el ejercicio de sus funciones” (</w:t>
      </w:r>
      <w:r w:rsidRPr="00217AD0">
        <w:rPr>
          <w:rFonts w:ascii="Verdana" w:hAnsi="Verdana" w:cs="Arial"/>
          <w:i/>
          <w:sz w:val="20"/>
          <w:szCs w:val="20"/>
        </w:rPr>
        <w:t>supra</w:t>
      </w:r>
      <w:r w:rsidRPr="00217AD0">
        <w:rPr>
          <w:rFonts w:ascii="Verdana" w:hAnsi="Verdana" w:cs="Arial"/>
          <w:sz w:val="20"/>
          <w:szCs w:val="20"/>
        </w:rPr>
        <w:t xml:space="preserve"> Visto 1)</w:t>
      </w:r>
      <w:r w:rsidR="00EA2C7A" w:rsidRPr="00217AD0">
        <w:rPr>
          <w:rFonts w:ascii="Verdana" w:hAnsi="Verdana" w:cs="Arial"/>
          <w:sz w:val="20"/>
          <w:szCs w:val="20"/>
        </w:rPr>
        <w:t>, y</w:t>
      </w:r>
      <w:r w:rsidR="002E636F" w:rsidRPr="00217AD0">
        <w:rPr>
          <w:rFonts w:ascii="Verdana" w:hAnsi="Verdana" w:cs="Arial"/>
          <w:sz w:val="20"/>
          <w:szCs w:val="20"/>
        </w:rPr>
        <w:t xml:space="preserve"> que</w:t>
      </w:r>
      <w:r w:rsidR="00EA2C7A" w:rsidRPr="00217AD0">
        <w:rPr>
          <w:rFonts w:ascii="Verdana" w:hAnsi="Verdana" w:cs="Arial"/>
          <w:sz w:val="20"/>
          <w:szCs w:val="20"/>
        </w:rPr>
        <w:t xml:space="preserve"> se “</w:t>
      </w:r>
      <w:proofErr w:type="spellStart"/>
      <w:proofErr w:type="gramStart"/>
      <w:r w:rsidR="00EA2C7A" w:rsidRPr="00217AD0">
        <w:rPr>
          <w:rFonts w:ascii="Verdana" w:hAnsi="Verdana" w:cs="Arial"/>
          <w:sz w:val="20"/>
          <w:szCs w:val="20"/>
        </w:rPr>
        <w:t>expus</w:t>
      </w:r>
      <w:proofErr w:type="spellEnd"/>
      <w:r w:rsidR="00EA2C7A" w:rsidRPr="00217AD0">
        <w:rPr>
          <w:rFonts w:ascii="Verdana" w:hAnsi="Verdana" w:cs="Arial"/>
          <w:sz w:val="20"/>
          <w:szCs w:val="20"/>
        </w:rPr>
        <w:t>[</w:t>
      </w:r>
      <w:proofErr w:type="spellStart"/>
      <w:proofErr w:type="gramEnd"/>
      <w:r w:rsidR="00EA2C7A" w:rsidRPr="00217AD0">
        <w:rPr>
          <w:rFonts w:ascii="Verdana" w:hAnsi="Verdana" w:cs="Arial"/>
          <w:sz w:val="20"/>
          <w:szCs w:val="20"/>
        </w:rPr>
        <w:t>ieron</w:t>
      </w:r>
      <w:proofErr w:type="spellEnd"/>
      <w:r w:rsidR="00EA2C7A" w:rsidRPr="00217AD0">
        <w:rPr>
          <w:rFonts w:ascii="Verdana" w:hAnsi="Verdana" w:cs="Arial"/>
          <w:sz w:val="20"/>
          <w:szCs w:val="20"/>
        </w:rPr>
        <w:t>] dos posibilidades acerca de las circunstancias de la privación de la vida de las […] víctimas”</w:t>
      </w:r>
      <w:r w:rsidRPr="00217AD0">
        <w:rPr>
          <w:rStyle w:val="Refdenotaalpie"/>
          <w:rFonts w:ascii="Verdana" w:hAnsi="Verdana" w:cs="Arial"/>
          <w:sz w:val="20"/>
          <w:szCs w:val="20"/>
        </w:rPr>
        <w:footnoteReference w:id="24"/>
      </w:r>
      <w:r w:rsidRPr="00217AD0">
        <w:rPr>
          <w:rFonts w:ascii="Verdana" w:hAnsi="Verdana" w:cs="Arial"/>
          <w:sz w:val="20"/>
          <w:szCs w:val="20"/>
        </w:rPr>
        <w:t>.</w:t>
      </w:r>
      <w:r w:rsidR="00EB5C3C" w:rsidRPr="00217AD0">
        <w:rPr>
          <w:rFonts w:ascii="Verdana" w:hAnsi="Verdana" w:cs="Arial"/>
          <w:sz w:val="20"/>
          <w:szCs w:val="20"/>
        </w:rPr>
        <w:t xml:space="preserve"> El presente caso continúa en la impunidad puesto que persiste la falta de esclarecimiento </w:t>
      </w:r>
      <w:r w:rsidR="006A6B27" w:rsidRPr="00217AD0">
        <w:rPr>
          <w:rFonts w:ascii="Verdana" w:hAnsi="Verdana"/>
          <w:sz w:val="20"/>
          <w:szCs w:val="20"/>
        </w:rPr>
        <w:t>acerca del uso letal de la fuerza por agentes estatales, incumpliendo así con la obligación de garantizar una investigación de lo ocurrido</w:t>
      </w:r>
      <w:r w:rsidR="00D0347A" w:rsidRPr="00217AD0">
        <w:rPr>
          <w:rStyle w:val="Refdenotaalpie"/>
          <w:rFonts w:ascii="Verdana" w:hAnsi="Verdana"/>
          <w:sz w:val="20"/>
          <w:szCs w:val="20"/>
        </w:rPr>
        <w:footnoteReference w:id="25"/>
      </w:r>
      <w:r w:rsidR="006A6B27" w:rsidRPr="00217AD0">
        <w:rPr>
          <w:rFonts w:ascii="Verdana" w:hAnsi="Verdana"/>
          <w:sz w:val="20"/>
          <w:szCs w:val="20"/>
        </w:rPr>
        <w:t>.</w:t>
      </w:r>
      <w:r w:rsidR="00D0347A" w:rsidRPr="00217AD0">
        <w:rPr>
          <w:rFonts w:ascii="Verdana" w:hAnsi="Verdana" w:cs="Arial"/>
          <w:sz w:val="20"/>
          <w:szCs w:val="20"/>
        </w:rPr>
        <w:t xml:space="preserve"> </w:t>
      </w:r>
      <w:r w:rsidR="00081256" w:rsidRPr="00217AD0">
        <w:rPr>
          <w:rFonts w:ascii="Verdana" w:hAnsi="Verdana" w:cs="Arial"/>
          <w:sz w:val="20"/>
          <w:szCs w:val="20"/>
        </w:rPr>
        <w:t xml:space="preserve">En consecuencia, </w:t>
      </w:r>
      <w:r w:rsidR="00150056" w:rsidRPr="00217AD0">
        <w:rPr>
          <w:rFonts w:ascii="Verdana" w:hAnsi="Verdana" w:cs="Arial"/>
          <w:sz w:val="20"/>
          <w:szCs w:val="20"/>
        </w:rPr>
        <w:t>Ecuador no ha cumplido con su “</w:t>
      </w:r>
      <w:r w:rsidR="00150056" w:rsidRPr="00217AD0">
        <w:rPr>
          <w:rFonts w:ascii="Verdana" w:hAnsi="Verdana"/>
          <w:sz w:val="20"/>
        </w:rPr>
        <w:t xml:space="preserve">deber </w:t>
      </w:r>
      <w:r w:rsidR="00D840C2" w:rsidRPr="00217AD0">
        <w:rPr>
          <w:rFonts w:ascii="Verdana" w:hAnsi="Verdana"/>
          <w:sz w:val="20"/>
        </w:rPr>
        <w:t xml:space="preserve">de </w:t>
      </w:r>
      <w:r w:rsidR="00150056" w:rsidRPr="00217AD0">
        <w:rPr>
          <w:rFonts w:ascii="Verdana" w:hAnsi="Verdana"/>
          <w:sz w:val="20"/>
        </w:rPr>
        <w:t>realizar inmediatamente las debidas diligencias y utilizar todos los medios disponibles para hacer expedita la investigación y los procedimientos respectivos en la jurisdicción penal ordinaria para identificar, enjuiciar y, en su caso, sancionar a los responsables […], y así evitar la repetición de hechos como los presentes” (</w:t>
      </w:r>
      <w:r w:rsidR="00150056" w:rsidRPr="00217AD0">
        <w:rPr>
          <w:rFonts w:ascii="Verdana" w:hAnsi="Verdana"/>
          <w:i/>
          <w:sz w:val="20"/>
        </w:rPr>
        <w:t>supra</w:t>
      </w:r>
      <w:r w:rsidR="00150056" w:rsidRPr="00217AD0">
        <w:rPr>
          <w:rFonts w:ascii="Verdana" w:hAnsi="Verdana"/>
          <w:sz w:val="20"/>
        </w:rPr>
        <w:t xml:space="preserve"> Considerando </w:t>
      </w:r>
      <w:r w:rsidR="00D0347A" w:rsidRPr="00217AD0">
        <w:rPr>
          <w:rFonts w:ascii="Verdana" w:hAnsi="Verdana"/>
          <w:sz w:val="20"/>
        </w:rPr>
        <w:t>5</w:t>
      </w:r>
      <w:r w:rsidR="00150056" w:rsidRPr="00217AD0">
        <w:rPr>
          <w:rFonts w:ascii="Verdana" w:hAnsi="Verdana"/>
          <w:sz w:val="20"/>
        </w:rPr>
        <w:t>).</w:t>
      </w:r>
      <w:r w:rsidR="00D0347A" w:rsidRPr="00217AD0">
        <w:rPr>
          <w:rFonts w:ascii="Verdana" w:hAnsi="Verdana"/>
          <w:sz w:val="20"/>
        </w:rPr>
        <w:t xml:space="preserve"> </w:t>
      </w:r>
    </w:p>
    <w:p w:rsidR="00940D7E" w:rsidRPr="00F17964" w:rsidRDefault="00081256" w:rsidP="00150056">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cs="Arial"/>
          <w:sz w:val="20"/>
          <w:szCs w:val="20"/>
        </w:rPr>
        <w:t>Por otra parte, e</w:t>
      </w:r>
      <w:r w:rsidR="00940D7E" w:rsidRPr="00F17964">
        <w:rPr>
          <w:rFonts w:ascii="Verdana" w:hAnsi="Verdana" w:cs="Arial"/>
          <w:sz w:val="20"/>
          <w:szCs w:val="20"/>
        </w:rPr>
        <w:t>n cuanto a lo alegado por el Estado sobre la reserva de la indagación previa (</w:t>
      </w:r>
      <w:r w:rsidR="00940D7E" w:rsidRPr="00F17964">
        <w:rPr>
          <w:rFonts w:ascii="Verdana" w:hAnsi="Verdana" w:cs="Arial"/>
          <w:i/>
          <w:sz w:val="20"/>
          <w:szCs w:val="20"/>
        </w:rPr>
        <w:t>supra</w:t>
      </w:r>
      <w:r w:rsidR="00940D7E" w:rsidRPr="00F17964">
        <w:rPr>
          <w:rFonts w:ascii="Verdana" w:hAnsi="Verdana" w:cs="Arial"/>
          <w:sz w:val="20"/>
          <w:szCs w:val="20"/>
        </w:rPr>
        <w:t xml:space="preserve"> Considerando </w:t>
      </w:r>
      <w:r w:rsidR="00E97409">
        <w:rPr>
          <w:rFonts w:ascii="Verdana" w:hAnsi="Verdana" w:cs="Arial"/>
          <w:sz w:val="20"/>
          <w:szCs w:val="20"/>
        </w:rPr>
        <w:t>9</w:t>
      </w:r>
      <w:r w:rsidR="00940D7E" w:rsidRPr="00F17964">
        <w:rPr>
          <w:rFonts w:ascii="Verdana" w:hAnsi="Verdana" w:cs="Arial"/>
          <w:sz w:val="20"/>
          <w:szCs w:val="20"/>
        </w:rPr>
        <w:t>), la Corte comprende que existen ciertos riesgos de hacer pública determinada información relacionada con investigaciones internas, t</w:t>
      </w:r>
      <w:r w:rsidR="00940D7E" w:rsidRPr="00F17964">
        <w:rPr>
          <w:rFonts w:ascii="Verdana" w:hAnsi="Verdana"/>
          <w:sz w:val="20"/>
          <w:szCs w:val="20"/>
        </w:rPr>
        <w:t>anto en cuanto a la efectividad misma de la investigación como respecto de las personas involucradas o interesadas en la misma</w:t>
      </w:r>
      <w:r w:rsidR="00940D7E" w:rsidRPr="00F17964">
        <w:rPr>
          <w:rStyle w:val="Refdenotaalpie"/>
          <w:rFonts w:ascii="Verdana" w:hAnsi="Verdana"/>
          <w:sz w:val="20"/>
          <w:szCs w:val="20"/>
        </w:rPr>
        <w:footnoteReference w:id="26"/>
      </w:r>
      <w:r w:rsidR="00940D7E" w:rsidRPr="00F17964">
        <w:rPr>
          <w:rFonts w:ascii="Verdana" w:hAnsi="Verdana"/>
          <w:sz w:val="20"/>
          <w:szCs w:val="20"/>
        </w:rPr>
        <w:t xml:space="preserve">. Sin embargo, </w:t>
      </w:r>
      <w:r w:rsidR="002217B1" w:rsidRPr="00F17964">
        <w:rPr>
          <w:rFonts w:ascii="Verdana" w:hAnsi="Verdana"/>
          <w:sz w:val="20"/>
          <w:szCs w:val="20"/>
        </w:rPr>
        <w:t xml:space="preserve">en otros casos en etapa de supervisión de cumplimiento, este Tribunal ha determinado que la publicidad de cierta información es </w:t>
      </w:r>
      <w:r w:rsidR="00D0347A" w:rsidRPr="00F17964">
        <w:rPr>
          <w:rFonts w:ascii="Verdana" w:hAnsi="Verdana"/>
          <w:sz w:val="20"/>
          <w:szCs w:val="20"/>
        </w:rPr>
        <w:t>indispensable</w:t>
      </w:r>
      <w:r w:rsidR="002217B1" w:rsidRPr="00F17964">
        <w:rPr>
          <w:rFonts w:ascii="Verdana" w:hAnsi="Verdana"/>
          <w:sz w:val="20"/>
          <w:szCs w:val="20"/>
        </w:rPr>
        <w:t xml:space="preserve"> para verificar el grado de cumplimiento de lo dispuesto en la Sentencia</w:t>
      </w:r>
      <w:r w:rsidR="00150056" w:rsidRPr="00F17964">
        <w:rPr>
          <w:rStyle w:val="Refdenotaalpie"/>
          <w:rFonts w:ascii="Verdana" w:hAnsi="Verdana"/>
          <w:sz w:val="20"/>
          <w:szCs w:val="20"/>
        </w:rPr>
        <w:footnoteReference w:id="27"/>
      </w:r>
      <w:r w:rsidR="00951743">
        <w:rPr>
          <w:rFonts w:ascii="Verdana" w:hAnsi="Verdana"/>
          <w:sz w:val="20"/>
          <w:szCs w:val="20"/>
        </w:rPr>
        <w:t>.</w:t>
      </w:r>
      <w:r w:rsidR="00150056" w:rsidRPr="00F17964">
        <w:rPr>
          <w:rFonts w:ascii="Verdana" w:hAnsi="Verdana"/>
          <w:sz w:val="20"/>
          <w:szCs w:val="20"/>
        </w:rPr>
        <w:t xml:space="preserve"> </w:t>
      </w:r>
      <w:r w:rsidR="00951743">
        <w:rPr>
          <w:rFonts w:ascii="Verdana" w:hAnsi="Verdana"/>
          <w:sz w:val="20"/>
          <w:szCs w:val="20"/>
        </w:rPr>
        <w:t>Esta</w:t>
      </w:r>
      <w:r w:rsidR="00150056" w:rsidRPr="00F17964">
        <w:rPr>
          <w:rFonts w:ascii="Verdana" w:hAnsi="Verdana"/>
          <w:sz w:val="20"/>
          <w:szCs w:val="20"/>
        </w:rPr>
        <w:t xml:space="preserve"> </w:t>
      </w:r>
      <w:r w:rsidR="00B00DC0">
        <w:rPr>
          <w:rFonts w:ascii="Verdana" w:hAnsi="Verdana"/>
          <w:sz w:val="20"/>
          <w:szCs w:val="20"/>
        </w:rPr>
        <w:t>información</w:t>
      </w:r>
      <w:r w:rsidR="00B00DC0" w:rsidRPr="00F17964">
        <w:rPr>
          <w:rFonts w:ascii="Verdana" w:hAnsi="Verdana"/>
          <w:sz w:val="20"/>
          <w:szCs w:val="20"/>
        </w:rPr>
        <w:t xml:space="preserve"> </w:t>
      </w:r>
      <w:r w:rsidR="00150056" w:rsidRPr="00F17964">
        <w:rPr>
          <w:rFonts w:ascii="Verdana" w:hAnsi="Verdana"/>
          <w:sz w:val="20"/>
          <w:szCs w:val="20"/>
        </w:rPr>
        <w:t>debe ser suministrada oportunamente por el Estado, las víctimas o sus representantes y la Comisión</w:t>
      </w:r>
      <w:r w:rsidR="00D0347A" w:rsidRPr="00F17964">
        <w:rPr>
          <w:rFonts w:ascii="Verdana" w:hAnsi="Verdana"/>
          <w:sz w:val="20"/>
          <w:szCs w:val="20"/>
        </w:rPr>
        <w:t xml:space="preserve"> Interamericana</w:t>
      </w:r>
      <w:r w:rsidR="00150056" w:rsidRPr="00F17964">
        <w:rPr>
          <w:rStyle w:val="Refdenotaalpie"/>
          <w:rFonts w:ascii="Verdana" w:hAnsi="Verdana"/>
          <w:sz w:val="20"/>
          <w:szCs w:val="20"/>
        </w:rPr>
        <w:footnoteReference w:id="28"/>
      </w:r>
      <w:r w:rsidR="007C28C0" w:rsidRPr="00F17964">
        <w:rPr>
          <w:rFonts w:ascii="Verdana" w:hAnsi="Verdana"/>
          <w:sz w:val="20"/>
          <w:szCs w:val="20"/>
        </w:rPr>
        <w:t>. La información presentada hasta el momento por el Estado no permite a la Corte determinar si ha</w:t>
      </w:r>
      <w:r w:rsidR="00150056" w:rsidRPr="00F17964">
        <w:rPr>
          <w:rFonts w:ascii="Verdana" w:hAnsi="Verdana"/>
          <w:sz w:val="20"/>
          <w:szCs w:val="20"/>
        </w:rPr>
        <w:t>n</w:t>
      </w:r>
      <w:r w:rsidR="007C28C0" w:rsidRPr="00F17964">
        <w:rPr>
          <w:rFonts w:ascii="Verdana" w:hAnsi="Verdana"/>
          <w:sz w:val="20"/>
          <w:szCs w:val="20"/>
        </w:rPr>
        <w:t xml:space="preserve"> habido avances en la investigación, </w:t>
      </w:r>
      <w:r w:rsidR="00D455C7" w:rsidRPr="00F17964">
        <w:rPr>
          <w:rFonts w:ascii="Verdana" w:hAnsi="Verdana"/>
          <w:sz w:val="20"/>
          <w:szCs w:val="20"/>
        </w:rPr>
        <w:t xml:space="preserve">conocer </w:t>
      </w:r>
      <w:r w:rsidR="007C28C0" w:rsidRPr="00F17964">
        <w:rPr>
          <w:rFonts w:ascii="Verdana" w:hAnsi="Verdana"/>
          <w:sz w:val="20"/>
          <w:szCs w:val="20"/>
        </w:rPr>
        <w:t xml:space="preserve">las fechas en las que se </w:t>
      </w:r>
      <w:r w:rsidR="00150056" w:rsidRPr="00F17964">
        <w:rPr>
          <w:rFonts w:ascii="Verdana" w:hAnsi="Verdana"/>
          <w:sz w:val="20"/>
          <w:szCs w:val="20"/>
        </w:rPr>
        <w:t xml:space="preserve">han </w:t>
      </w:r>
      <w:r w:rsidR="007C28C0" w:rsidRPr="00F17964">
        <w:rPr>
          <w:rFonts w:ascii="Verdana" w:hAnsi="Verdana"/>
          <w:sz w:val="20"/>
          <w:szCs w:val="20"/>
        </w:rPr>
        <w:t>realiza</w:t>
      </w:r>
      <w:r w:rsidR="00150056" w:rsidRPr="00F17964">
        <w:rPr>
          <w:rFonts w:ascii="Verdana" w:hAnsi="Verdana"/>
          <w:sz w:val="20"/>
          <w:szCs w:val="20"/>
        </w:rPr>
        <w:t>do</w:t>
      </w:r>
      <w:r w:rsidR="007C28C0" w:rsidRPr="00F17964">
        <w:rPr>
          <w:rFonts w:ascii="Verdana" w:hAnsi="Verdana"/>
          <w:sz w:val="20"/>
          <w:szCs w:val="20"/>
        </w:rPr>
        <w:t xml:space="preserve"> las diligencias o los resultados que se</w:t>
      </w:r>
      <w:r w:rsidR="00150056" w:rsidRPr="00F17964">
        <w:rPr>
          <w:rFonts w:ascii="Verdana" w:hAnsi="Verdana"/>
          <w:sz w:val="20"/>
          <w:szCs w:val="20"/>
        </w:rPr>
        <w:t xml:space="preserve"> hayan alcanzado con las mismas</w:t>
      </w:r>
      <w:r w:rsidR="00150056" w:rsidRPr="00CB34AB">
        <w:rPr>
          <w:rFonts w:ascii="Verdana" w:hAnsi="Verdana"/>
          <w:sz w:val="20"/>
          <w:szCs w:val="20"/>
        </w:rPr>
        <w:t>.</w:t>
      </w:r>
      <w:r w:rsidR="00150056" w:rsidRPr="00F17964">
        <w:rPr>
          <w:rFonts w:ascii="Verdana" w:hAnsi="Verdana"/>
          <w:sz w:val="20"/>
          <w:szCs w:val="20"/>
        </w:rPr>
        <w:t xml:space="preserve"> Tampoco permite</w:t>
      </w:r>
      <w:r w:rsidR="007C28C0" w:rsidRPr="00F17964">
        <w:rPr>
          <w:rFonts w:ascii="Verdana" w:hAnsi="Verdana"/>
          <w:sz w:val="20"/>
          <w:szCs w:val="20"/>
        </w:rPr>
        <w:t xml:space="preserve"> conocer los obstáculos o razones por las cuales </w:t>
      </w:r>
      <w:r w:rsidR="00461CC5">
        <w:rPr>
          <w:rFonts w:ascii="Verdana" w:hAnsi="Verdana"/>
          <w:sz w:val="20"/>
          <w:szCs w:val="20"/>
        </w:rPr>
        <w:t xml:space="preserve">la </w:t>
      </w:r>
      <w:r w:rsidR="007C28C0" w:rsidRPr="00F17964">
        <w:rPr>
          <w:rFonts w:ascii="Verdana" w:hAnsi="Verdana"/>
          <w:sz w:val="20"/>
          <w:szCs w:val="20"/>
        </w:rPr>
        <w:t>etapa de indagación previa</w:t>
      </w:r>
      <w:r w:rsidR="00150056" w:rsidRPr="00F17964">
        <w:rPr>
          <w:rFonts w:ascii="Verdana" w:hAnsi="Verdana"/>
          <w:sz w:val="20"/>
          <w:szCs w:val="20"/>
        </w:rPr>
        <w:t xml:space="preserve"> de los hechos del presente caso</w:t>
      </w:r>
      <w:r w:rsidR="007C28C0" w:rsidRPr="00F17964">
        <w:rPr>
          <w:rFonts w:ascii="Verdana" w:hAnsi="Verdana"/>
          <w:sz w:val="20"/>
          <w:szCs w:val="20"/>
        </w:rPr>
        <w:t xml:space="preserve"> ha demorado más de seis años</w:t>
      </w:r>
      <w:r w:rsidR="00683EA0" w:rsidRPr="00F17964">
        <w:rPr>
          <w:rFonts w:ascii="Verdana" w:hAnsi="Verdana"/>
          <w:sz w:val="20"/>
          <w:szCs w:val="20"/>
        </w:rPr>
        <w:t xml:space="preserve">, sobre todo tomando en cuenta que </w:t>
      </w:r>
      <w:r w:rsidR="00717030" w:rsidRPr="00F17964">
        <w:rPr>
          <w:rFonts w:ascii="Verdana" w:hAnsi="Verdana"/>
          <w:sz w:val="20"/>
          <w:szCs w:val="20"/>
        </w:rPr>
        <w:t xml:space="preserve">desde </w:t>
      </w:r>
      <w:r w:rsidR="00683EA0" w:rsidRPr="00F17964">
        <w:rPr>
          <w:rFonts w:ascii="Verdana" w:hAnsi="Verdana"/>
          <w:sz w:val="20"/>
          <w:szCs w:val="20"/>
        </w:rPr>
        <w:t>la Sentencia se determinó que fueron agentes estatales</w:t>
      </w:r>
      <w:r w:rsidR="00717030" w:rsidRPr="00F17964">
        <w:rPr>
          <w:rFonts w:ascii="Verdana" w:hAnsi="Verdana"/>
          <w:sz w:val="20"/>
          <w:szCs w:val="20"/>
        </w:rPr>
        <w:t xml:space="preserve"> </w:t>
      </w:r>
      <w:r w:rsidR="007B7418">
        <w:rPr>
          <w:rFonts w:ascii="Verdana" w:hAnsi="Verdana"/>
          <w:sz w:val="20"/>
          <w:szCs w:val="20"/>
        </w:rPr>
        <w:t xml:space="preserve">quienes dieron muerte a las víctimas de este caso </w:t>
      </w:r>
      <w:r w:rsidR="00717030" w:rsidRPr="00F17964">
        <w:rPr>
          <w:rFonts w:ascii="Verdana" w:hAnsi="Verdana"/>
          <w:sz w:val="20"/>
          <w:szCs w:val="20"/>
        </w:rPr>
        <w:t>(</w:t>
      </w:r>
      <w:r w:rsidR="00717030" w:rsidRPr="00F17964">
        <w:rPr>
          <w:rFonts w:ascii="Verdana" w:hAnsi="Verdana"/>
          <w:i/>
          <w:sz w:val="20"/>
          <w:szCs w:val="20"/>
        </w:rPr>
        <w:t>supra</w:t>
      </w:r>
      <w:r w:rsidR="00717030" w:rsidRPr="00F17964">
        <w:rPr>
          <w:rFonts w:ascii="Verdana" w:hAnsi="Verdana"/>
          <w:sz w:val="20"/>
          <w:szCs w:val="20"/>
        </w:rPr>
        <w:t xml:space="preserve"> Considerando 1</w:t>
      </w:r>
      <w:r w:rsidR="00E97409">
        <w:rPr>
          <w:rFonts w:ascii="Verdana" w:hAnsi="Verdana"/>
          <w:sz w:val="20"/>
          <w:szCs w:val="20"/>
        </w:rPr>
        <w:t>2</w:t>
      </w:r>
      <w:r w:rsidR="00717030" w:rsidRPr="00F17964">
        <w:rPr>
          <w:rFonts w:ascii="Verdana" w:hAnsi="Verdana"/>
          <w:sz w:val="20"/>
          <w:szCs w:val="20"/>
        </w:rPr>
        <w:t>)</w:t>
      </w:r>
      <w:r w:rsidR="007C28C0" w:rsidRPr="00F17964">
        <w:rPr>
          <w:rFonts w:ascii="Verdana" w:hAnsi="Verdana"/>
          <w:sz w:val="20"/>
          <w:szCs w:val="20"/>
        </w:rPr>
        <w:t>.</w:t>
      </w:r>
      <w:r w:rsidR="005A72F0" w:rsidRPr="00F17964">
        <w:rPr>
          <w:rFonts w:ascii="Verdana" w:hAnsi="Verdana"/>
          <w:sz w:val="20"/>
          <w:szCs w:val="20"/>
        </w:rPr>
        <w:t xml:space="preserve"> </w:t>
      </w:r>
      <w:r w:rsidR="00717030" w:rsidRPr="00F17964">
        <w:rPr>
          <w:rFonts w:ascii="Verdana" w:hAnsi="Verdana" w:cs="Arial"/>
          <w:sz w:val="20"/>
          <w:szCs w:val="20"/>
        </w:rPr>
        <w:t>Esta situación ha sido destacada tanto por</w:t>
      </w:r>
      <w:r w:rsidR="005A72F0" w:rsidRPr="00F17964">
        <w:rPr>
          <w:rFonts w:ascii="Verdana" w:hAnsi="Verdana" w:cs="Arial"/>
          <w:sz w:val="20"/>
          <w:szCs w:val="20"/>
        </w:rPr>
        <w:t xml:space="preserve"> los representantes de las víctimas </w:t>
      </w:r>
      <w:r w:rsidR="00717030" w:rsidRPr="00F17964">
        <w:rPr>
          <w:rFonts w:ascii="Verdana" w:hAnsi="Verdana" w:cs="Arial"/>
          <w:sz w:val="20"/>
          <w:szCs w:val="20"/>
        </w:rPr>
        <w:t xml:space="preserve">como </w:t>
      </w:r>
      <w:r w:rsidR="00C7693D">
        <w:rPr>
          <w:rFonts w:ascii="Verdana" w:hAnsi="Verdana" w:cs="Arial"/>
          <w:sz w:val="20"/>
          <w:szCs w:val="20"/>
        </w:rPr>
        <w:t xml:space="preserve">por </w:t>
      </w:r>
      <w:r w:rsidR="00717030" w:rsidRPr="00F17964">
        <w:rPr>
          <w:rFonts w:ascii="Verdana" w:hAnsi="Verdana" w:cs="Arial"/>
          <w:sz w:val="20"/>
          <w:szCs w:val="20"/>
        </w:rPr>
        <w:t>la Comisión Interamericana, al considerar que la</w:t>
      </w:r>
      <w:r w:rsidR="005A72F0" w:rsidRPr="00F17964">
        <w:rPr>
          <w:rFonts w:ascii="Verdana" w:hAnsi="Verdana" w:cs="Arial"/>
          <w:sz w:val="20"/>
          <w:szCs w:val="20"/>
        </w:rPr>
        <w:t xml:space="preserve"> información </w:t>
      </w:r>
      <w:r w:rsidR="00717030" w:rsidRPr="00F17964">
        <w:rPr>
          <w:rFonts w:ascii="Verdana" w:hAnsi="Verdana" w:cs="Arial"/>
          <w:sz w:val="20"/>
          <w:szCs w:val="20"/>
        </w:rPr>
        <w:t>aportada por Ecuador no permite</w:t>
      </w:r>
      <w:r w:rsidR="005A72F0" w:rsidRPr="00F17964">
        <w:rPr>
          <w:rFonts w:ascii="Verdana" w:hAnsi="Verdana" w:cs="Arial"/>
          <w:sz w:val="20"/>
          <w:szCs w:val="20"/>
        </w:rPr>
        <w:t xml:space="preserve"> comprobar </w:t>
      </w:r>
      <w:r w:rsidR="00717030" w:rsidRPr="00F17964">
        <w:rPr>
          <w:rFonts w:ascii="Verdana" w:hAnsi="Verdana" w:cs="Arial"/>
          <w:sz w:val="20"/>
          <w:szCs w:val="20"/>
        </w:rPr>
        <w:t xml:space="preserve">si han habido </w:t>
      </w:r>
      <w:r w:rsidR="005A72F0" w:rsidRPr="00F17964">
        <w:rPr>
          <w:rFonts w:ascii="Verdana" w:hAnsi="Verdana" w:cs="Arial"/>
          <w:sz w:val="20"/>
          <w:szCs w:val="20"/>
        </w:rPr>
        <w:t>avance</w:t>
      </w:r>
      <w:r w:rsidR="00717030" w:rsidRPr="00F17964">
        <w:rPr>
          <w:rFonts w:ascii="Verdana" w:hAnsi="Verdana" w:cs="Arial"/>
          <w:sz w:val="20"/>
          <w:szCs w:val="20"/>
        </w:rPr>
        <w:t>s</w:t>
      </w:r>
      <w:r w:rsidR="005A72F0" w:rsidRPr="00F17964">
        <w:rPr>
          <w:rFonts w:ascii="Verdana" w:hAnsi="Verdana" w:cs="Arial"/>
          <w:sz w:val="20"/>
          <w:szCs w:val="20"/>
        </w:rPr>
        <w:t xml:space="preserve"> en la investigación a nivel interno</w:t>
      </w:r>
      <w:r w:rsidR="00717030" w:rsidRPr="00F17964">
        <w:rPr>
          <w:rFonts w:ascii="Verdana" w:hAnsi="Verdana" w:cs="Arial"/>
          <w:sz w:val="20"/>
          <w:szCs w:val="20"/>
        </w:rPr>
        <w:t xml:space="preserve"> (</w:t>
      </w:r>
      <w:r w:rsidR="00717030" w:rsidRPr="00F17964">
        <w:rPr>
          <w:rFonts w:ascii="Verdana" w:hAnsi="Verdana" w:cs="Arial"/>
          <w:i/>
          <w:sz w:val="20"/>
          <w:szCs w:val="20"/>
        </w:rPr>
        <w:t>supra</w:t>
      </w:r>
      <w:r w:rsidR="00717030" w:rsidRPr="00F17964">
        <w:rPr>
          <w:rFonts w:ascii="Verdana" w:hAnsi="Verdana" w:cs="Arial"/>
          <w:sz w:val="20"/>
          <w:szCs w:val="20"/>
        </w:rPr>
        <w:t xml:space="preserve"> Considerando 11)</w:t>
      </w:r>
      <w:r w:rsidR="005A72F0" w:rsidRPr="00F17964">
        <w:rPr>
          <w:rFonts w:ascii="Verdana" w:hAnsi="Verdana" w:cs="Arial"/>
          <w:sz w:val="20"/>
          <w:szCs w:val="20"/>
        </w:rPr>
        <w:t>.</w:t>
      </w:r>
      <w:r w:rsidR="00FC2769" w:rsidRPr="00F17964">
        <w:rPr>
          <w:rFonts w:ascii="Verdana" w:hAnsi="Verdana" w:cs="Arial"/>
          <w:sz w:val="20"/>
          <w:szCs w:val="20"/>
        </w:rPr>
        <w:t xml:space="preserve"> </w:t>
      </w:r>
    </w:p>
    <w:p w:rsidR="00940D7E" w:rsidRPr="00F17964" w:rsidRDefault="00793154" w:rsidP="00940D7E">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sz w:val="20"/>
          <w:szCs w:val="20"/>
        </w:rPr>
        <w:lastRenderedPageBreak/>
        <w:t xml:space="preserve">En consecuencia, en aras de cumplir su función de supervisar el cumplimiento de las medidas de reparación de las violaciones cometidas en perjuicio de las víctimas, </w:t>
      </w:r>
      <w:r w:rsidR="00717030" w:rsidRPr="00F17964">
        <w:rPr>
          <w:rFonts w:ascii="Verdana" w:hAnsi="Verdana"/>
          <w:sz w:val="20"/>
          <w:szCs w:val="20"/>
        </w:rPr>
        <w:t xml:space="preserve">este Tribunal </w:t>
      </w:r>
      <w:r w:rsidRPr="00F17964">
        <w:rPr>
          <w:rFonts w:ascii="Verdana" w:hAnsi="Verdana"/>
          <w:sz w:val="20"/>
          <w:szCs w:val="20"/>
        </w:rPr>
        <w:t xml:space="preserve">solicita al </w:t>
      </w:r>
      <w:r w:rsidR="00717030" w:rsidRPr="00F17964">
        <w:rPr>
          <w:rFonts w:ascii="Verdana" w:hAnsi="Verdana"/>
          <w:sz w:val="20"/>
          <w:szCs w:val="20"/>
        </w:rPr>
        <w:t>Estado</w:t>
      </w:r>
      <w:r w:rsidRPr="00F17964">
        <w:rPr>
          <w:rFonts w:ascii="Verdana" w:hAnsi="Verdana"/>
          <w:sz w:val="20"/>
          <w:szCs w:val="20"/>
        </w:rPr>
        <w:t xml:space="preserve"> que presente información actualizada, concreta y detallada que </w:t>
      </w:r>
      <w:r w:rsidR="00717030" w:rsidRPr="00F17964">
        <w:rPr>
          <w:rFonts w:ascii="Verdana" w:hAnsi="Verdana"/>
          <w:sz w:val="20"/>
          <w:szCs w:val="20"/>
        </w:rPr>
        <w:t xml:space="preserve">le </w:t>
      </w:r>
      <w:r w:rsidRPr="00F17964">
        <w:rPr>
          <w:rFonts w:ascii="Verdana" w:hAnsi="Verdana"/>
          <w:sz w:val="20"/>
          <w:szCs w:val="20"/>
        </w:rPr>
        <w:t xml:space="preserve">permita evaluar adecuadamente el grado de cumplimiento de la obligación de investigar. </w:t>
      </w:r>
      <w:r w:rsidR="005E4791" w:rsidRPr="00F17964">
        <w:rPr>
          <w:rFonts w:ascii="Verdana" w:hAnsi="Verdana"/>
          <w:sz w:val="20"/>
          <w:szCs w:val="20"/>
        </w:rPr>
        <w:t>Para ello, en el informe que presente el Estado deberá tomar en cuenta las solicitudes específicas que ha realizado este Tribunal en resoluciones de supervisión anteriores</w:t>
      </w:r>
      <w:r w:rsidR="005A72F0" w:rsidRPr="00F17964">
        <w:rPr>
          <w:rStyle w:val="Refdenotaalpie"/>
          <w:rFonts w:ascii="Verdana" w:hAnsi="Verdana"/>
          <w:sz w:val="20"/>
          <w:szCs w:val="20"/>
        </w:rPr>
        <w:footnoteReference w:id="29"/>
      </w:r>
      <w:r w:rsidR="005E4791" w:rsidRPr="00F17964">
        <w:rPr>
          <w:rFonts w:ascii="Verdana" w:hAnsi="Verdana"/>
          <w:sz w:val="20"/>
          <w:szCs w:val="20"/>
        </w:rPr>
        <w:t xml:space="preserve">. </w:t>
      </w:r>
      <w:r w:rsidRPr="00F17964">
        <w:rPr>
          <w:rFonts w:ascii="Verdana" w:hAnsi="Verdana"/>
          <w:sz w:val="20"/>
          <w:szCs w:val="20"/>
        </w:rPr>
        <w:t>En atención al principio del</w:t>
      </w:r>
      <w:r w:rsidR="00150056" w:rsidRPr="00F17964">
        <w:rPr>
          <w:rFonts w:ascii="Verdana" w:hAnsi="Verdana"/>
          <w:sz w:val="20"/>
          <w:szCs w:val="20"/>
        </w:rPr>
        <w:t xml:space="preserve"> contradictorio, la Corte valorará </w:t>
      </w:r>
      <w:r w:rsidRPr="00F17964">
        <w:rPr>
          <w:rFonts w:ascii="Verdana" w:hAnsi="Verdana"/>
          <w:sz w:val="20"/>
          <w:szCs w:val="20"/>
        </w:rPr>
        <w:t xml:space="preserve">en el presente caso </w:t>
      </w:r>
      <w:r w:rsidR="00150056" w:rsidRPr="00F17964">
        <w:rPr>
          <w:rFonts w:ascii="Verdana" w:hAnsi="Verdana"/>
          <w:sz w:val="20"/>
          <w:szCs w:val="20"/>
        </w:rPr>
        <w:t xml:space="preserve">la necesidad, conveniencia o pertinencia de mantener la confidencialidad de la información aportada </w:t>
      </w:r>
      <w:r w:rsidRPr="00F17964">
        <w:rPr>
          <w:rFonts w:ascii="Verdana" w:hAnsi="Verdana"/>
          <w:sz w:val="20"/>
          <w:szCs w:val="20"/>
        </w:rPr>
        <w:t xml:space="preserve">por Ecuador </w:t>
      </w:r>
      <w:r w:rsidR="00150056" w:rsidRPr="00F17964">
        <w:rPr>
          <w:rFonts w:ascii="Verdana" w:hAnsi="Verdana"/>
          <w:sz w:val="20"/>
          <w:szCs w:val="20"/>
        </w:rPr>
        <w:t xml:space="preserve">en cuanto a su utilización en </w:t>
      </w:r>
      <w:r w:rsidRPr="00F17964">
        <w:rPr>
          <w:rFonts w:ascii="Verdana" w:hAnsi="Verdana"/>
          <w:sz w:val="20"/>
          <w:szCs w:val="20"/>
        </w:rPr>
        <w:t xml:space="preserve">una posterior </w:t>
      </w:r>
      <w:r w:rsidR="00150056" w:rsidRPr="00F17964">
        <w:rPr>
          <w:rFonts w:ascii="Verdana" w:hAnsi="Verdana"/>
          <w:sz w:val="20"/>
          <w:szCs w:val="20"/>
        </w:rPr>
        <w:t>resolución, pero no respecto del acceso de las partes a la misma</w:t>
      </w:r>
      <w:r w:rsidRPr="00F17964">
        <w:rPr>
          <w:rStyle w:val="Refdenotaalpie"/>
          <w:rFonts w:ascii="Verdana" w:hAnsi="Verdana"/>
          <w:sz w:val="20"/>
          <w:szCs w:val="20"/>
        </w:rPr>
        <w:footnoteReference w:id="30"/>
      </w:r>
      <w:r w:rsidR="00150056" w:rsidRPr="00F17964">
        <w:rPr>
          <w:rFonts w:ascii="Verdana" w:hAnsi="Verdana"/>
          <w:sz w:val="20"/>
          <w:szCs w:val="20"/>
        </w:rPr>
        <w:t>.</w:t>
      </w:r>
      <w:r w:rsidR="00D455C7" w:rsidRPr="00F17964">
        <w:rPr>
          <w:rFonts w:ascii="Verdana" w:hAnsi="Verdana"/>
          <w:sz w:val="20"/>
          <w:szCs w:val="20"/>
        </w:rPr>
        <w:t xml:space="preserve"> </w:t>
      </w:r>
      <w:r w:rsidR="004D7BFC">
        <w:rPr>
          <w:rFonts w:ascii="Verdana" w:hAnsi="Verdana"/>
          <w:sz w:val="20"/>
          <w:szCs w:val="20"/>
        </w:rPr>
        <w:t>Además, e</w:t>
      </w:r>
      <w:r w:rsidR="00D455C7" w:rsidRPr="00F17964">
        <w:rPr>
          <w:rFonts w:ascii="Verdana" w:hAnsi="Verdana"/>
          <w:sz w:val="20"/>
          <w:szCs w:val="20"/>
        </w:rPr>
        <w:t xml:space="preserve">l acceso de </w:t>
      </w:r>
      <w:r w:rsidR="004D7BFC">
        <w:rPr>
          <w:rFonts w:ascii="Verdana" w:hAnsi="Verdana"/>
          <w:sz w:val="20"/>
          <w:szCs w:val="20"/>
        </w:rPr>
        <w:t xml:space="preserve">los familiares de las víctimas </w:t>
      </w:r>
      <w:r w:rsidR="00D455C7" w:rsidRPr="00F17964">
        <w:rPr>
          <w:rFonts w:ascii="Verdana" w:hAnsi="Verdana"/>
          <w:sz w:val="20"/>
          <w:szCs w:val="20"/>
        </w:rPr>
        <w:t>a la información sobre la investigación penal de los hechos es particularmente relevante (</w:t>
      </w:r>
      <w:r w:rsidR="00D455C7" w:rsidRPr="00F17964">
        <w:rPr>
          <w:rFonts w:ascii="Verdana" w:hAnsi="Verdana"/>
          <w:i/>
          <w:sz w:val="20"/>
          <w:szCs w:val="20"/>
        </w:rPr>
        <w:t xml:space="preserve">supra </w:t>
      </w:r>
      <w:r w:rsidR="00D455C7" w:rsidRPr="00F17964">
        <w:rPr>
          <w:rFonts w:ascii="Verdana" w:hAnsi="Verdana"/>
          <w:sz w:val="20"/>
          <w:szCs w:val="20"/>
        </w:rPr>
        <w:t xml:space="preserve">Considerando </w:t>
      </w:r>
      <w:r w:rsidR="00E97409">
        <w:rPr>
          <w:rFonts w:ascii="Verdana" w:hAnsi="Verdana"/>
          <w:sz w:val="20"/>
          <w:szCs w:val="20"/>
        </w:rPr>
        <w:t>10</w:t>
      </w:r>
      <w:r w:rsidR="00D455C7" w:rsidRPr="00F17964">
        <w:rPr>
          <w:rFonts w:ascii="Verdana" w:hAnsi="Verdana"/>
          <w:sz w:val="20"/>
          <w:szCs w:val="20"/>
        </w:rPr>
        <w:t>)</w:t>
      </w:r>
      <w:r w:rsidR="00717030" w:rsidRPr="00F17964">
        <w:rPr>
          <w:rFonts w:ascii="Verdana" w:hAnsi="Verdana"/>
          <w:sz w:val="20"/>
          <w:szCs w:val="20"/>
        </w:rPr>
        <w:t>.</w:t>
      </w:r>
    </w:p>
    <w:p w:rsidR="00D455C7" w:rsidRPr="00F17964" w:rsidRDefault="00D455C7" w:rsidP="00940D7E">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cs="Arial"/>
          <w:sz w:val="20"/>
          <w:szCs w:val="20"/>
        </w:rPr>
      </w:pPr>
      <w:r w:rsidRPr="00F17964">
        <w:rPr>
          <w:rFonts w:ascii="Verdana" w:hAnsi="Verdana" w:cs="Arial"/>
          <w:sz w:val="20"/>
          <w:szCs w:val="20"/>
        </w:rPr>
        <w:t xml:space="preserve">En razón de lo expuesto, la </w:t>
      </w:r>
      <w:r w:rsidRPr="00F17964">
        <w:rPr>
          <w:rFonts w:ascii="Verdana" w:hAnsi="Verdana"/>
          <w:sz w:val="20"/>
          <w:szCs w:val="20"/>
        </w:rPr>
        <w:t>Corte concluye que la medida de reparación relativa a la obligación de investigar los hechos del presente caso se encuentra pendiente de cumplimiento, y reitera al Estado el deber de intensificar sus esfuerzos para que todos los hechos que configuraron violaciones a derechos humanos en ese caso sean investigados con la debida diligencia</w:t>
      </w:r>
      <w:r w:rsidR="00683EA0" w:rsidRPr="00F17964">
        <w:rPr>
          <w:rStyle w:val="Refdenotaalpie"/>
          <w:rFonts w:ascii="Verdana" w:hAnsi="Verdana"/>
          <w:sz w:val="20"/>
          <w:szCs w:val="20"/>
        </w:rPr>
        <w:footnoteReference w:id="31"/>
      </w:r>
      <w:r w:rsidR="00683EA0" w:rsidRPr="00F17964">
        <w:rPr>
          <w:rFonts w:ascii="Verdana" w:hAnsi="Verdana"/>
          <w:sz w:val="20"/>
          <w:szCs w:val="20"/>
        </w:rPr>
        <w:t>.</w:t>
      </w:r>
    </w:p>
    <w:p w:rsidR="00C228C3" w:rsidRPr="00F17964" w:rsidRDefault="00C228C3" w:rsidP="00B929CA">
      <w:pPr>
        <w:pStyle w:val="Prrafodelista"/>
        <w:numPr>
          <w:ilvl w:val="0"/>
          <w:numId w:val="3"/>
        </w:numPr>
        <w:autoSpaceDE w:val="0"/>
        <w:autoSpaceDN w:val="0"/>
        <w:adjustRightInd w:val="0"/>
        <w:spacing w:before="120" w:after="120" w:line="240" w:lineRule="auto"/>
        <w:contextualSpacing w:val="0"/>
        <w:jc w:val="both"/>
        <w:outlineLvl w:val="0"/>
        <w:rPr>
          <w:rFonts w:ascii="Verdana" w:hAnsi="Verdana" w:cs="Arial"/>
          <w:b/>
          <w:i/>
          <w:sz w:val="20"/>
          <w:szCs w:val="20"/>
        </w:rPr>
      </w:pPr>
      <w:r w:rsidRPr="00F17964">
        <w:rPr>
          <w:rFonts w:ascii="Verdana" w:hAnsi="Verdana" w:cs="Arial"/>
          <w:b/>
          <w:i/>
          <w:sz w:val="20"/>
          <w:szCs w:val="20"/>
        </w:rPr>
        <w:t>Pago de los intereses moratorios en relación con los pagos realizados por concepto de indemnizaciones por daño material e inmaterial</w:t>
      </w:r>
    </w:p>
    <w:p w:rsidR="00C228C3" w:rsidRPr="00F17964" w:rsidRDefault="00C228C3" w:rsidP="00E17F2C">
      <w:pPr>
        <w:autoSpaceDE w:val="0"/>
        <w:autoSpaceDN w:val="0"/>
        <w:adjustRightInd w:val="0"/>
        <w:spacing w:before="120" w:after="120" w:line="240" w:lineRule="auto"/>
        <w:ind w:firstLine="708"/>
        <w:jc w:val="both"/>
        <w:rPr>
          <w:rFonts w:ascii="Verdana" w:hAnsi="Verdana"/>
          <w:i/>
          <w:sz w:val="20"/>
          <w:szCs w:val="20"/>
          <w:lang w:val="es-CR"/>
        </w:rPr>
      </w:pPr>
      <w:r w:rsidRPr="00F17964">
        <w:rPr>
          <w:rFonts w:ascii="Verdana" w:hAnsi="Verdana"/>
          <w:i/>
          <w:sz w:val="20"/>
          <w:szCs w:val="20"/>
          <w:lang w:val="es-CR"/>
        </w:rPr>
        <w:t>B.1) Medida ordenada por la Corte y supervisión realizada en resoluciones anteriores</w:t>
      </w:r>
    </w:p>
    <w:p w:rsidR="00C228C3" w:rsidRPr="00F17964" w:rsidRDefault="00C228C3"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sz w:val="20"/>
          <w:szCs w:val="20"/>
        </w:rPr>
        <w:t xml:space="preserve">En el punto dispositivo décimo primero y en los párrafos 139, 140, 143, 144 y 145 de la Sentencia, la Corte determinó que, “dentro del plazo de un año contado a partir de la notificación de la [misma]”, el Estado “debe pagar directamente a los familiares de los señores </w:t>
      </w:r>
      <w:r w:rsidRPr="00F17964">
        <w:rPr>
          <w:rFonts w:ascii="Verdana" w:hAnsi="Verdana" w:cs="Verdana"/>
          <w:sz w:val="20"/>
          <w:szCs w:val="20"/>
        </w:rPr>
        <w:t xml:space="preserve">Wilmer Zambrano Vélez, Segundo Olmedo Caicedo </w:t>
      </w:r>
      <w:proofErr w:type="spellStart"/>
      <w:r w:rsidRPr="00F17964">
        <w:rPr>
          <w:rFonts w:ascii="Verdana" w:hAnsi="Verdana" w:cs="Verdana"/>
          <w:sz w:val="20"/>
          <w:szCs w:val="20"/>
        </w:rPr>
        <w:t>Cobeña</w:t>
      </w:r>
      <w:proofErr w:type="spellEnd"/>
      <w:r w:rsidRPr="00F17964">
        <w:rPr>
          <w:rFonts w:ascii="Verdana" w:hAnsi="Verdana" w:cs="Verdana"/>
          <w:sz w:val="20"/>
          <w:szCs w:val="20"/>
        </w:rPr>
        <w:t xml:space="preserve"> y José Miguel Caicedo </w:t>
      </w:r>
      <w:proofErr w:type="spellStart"/>
      <w:r w:rsidRPr="00F17964">
        <w:rPr>
          <w:rFonts w:ascii="Verdana" w:hAnsi="Verdana" w:cs="Verdana"/>
          <w:sz w:val="20"/>
          <w:szCs w:val="20"/>
        </w:rPr>
        <w:t>Cobeña</w:t>
      </w:r>
      <w:proofErr w:type="spellEnd"/>
      <w:r w:rsidRPr="00F17964">
        <w:rPr>
          <w:rFonts w:ascii="Verdana" w:hAnsi="Verdana" w:cs="Verdana"/>
          <w:sz w:val="20"/>
          <w:szCs w:val="20"/>
        </w:rPr>
        <w:t xml:space="preserve">, las cantidades fijadas en los [referidos] párrafos […], por concepto de </w:t>
      </w:r>
      <w:r w:rsidR="00C37626">
        <w:rPr>
          <w:rFonts w:ascii="Verdana" w:hAnsi="Verdana" w:cs="Verdana"/>
          <w:sz w:val="20"/>
          <w:szCs w:val="20"/>
        </w:rPr>
        <w:t xml:space="preserve">indemnización por </w:t>
      </w:r>
      <w:r w:rsidRPr="00F17964">
        <w:rPr>
          <w:rFonts w:ascii="Verdana" w:hAnsi="Verdana" w:cs="Verdana"/>
          <w:sz w:val="20"/>
          <w:szCs w:val="20"/>
        </w:rPr>
        <w:t xml:space="preserve">daño material e inmaterial”. Asimismo, en el párrafo 167 dispuso que “[e]n caso que el Estado incurriera en mora, deberá pagar un interés sobre la cantidad adeudada, correspondiente al interés bancario moratorio en Ecuador”. </w:t>
      </w:r>
    </w:p>
    <w:p w:rsidR="00C228C3" w:rsidRPr="00F17964" w:rsidRDefault="00C228C3"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cs="Verdana"/>
          <w:sz w:val="20"/>
          <w:szCs w:val="20"/>
        </w:rPr>
        <w:t>En la Resolución de septiembre de 2009</w:t>
      </w:r>
      <w:r w:rsidRPr="00F17964">
        <w:rPr>
          <w:rStyle w:val="Refdenotaalpie"/>
          <w:rFonts w:ascii="Verdana" w:hAnsi="Verdana" w:cs="Verdana"/>
          <w:sz w:val="20"/>
          <w:szCs w:val="20"/>
        </w:rPr>
        <w:footnoteReference w:id="32"/>
      </w:r>
      <w:r w:rsidRPr="00F17964">
        <w:rPr>
          <w:rFonts w:ascii="Verdana" w:hAnsi="Verdana" w:cs="Verdana"/>
          <w:sz w:val="20"/>
          <w:szCs w:val="20"/>
        </w:rPr>
        <w:t>, la Corte declaró que Ecuador cumplió parcialmente con esta medida ya que el 1 de septiembre de 2008 “</w:t>
      </w:r>
      <w:proofErr w:type="spellStart"/>
      <w:r w:rsidRPr="00F17964">
        <w:rPr>
          <w:rFonts w:ascii="Verdana" w:hAnsi="Verdana" w:cs="Verdana"/>
          <w:sz w:val="20"/>
          <w:szCs w:val="20"/>
        </w:rPr>
        <w:t>realiz</w:t>
      </w:r>
      <w:proofErr w:type="spellEnd"/>
      <w:r w:rsidRPr="00F17964">
        <w:rPr>
          <w:rFonts w:ascii="Verdana" w:hAnsi="Verdana" w:cs="Verdana"/>
          <w:sz w:val="20"/>
          <w:szCs w:val="20"/>
        </w:rPr>
        <w:t>[</w:t>
      </w:r>
      <w:proofErr w:type="spellStart"/>
      <w:r w:rsidRPr="00F17964">
        <w:rPr>
          <w:rFonts w:ascii="Verdana" w:hAnsi="Verdana" w:cs="Verdana"/>
          <w:sz w:val="20"/>
          <w:szCs w:val="20"/>
        </w:rPr>
        <w:t>ó</w:t>
      </w:r>
      <w:proofErr w:type="spellEnd"/>
      <w:r w:rsidRPr="00F17964">
        <w:rPr>
          <w:rFonts w:ascii="Verdana" w:hAnsi="Verdana" w:cs="Verdana"/>
          <w:sz w:val="20"/>
          <w:szCs w:val="20"/>
        </w:rPr>
        <w:t>] los pagos correspondientes a las compensaciones e indemnizaciones dispuestas [en la Sentencia] a favor de las víctimas y familiares”. La Corte indicó que se encontraba pendiente que Ecuador “</w:t>
      </w:r>
      <w:proofErr w:type="spellStart"/>
      <w:proofErr w:type="gramStart"/>
      <w:r w:rsidRPr="00F17964">
        <w:rPr>
          <w:rFonts w:ascii="Verdana" w:hAnsi="Verdana" w:cs="Verdana"/>
          <w:sz w:val="20"/>
          <w:szCs w:val="20"/>
        </w:rPr>
        <w:t>cubr</w:t>
      </w:r>
      <w:proofErr w:type="spellEnd"/>
      <w:r w:rsidRPr="00F17964">
        <w:rPr>
          <w:rFonts w:ascii="Verdana" w:hAnsi="Verdana" w:cs="Verdana"/>
          <w:sz w:val="20"/>
          <w:szCs w:val="20"/>
        </w:rPr>
        <w:t>[</w:t>
      </w:r>
      <w:proofErr w:type="spellStart"/>
      <w:proofErr w:type="gramEnd"/>
      <w:r w:rsidRPr="00F17964">
        <w:rPr>
          <w:rFonts w:ascii="Verdana" w:hAnsi="Verdana" w:cs="Verdana"/>
          <w:sz w:val="20"/>
          <w:szCs w:val="20"/>
        </w:rPr>
        <w:t>iera</w:t>
      </w:r>
      <w:proofErr w:type="spellEnd"/>
      <w:r w:rsidRPr="00F17964">
        <w:rPr>
          <w:rFonts w:ascii="Verdana" w:hAnsi="Verdana" w:cs="Verdana"/>
          <w:sz w:val="20"/>
          <w:szCs w:val="20"/>
        </w:rPr>
        <w:t>] a los familiares las cantidades devengadas por concepto de intereses moratorios”</w:t>
      </w:r>
      <w:r w:rsidR="004B6376">
        <w:rPr>
          <w:rFonts w:ascii="Verdana" w:hAnsi="Verdana" w:cs="Verdana"/>
          <w:sz w:val="20"/>
          <w:szCs w:val="20"/>
        </w:rPr>
        <w:t xml:space="preserve">. Dichos intereses corresponden al atraso de un mes </w:t>
      </w:r>
      <w:r w:rsidR="00C37626">
        <w:rPr>
          <w:rFonts w:ascii="Verdana" w:hAnsi="Verdana" w:cs="Verdana"/>
          <w:sz w:val="20"/>
          <w:szCs w:val="20"/>
        </w:rPr>
        <w:t xml:space="preserve">en </w:t>
      </w:r>
      <w:r w:rsidR="004B6376">
        <w:rPr>
          <w:rFonts w:ascii="Verdana" w:hAnsi="Verdana" w:cs="Verdana"/>
          <w:sz w:val="20"/>
          <w:szCs w:val="20"/>
        </w:rPr>
        <w:t>la realización del pago.</w:t>
      </w:r>
    </w:p>
    <w:p w:rsidR="00C228C3" w:rsidRPr="00174975" w:rsidRDefault="00102F5E"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Pr>
          <w:rFonts w:ascii="Verdana" w:hAnsi="Verdana" w:cs="Verdana"/>
          <w:sz w:val="20"/>
          <w:szCs w:val="20"/>
        </w:rPr>
        <w:lastRenderedPageBreak/>
        <w:t>E</w:t>
      </w:r>
      <w:r w:rsidR="00C228C3" w:rsidRPr="00F17964">
        <w:rPr>
          <w:rFonts w:ascii="Verdana" w:hAnsi="Verdana" w:cs="Verdana"/>
          <w:sz w:val="20"/>
          <w:szCs w:val="20"/>
        </w:rPr>
        <w:t>n la Resolución de noviembre de 2010</w:t>
      </w:r>
      <w:r w:rsidR="00C228C3" w:rsidRPr="00F17964">
        <w:rPr>
          <w:rStyle w:val="Refdenotaalpie"/>
          <w:rFonts w:ascii="Verdana" w:hAnsi="Verdana" w:cs="Verdana"/>
          <w:sz w:val="20"/>
          <w:szCs w:val="20"/>
        </w:rPr>
        <w:footnoteReference w:id="33"/>
      </w:r>
      <w:r w:rsidR="00C228C3" w:rsidRPr="00F17964">
        <w:rPr>
          <w:rFonts w:ascii="Verdana" w:hAnsi="Verdana" w:cs="Verdana"/>
          <w:sz w:val="20"/>
          <w:szCs w:val="20"/>
        </w:rPr>
        <w:t xml:space="preserve"> el Tribunal valoró positivamente que el 1 de abril de </w:t>
      </w:r>
      <w:r>
        <w:rPr>
          <w:rFonts w:ascii="Verdana" w:hAnsi="Verdana" w:cs="Verdana"/>
          <w:sz w:val="20"/>
          <w:szCs w:val="20"/>
        </w:rPr>
        <w:t>ese año</w:t>
      </w:r>
      <w:r w:rsidR="00C228C3" w:rsidRPr="00F17964">
        <w:rPr>
          <w:rFonts w:ascii="Verdana" w:hAnsi="Verdana" w:cs="Verdana"/>
          <w:sz w:val="20"/>
          <w:szCs w:val="20"/>
        </w:rPr>
        <w:t xml:space="preserve"> las víctimas </w:t>
      </w:r>
      <w:r w:rsidR="005E424D">
        <w:rPr>
          <w:rFonts w:ascii="Verdana" w:hAnsi="Verdana" w:cs="Verdana"/>
          <w:sz w:val="20"/>
          <w:szCs w:val="20"/>
        </w:rPr>
        <w:t xml:space="preserve">y </w:t>
      </w:r>
      <w:r w:rsidR="00C228C3" w:rsidRPr="00F17964">
        <w:rPr>
          <w:rFonts w:ascii="Verdana" w:hAnsi="Verdana" w:cs="Verdana"/>
          <w:sz w:val="20"/>
          <w:szCs w:val="20"/>
        </w:rPr>
        <w:t xml:space="preserve">el Estado </w:t>
      </w:r>
      <w:r w:rsidR="005E424D">
        <w:rPr>
          <w:rFonts w:ascii="Verdana" w:hAnsi="Verdana" w:cs="Verdana"/>
          <w:sz w:val="20"/>
          <w:szCs w:val="20"/>
        </w:rPr>
        <w:t xml:space="preserve">firmaron </w:t>
      </w:r>
      <w:r w:rsidR="00C228C3" w:rsidRPr="00F17964">
        <w:rPr>
          <w:rFonts w:ascii="Verdana" w:hAnsi="Verdana" w:cs="Verdana"/>
          <w:sz w:val="20"/>
          <w:szCs w:val="20"/>
        </w:rPr>
        <w:t xml:space="preserve">un </w:t>
      </w:r>
      <w:r>
        <w:rPr>
          <w:rFonts w:ascii="Verdana" w:hAnsi="Verdana" w:cs="Verdana"/>
          <w:sz w:val="20"/>
          <w:szCs w:val="20"/>
        </w:rPr>
        <w:t>acuerdo sobre el pago de dichos intereses</w:t>
      </w:r>
      <w:r w:rsidR="00C228C3" w:rsidRPr="00F17964">
        <w:rPr>
          <w:rStyle w:val="Refdenotaalpie"/>
          <w:rFonts w:ascii="Verdana" w:hAnsi="Verdana" w:cs="Verdana"/>
          <w:sz w:val="20"/>
          <w:szCs w:val="20"/>
        </w:rPr>
        <w:footnoteReference w:id="34"/>
      </w:r>
      <w:r w:rsidR="00C228C3" w:rsidRPr="00F17964">
        <w:rPr>
          <w:rFonts w:ascii="Verdana" w:hAnsi="Verdana" w:cs="Verdana"/>
          <w:sz w:val="20"/>
          <w:szCs w:val="20"/>
        </w:rPr>
        <w:t xml:space="preserve">. </w:t>
      </w:r>
      <w:r w:rsidR="00281D32">
        <w:rPr>
          <w:rFonts w:ascii="Verdana" w:hAnsi="Verdana" w:cs="Verdana"/>
          <w:sz w:val="20"/>
          <w:szCs w:val="20"/>
        </w:rPr>
        <w:t>En lo que respecta a su pago efectivo, debido a que e</w:t>
      </w:r>
      <w:r w:rsidR="00C228C3" w:rsidRPr="00F17964">
        <w:rPr>
          <w:rFonts w:ascii="Verdana" w:hAnsi="Verdana" w:cs="Verdana"/>
          <w:sz w:val="20"/>
          <w:szCs w:val="20"/>
        </w:rPr>
        <w:t xml:space="preserve">l Estado indicó que había pagado a todas las víctimas </w:t>
      </w:r>
      <w:r w:rsidR="00C37626">
        <w:rPr>
          <w:rFonts w:ascii="Verdana" w:hAnsi="Verdana" w:cs="Verdana"/>
          <w:sz w:val="20"/>
          <w:szCs w:val="20"/>
        </w:rPr>
        <w:t>y que</w:t>
      </w:r>
      <w:r w:rsidR="00C37626" w:rsidRPr="00F17964">
        <w:rPr>
          <w:rFonts w:ascii="Verdana" w:hAnsi="Verdana" w:cs="Verdana"/>
          <w:sz w:val="20"/>
          <w:szCs w:val="20"/>
        </w:rPr>
        <w:t xml:space="preserve"> </w:t>
      </w:r>
      <w:r w:rsidR="00C228C3" w:rsidRPr="00F17964">
        <w:rPr>
          <w:rFonts w:ascii="Verdana" w:hAnsi="Verdana" w:cs="Verdana"/>
          <w:sz w:val="20"/>
          <w:szCs w:val="20"/>
        </w:rPr>
        <w:t>los representantes afirmaron que pagó solo a una parte de los beneficiarios</w:t>
      </w:r>
      <w:r w:rsidR="00281D32">
        <w:rPr>
          <w:rFonts w:ascii="Verdana" w:hAnsi="Verdana" w:cs="Verdana"/>
          <w:sz w:val="20"/>
          <w:szCs w:val="20"/>
        </w:rPr>
        <w:t>, l</w:t>
      </w:r>
      <w:r w:rsidR="00C228C3" w:rsidRPr="00F17964">
        <w:rPr>
          <w:rFonts w:ascii="Verdana" w:hAnsi="Verdana" w:cs="Verdana"/>
          <w:sz w:val="20"/>
          <w:szCs w:val="20"/>
        </w:rPr>
        <w:t xml:space="preserve">a Corte dispuso que </w:t>
      </w:r>
      <w:r w:rsidR="00C37626">
        <w:rPr>
          <w:rFonts w:ascii="Verdana" w:hAnsi="Verdana" w:cs="Verdana"/>
          <w:sz w:val="20"/>
          <w:szCs w:val="20"/>
        </w:rPr>
        <w:t>Ecuador</w:t>
      </w:r>
      <w:r w:rsidR="00C228C3" w:rsidRPr="00F17964">
        <w:rPr>
          <w:rFonts w:ascii="Verdana" w:hAnsi="Verdana" w:cs="Verdana"/>
          <w:sz w:val="20"/>
          <w:szCs w:val="20"/>
        </w:rPr>
        <w:t xml:space="preserve"> </w:t>
      </w:r>
      <w:r w:rsidR="00326493">
        <w:rPr>
          <w:rFonts w:ascii="Verdana" w:hAnsi="Verdana" w:cs="Verdana"/>
          <w:sz w:val="20"/>
          <w:szCs w:val="20"/>
        </w:rPr>
        <w:t>debía “</w:t>
      </w:r>
      <w:r w:rsidR="00C228C3" w:rsidRPr="00F17964">
        <w:rPr>
          <w:rFonts w:ascii="Verdana" w:hAnsi="Verdana" w:cs="Verdana"/>
          <w:sz w:val="20"/>
          <w:szCs w:val="20"/>
        </w:rPr>
        <w:t>informar y demostrar con la documentación pertinente el cumplimiento total del pago de los intereses moratorios adeudados</w:t>
      </w:r>
      <w:r w:rsidR="00C228C3" w:rsidRPr="00CB34AB">
        <w:rPr>
          <w:rFonts w:ascii="Verdana" w:hAnsi="Verdana" w:cs="Verdana"/>
          <w:sz w:val="20"/>
          <w:szCs w:val="20"/>
        </w:rPr>
        <w:t>”.</w:t>
      </w:r>
    </w:p>
    <w:p w:rsidR="00C228C3" w:rsidRPr="00F17964" w:rsidRDefault="00C228C3" w:rsidP="007559FB">
      <w:pPr>
        <w:autoSpaceDE w:val="0"/>
        <w:autoSpaceDN w:val="0"/>
        <w:adjustRightInd w:val="0"/>
        <w:spacing w:before="120" w:after="120" w:line="240" w:lineRule="auto"/>
        <w:ind w:firstLine="720"/>
        <w:jc w:val="both"/>
        <w:rPr>
          <w:rFonts w:ascii="Verdana" w:hAnsi="Verdana"/>
          <w:i/>
          <w:color w:val="00B050"/>
          <w:sz w:val="20"/>
          <w:szCs w:val="20"/>
          <w:lang w:val="es-CR"/>
        </w:rPr>
      </w:pPr>
      <w:r w:rsidRPr="00F17964">
        <w:rPr>
          <w:rFonts w:ascii="Verdana" w:hAnsi="Verdana" w:cs="Arial"/>
          <w:i/>
          <w:sz w:val="20"/>
          <w:szCs w:val="20"/>
          <w:lang w:val="es-CR"/>
        </w:rPr>
        <w:t xml:space="preserve">B.2) Consideraciones de la Corte </w:t>
      </w:r>
    </w:p>
    <w:p w:rsidR="00C228C3" w:rsidRPr="00F17964" w:rsidRDefault="005D4676" w:rsidP="00101833">
      <w:pPr>
        <w:pStyle w:val="Prrafodelista"/>
        <w:numPr>
          <w:ilvl w:val="0"/>
          <w:numId w:val="2"/>
        </w:numPr>
        <w:autoSpaceDE w:val="0"/>
        <w:autoSpaceDN w:val="0"/>
        <w:adjustRightInd w:val="0"/>
        <w:spacing w:before="120" w:after="120" w:line="240" w:lineRule="auto"/>
        <w:ind w:left="0" w:firstLine="0"/>
        <w:contextualSpacing w:val="0"/>
        <w:jc w:val="both"/>
        <w:rPr>
          <w:rFonts w:ascii="Verdana" w:hAnsi="Verdana"/>
          <w:sz w:val="20"/>
          <w:szCs w:val="20"/>
        </w:rPr>
      </w:pPr>
      <w:r w:rsidRPr="00F17964">
        <w:rPr>
          <w:rFonts w:ascii="Verdana" w:hAnsi="Verdana"/>
          <w:sz w:val="20"/>
          <w:szCs w:val="20"/>
        </w:rPr>
        <w:t xml:space="preserve">Con base en </w:t>
      </w:r>
      <w:r w:rsidR="00F9275E" w:rsidRPr="00F17964">
        <w:rPr>
          <w:rFonts w:ascii="Verdana" w:hAnsi="Verdana"/>
          <w:sz w:val="20"/>
          <w:szCs w:val="20"/>
        </w:rPr>
        <w:t>lo alegado</w:t>
      </w:r>
      <w:r w:rsidR="00986EA7" w:rsidRPr="00F17964">
        <w:rPr>
          <w:rFonts w:ascii="Verdana" w:hAnsi="Verdana"/>
          <w:sz w:val="20"/>
          <w:szCs w:val="20"/>
        </w:rPr>
        <w:t xml:space="preserve"> por el Estado</w:t>
      </w:r>
      <w:r w:rsidR="00F9275E" w:rsidRPr="00F17964">
        <w:rPr>
          <w:rStyle w:val="Refdenotaalpie"/>
          <w:rFonts w:ascii="Verdana" w:hAnsi="Verdana"/>
          <w:sz w:val="20"/>
          <w:szCs w:val="20"/>
        </w:rPr>
        <w:footnoteReference w:id="35"/>
      </w:r>
      <w:r w:rsidR="00F9275E" w:rsidRPr="00F17964">
        <w:rPr>
          <w:rFonts w:ascii="Verdana" w:hAnsi="Verdana"/>
          <w:sz w:val="20"/>
          <w:szCs w:val="20"/>
        </w:rPr>
        <w:t xml:space="preserve"> y en </w:t>
      </w:r>
      <w:r w:rsidRPr="00F17964">
        <w:rPr>
          <w:rFonts w:ascii="Verdana" w:hAnsi="Verdana"/>
          <w:sz w:val="20"/>
          <w:szCs w:val="20"/>
        </w:rPr>
        <w:t xml:space="preserve">los comprobantes aportados por </w:t>
      </w:r>
      <w:r w:rsidR="00986EA7" w:rsidRPr="00F17964">
        <w:rPr>
          <w:rFonts w:ascii="Verdana" w:hAnsi="Verdana"/>
          <w:sz w:val="20"/>
          <w:szCs w:val="20"/>
        </w:rPr>
        <w:t>éste</w:t>
      </w:r>
      <w:r w:rsidR="006B1D2C">
        <w:rPr>
          <w:rFonts w:ascii="Verdana" w:hAnsi="Verdana"/>
          <w:sz w:val="20"/>
          <w:szCs w:val="20"/>
        </w:rPr>
        <w:t xml:space="preserve"> en noviembre de 2015</w:t>
      </w:r>
      <w:r w:rsidR="00F9275E" w:rsidRPr="00F17964">
        <w:rPr>
          <w:rStyle w:val="Refdenotaalpie"/>
          <w:rFonts w:ascii="Verdana" w:hAnsi="Verdana"/>
          <w:sz w:val="20"/>
          <w:szCs w:val="20"/>
        </w:rPr>
        <w:footnoteReference w:id="36"/>
      </w:r>
      <w:r w:rsidR="00986EA7" w:rsidRPr="00F17964">
        <w:rPr>
          <w:rFonts w:ascii="Verdana" w:hAnsi="Verdana"/>
          <w:sz w:val="20"/>
          <w:szCs w:val="20"/>
        </w:rPr>
        <w:t xml:space="preserve">, así como </w:t>
      </w:r>
      <w:r w:rsidRPr="00F17964">
        <w:rPr>
          <w:rFonts w:ascii="Verdana" w:hAnsi="Verdana"/>
          <w:sz w:val="20"/>
          <w:szCs w:val="20"/>
        </w:rPr>
        <w:t>en lo manifestado por los representantes</w:t>
      </w:r>
      <w:r w:rsidR="00F9275E" w:rsidRPr="00F17964">
        <w:rPr>
          <w:rStyle w:val="Refdenotaalpie"/>
          <w:rFonts w:ascii="Verdana" w:hAnsi="Verdana"/>
          <w:sz w:val="20"/>
          <w:szCs w:val="20"/>
        </w:rPr>
        <w:footnoteReference w:id="37"/>
      </w:r>
      <w:r w:rsidR="003A59A0" w:rsidRPr="00F17964">
        <w:rPr>
          <w:rFonts w:ascii="Verdana" w:hAnsi="Verdana"/>
          <w:sz w:val="20"/>
          <w:szCs w:val="20"/>
        </w:rPr>
        <w:t xml:space="preserve"> y la Comisión Interamericana</w:t>
      </w:r>
      <w:r w:rsidR="003A59A0" w:rsidRPr="00F17964">
        <w:rPr>
          <w:rStyle w:val="Refdenotaalpie"/>
          <w:rFonts w:ascii="Verdana" w:hAnsi="Verdana"/>
          <w:sz w:val="20"/>
          <w:szCs w:val="20"/>
        </w:rPr>
        <w:footnoteReference w:id="38"/>
      </w:r>
      <w:r w:rsidRPr="00F17964">
        <w:rPr>
          <w:rFonts w:ascii="Verdana" w:hAnsi="Verdana"/>
          <w:sz w:val="20"/>
          <w:szCs w:val="20"/>
        </w:rPr>
        <w:t xml:space="preserve">, la Corte constata que </w:t>
      </w:r>
      <w:r w:rsidR="00986EA7" w:rsidRPr="00F17964">
        <w:rPr>
          <w:rFonts w:ascii="Verdana" w:hAnsi="Verdana"/>
          <w:sz w:val="20"/>
          <w:szCs w:val="20"/>
        </w:rPr>
        <w:t>Ecuador</w:t>
      </w:r>
      <w:r w:rsidRPr="00F17964">
        <w:rPr>
          <w:rFonts w:ascii="Verdana" w:hAnsi="Verdana"/>
          <w:sz w:val="20"/>
          <w:szCs w:val="20"/>
        </w:rPr>
        <w:t xml:space="preserve"> </w:t>
      </w:r>
      <w:r w:rsidR="00986EA7" w:rsidRPr="00F17964">
        <w:rPr>
          <w:rFonts w:ascii="Verdana" w:hAnsi="Verdana"/>
          <w:sz w:val="20"/>
          <w:szCs w:val="20"/>
        </w:rPr>
        <w:t xml:space="preserve">ha cumplido con pagar a </w:t>
      </w:r>
      <w:r w:rsidR="003A59A0" w:rsidRPr="00F17964">
        <w:rPr>
          <w:rFonts w:ascii="Verdana" w:hAnsi="Verdana"/>
          <w:sz w:val="20"/>
          <w:szCs w:val="20"/>
        </w:rPr>
        <w:t xml:space="preserve">los familiares de las víctimas </w:t>
      </w:r>
      <w:r w:rsidR="00986EA7" w:rsidRPr="00F17964">
        <w:rPr>
          <w:rFonts w:ascii="Verdana" w:hAnsi="Verdana"/>
          <w:sz w:val="20"/>
          <w:szCs w:val="20"/>
        </w:rPr>
        <w:t>(</w:t>
      </w:r>
      <w:r w:rsidR="00986EA7" w:rsidRPr="00F17964">
        <w:rPr>
          <w:rFonts w:ascii="Verdana" w:hAnsi="Verdana"/>
          <w:i/>
          <w:sz w:val="20"/>
          <w:szCs w:val="20"/>
        </w:rPr>
        <w:t xml:space="preserve">supra </w:t>
      </w:r>
      <w:r w:rsidR="00E97409" w:rsidRPr="00E97409">
        <w:rPr>
          <w:rFonts w:ascii="Verdana" w:hAnsi="Verdana"/>
          <w:sz w:val="20"/>
          <w:szCs w:val="20"/>
        </w:rPr>
        <w:t>Considerando 1 y</w:t>
      </w:r>
      <w:r w:rsidR="00E97409">
        <w:rPr>
          <w:rFonts w:ascii="Verdana" w:hAnsi="Verdana"/>
          <w:i/>
          <w:sz w:val="20"/>
          <w:szCs w:val="20"/>
        </w:rPr>
        <w:t xml:space="preserve"> </w:t>
      </w:r>
      <w:r w:rsidR="00986EA7" w:rsidRPr="00F17964">
        <w:rPr>
          <w:rFonts w:ascii="Verdana" w:hAnsi="Verdana"/>
          <w:sz w:val="20"/>
          <w:szCs w:val="20"/>
        </w:rPr>
        <w:t xml:space="preserve">nota al pie </w:t>
      </w:r>
      <w:r w:rsidR="00E97409">
        <w:rPr>
          <w:rFonts w:ascii="Verdana" w:hAnsi="Verdana"/>
          <w:sz w:val="20"/>
          <w:szCs w:val="20"/>
        </w:rPr>
        <w:t>15</w:t>
      </w:r>
      <w:r w:rsidR="00986EA7" w:rsidRPr="00F17964">
        <w:rPr>
          <w:rFonts w:ascii="Verdana" w:hAnsi="Verdana"/>
          <w:sz w:val="20"/>
          <w:szCs w:val="20"/>
        </w:rPr>
        <w:t xml:space="preserve">) los intereses moratorios </w:t>
      </w:r>
      <w:r w:rsidR="00986EA7" w:rsidRPr="00F17964">
        <w:rPr>
          <w:rFonts w:ascii="Verdana" w:hAnsi="Verdana" w:cs="Arial"/>
          <w:sz w:val="20"/>
          <w:szCs w:val="20"/>
        </w:rPr>
        <w:t xml:space="preserve">en relación con los pagos realizados por concepto de indemnizaciones por daño material e inmaterial. En consecuencia, </w:t>
      </w:r>
      <w:r w:rsidR="00C228C3" w:rsidRPr="00F17964">
        <w:rPr>
          <w:rFonts w:ascii="Verdana" w:hAnsi="Verdana"/>
          <w:sz w:val="20"/>
          <w:szCs w:val="20"/>
        </w:rPr>
        <w:t>Ecuador ha dado cumplimiento total a la medida de reparación ordenada en el punto dispositivo décimo primero de la Sentencia.</w:t>
      </w:r>
    </w:p>
    <w:p w:rsidR="00F17964" w:rsidRPr="00F17964" w:rsidRDefault="00F17964" w:rsidP="00101833">
      <w:pPr>
        <w:pStyle w:val="Default"/>
        <w:spacing w:before="120" w:after="120"/>
        <w:jc w:val="both"/>
        <w:rPr>
          <w:b/>
          <w:sz w:val="20"/>
          <w:szCs w:val="20"/>
        </w:rPr>
      </w:pPr>
    </w:p>
    <w:p w:rsidR="00C228C3" w:rsidRPr="00F17964" w:rsidRDefault="00C228C3" w:rsidP="00101833">
      <w:pPr>
        <w:pStyle w:val="Default"/>
        <w:spacing w:before="120" w:after="120"/>
        <w:jc w:val="both"/>
        <w:rPr>
          <w:b/>
          <w:sz w:val="20"/>
          <w:szCs w:val="20"/>
        </w:rPr>
      </w:pPr>
      <w:r w:rsidRPr="00F17964">
        <w:rPr>
          <w:b/>
          <w:sz w:val="20"/>
          <w:szCs w:val="20"/>
        </w:rPr>
        <w:t xml:space="preserve">POR TANTO </w:t>
      </w:r>
    </w:p>
    <w:p w:rsidR="00C228C3" w:rsidRPr="00BA78B4" w:rsidRDefault="00C228C3" w:rsidP="00101833">
      <w:pPr>
        <w:pStyle w:val="Default"/>
        <w:spacing w:before="120" w:after="120"/>
        <w:jc w:val="both"/>
        <w:rPr>
          <w:b/>
          <w:sz w:val="20"/>
          <w:szCs w:val="20"/>
        </w:rPr>
      </w:pPr>
      <w:r w:rsidRPr="00BA78B4">
        <w:rPr>
          <w:b/>
          <w:sz w:val="20"/>
          <w:szCs w:val="20"/>
        </w:rPr>
        <w:t>LA CORTE INTERAMERICANA DE DERECHO</w:t>
      </w:r>
      <w:r w:rsidR="005F5A99">
        <w:rPr>
          <w:b/>
          <w:sz w:val="20"/>
          <w:szCs w:val="20"/>
        </w:rPr>
        <w:t>S</w:t>
      </w:r>
      <w:r w:rsidRPr="00BA78B4">
        <w:rPr>
          <w:b/>
          <w:sz w:val="20"/>
          <w:szCs w:val="20"/>
        </w:rPr>
        <w:t xml:space="preserve"> HUMANOS,</w:t>
      </w:r>
    </w:p>
    <w:p w:rsidR="00C228C3" w:rsidRPr="00BA78B4" w:rsidRDefault="00F17964" w:rsidP="00101833">
      <w:pPr>
        <w:pStyle w:val="Default"/>
        <w:spacing w:before="120" w:after="120"/>
        <w:jc w:val="both"/>
        <w:rPr>
          <w:sz w:val="20"/>
          <w:szCs w:val="20"/>
        </w:rPr>
      </w:pPr>
      <w:proofErr w:type="gramStart"/>
      <w:r w:rsidRPr="00BA78B4">
        <w:rPr>
          <w:sz w:val="20"/>
          <w:szCs w:val="20"/>
        </w:rPr>
        <w:t>en</w:t>
      </w:r>
      <w:proofErr w:type="gramEnd"/>
      <w:r w:rsidRPr="00BA78B4">
        <w:rPr>
          <w:sz w:val="20"/>
          <w:szCs w:val="20"/>
        </w:rPr>
        <w:t xml:space="preserve"> el ejercicio de sus atribuciones de supervisión del cumplimiento de sus decisiones y de conformidad con los artículos 33, 62.1, 62.3, 65, 67 y 68.1 de la Convención Americana sobre Derechos Humanos, 24, 25 y 30 del Estatuto, y 31.2 y 69 de su Reglamento,</w:t>
      </w:r>
    </w:p>
    <w:p w:rsidR="00C228C3" w:rsidRPr="00BA78B4" w:rsidRDefault="00F17964" w:rsidP="00101833">
      <w:pPr>
        <w:pStyle w:val="Default"/>
        <w:spacing w:before="120" w:after="120"/>
        <w:jc w:val="both"/>
        <w:rPr>
          <w:b/>
          <w:sz w:val="20"/>
          <w:szCs w:val="20"/>
        </w:rPr>
      </w:pPr>
      <w:r w:rsidRPr="00BA78B4">
        <w:rPr>
          <w:b/>
          <w:sz w:val="20"/>
          <w:szCs w:val="20"/>
        </w:rPr>
        <w:t>RESUELVE</w:t>
      </w:r>
      <w:r w:rsidR="00C228C3" w:rsidRPr="00BA78B4">
        <w:rPr>
          <w:b/>
          <w:sz w:val="20"/>
          <w:szCs w:val="20"/>
        </w:rPr>
        <w:t>:</w:t>
      </w:r>
    </w:p>
    <w:p w:rsidR="009E34FF" w:rsidRPr="00BA78B4" w:rsidRDefault="009E34FF" w:rsidP="00101833">
      <w:pPr>
        <w:pStyle w:val="Default"/>
        <w:numPr>
          <w:ilvl w:val="0"/>
          <w:numId w:val="4"/>
        </w:numPr>
        <w:spacing w:before="120" w:after="120"/>
        <w:ind w:left="0" w:firstLine="0"/>
        <w:jc w:val="both"/>
        <w:rPr>
          <w:sz w:val="20"/>
          <w:szCs w:val="20"/>
        </w:rPr>
      </w:pPr>
      <w:r w:rsidRPr="00BA78B4">
        <w:rPr>
          <w:sz w:val="20"/>
          <w:szCs w:val="20"/>
        </w:rPr>
        <w:t xml:space="preserve">Declarar, de conformidad con lo señalado en el Considerando </w:t>
      </w:r>
      <w:r w:rsidR="00E97409">
        <w:rPr>
          <w:sz w:val="20"/>
          <w:szCs w:val="20"/>
        </w:rPr>
        <w:t>19</w:t>
      </w:r>
      <w:r w:rsidRPr="00BA78B4">
        <w:rPr>
          <w:sz w:val="20"/>
          <w:szCs w:val="20"/>
        </w:rPr>
        <w:t xml:space="preserve"> de la presente Resolución, que el Estado ha dado cumplimiento total </w:t>
      </w:r>
      <w:r w:rsidR="00EE0B46" w:rsidRPr="00BA78B4">
        <w:rPr>
          <w:sz w:val="20"/>
          <w:szCs w:val="20"/>
        </w:rPr>
        <w:t xml:space="preserve">a la medida de reparación ordenada en el punto dispositivo décimo primero de la Sentencia, relativa a pagar a los familiares de las víctimas </w:t>
      </w:r>
      <w:r w:rsidR="009F7162" w:rsidRPr="00F17964">
        <w:rPr>
          <w:sz w:val="20"/>
          <w:szCs w:val="20"/>
        </w:rPr>
        <w:t xml:space="preserve">Wilmer Zambrano Vélez, Segundo Olmedo Caicedo </w:t>
      </w:r>
      <w:proofErr w:type="spellStart"/>
      <w:r w:rsidR="009F7162" w:rsidRPr="00F17964">
        <w:rPr>
          <w:sz w:val="20"/>
          <w:szCs w:val="20"/>
        </w:rPr>
        <w:t>Cobeña</w:t>
      </w:r>
      <w:proofErr w:type="spellEnd"/>
      <w:r w:rsidR="009F7162" w:rsidRPr="00F17964">
        <w:rPr>
          <w:sz w:val="20"/>
          <w:szCs w:val="20"/>
        </w:rPr>
        <w:t xml:space="preserve"> y José Miguel Caicedo </w:t>
      </w:r>
      <w:proofErr w:type="spellStart"/>
      <w:r w:rsidR="009F7162" w:rsidRPr="00F17964">
        <w:rPr>
          <w:sz w:val="20"/>
          <w:szCs w:val="20"/>
        </w:rPr>
        <w:t>Cobeña</w:t>
      </w:r>
      <w:proofErr w:type="spellEnd"/>
      <w:r w:rsidR="009F7162" w:rsidRPr="00BA78B4">
        <w:rPr>
          <w:sz w:val="20"/>
          <w:szCs w:val="20"/>
        </w:rPr>
        <w:t xml:space="preserve"> </w:t>
      </w:r>
      <w:r w:rsidR="00EE0B46" w:rsidRPr="00BA78B4">
        <w:rPr>
          <w:sz w:val="20"/>
          <w:szCs w:val="20"/>
        </w:rPr>
        <w:t>las cantidades fijadas en la Sentencia por concepto de</w:t>
      </w:r>
      <w:r w:rsidR="005F5A99">
        <w:rPr>
          <w:sz w:val="20"/>
          <w:szCs w:val="20"/>
        </w:rPr>
        <w:t xml:space="preserve"> indemnizaciones de los</w:t>
      </w:r>
      <w:r w:rsidR="00EE0B46" w:rsidRPr="00BA78B4">
        <w:rPr>
          <w:sz w:val="20"/>
          <w:szCs w:val="20"/>
        </w:rPr>
        <w:t xml:space="preserve"> daño</w:t>
      </w:r>
      <w:r w:rsidR="005F5A99">
        <w:rPr>
          <w:sz w:val="20"/>
          <w:szCs w:val="20"/>
        </w:rPr>
        <w:t>s</w:t>
      </w:r>
      <w:r w:rsidR="00EE0B46" w:rsidRPr="00BA78B4">
        <w:rPr>
          <w:sz w:val="20"/>
          <w:szCs w:val="20"/>
        </w:rPr>
        <w:t xml:space="preserve"> material e inmaterial, así como el pago de los intereses moratorios que les correspondían.</w:t>
      </w:r>
    </w:p>
    <w:p w:rsidR="00EE0B46" w:rsidRPr="00BA78B4" w:rsidRDefault="00EE0B46" w:rsidP="00EE0B46">
      <w:pPr>
        <w:pStyle w:val="Default"/>
        <w:numPr>
          <w:ilvl w:val="0"/>
          <w:numId w:val="4"/>
        </w:numPr>
        <w:spacing w:before="120" w:after="120"/>
        <w:ind w:left="0" w:firstLine="0"/>
        <w:jc w:val="both"/>
        <w:rPr>
          <w:sz w:val="20"/>
          <w:szCs w:val="20"/>
        </w:rPr>
      </w:pPr>
      <w:r w:rsidRPr="00BA78B4">
        <w:rPr>
          <w:sz w:val="20"/>
          <w:szCs w:val="20"/>
        </w:rPr>
        <w:t>Mantener abierto el procedimiento de supervisión de cumplimiento respecto de la medida de reparación ordenada en el punto dispositivo sexto de la Sentencia, relativa al deber del Estado de “</w:t>
      </w:r>
      <w:r w:rsidRPr="00BA78B4">
        <w:rPr>
          <w:sz w:val="20"/>
        </w:rPr>
        <w:t xml:space="preserve">realizar inmediatamente las debidas diligencias y utilizar todos los medios disponibles para hacer expedita la investigación y los procedimientos respectivos en la </w:t>
      </w:r>
      <w:r w:rsidRPr="00BA78B4">
        <w:rPr>
          <w:sz w:val="20"/>
          <w:szCs w:val="20"/>
        </w:rPr>
        <w:t xml:space="preserve">jurisdicción penal ordinaria para identificar, enjuiciar y, en su caso, sancionar a los responsables de la ejecución extrajudicial de Wilmer Zambrano Vélez, José Miguel Caicedo </w:t>
      </w:r>
      <w:proofErr w:type="spellStart"/>
      <w:r w:rsidRPr="00BA78B4">
        <w:rPr>
          <w:sz w:val="20"/>
          <w:szCs w:val="20"/>
        </w:rPr>
        <w:t>Cobeña</w:t>
      </w:r>
      <w:proofErr w:type="spellEnd"/>
      <w:r w:rsidRPr="00BA78B4">
        <w:rPr>
          <w:sz w:val="20"/>
          <w:szCs w:val="20"/>
        </w:rPr>
        <w:t xml:space="preserve"> y Segundo Olmedo Caicedo </w:t>
      </w:r>
      <w:proofErr w:type="spellStart"/>
      <w:r w:rsidRPr="00BA78B4">
        <w:rPr>
          <w:sz w:val="20"/>
          <w:szCs w:val="20"/>
        </w:rPr>
        <w:t>Cobeña</w:t>
      </w:r>
      <w:proofErr w:type="spellEnd"/>
      <w:r w:rsidRPr="00BA78B4">
        <w:rPr>
          <w:sz w:val="20"/>
          <w:szCs w:val="20"/>
        </w:rPr>
        <w:t xml:space="preserve">”, la cual se encuentra pendiente de cumplimiento de conformidad con lo señalado en los Considerandos </w:t>
      </w:r>
      <w:r w:rsidR="00E97409">
        <w:rPr>
          <w:sz w:val="20"/>
          <w:szCs w:val="20"/>
        </w:rPr>
        <w:t>9</w:t>
      </w:r>
      <w:r w:rsidRPr="00BA78B4">
        <w:rPr>
          <w:sz w:val="20"/>
          <w:szCs w:val="20"/>
        </w:rPr>
        <w:t xml:space="preserve"> a </w:t>
      </w:r>
      <w:r w:rsidR="00E97409">
        <w:rPr>
          <w:sz w:val="20"/>
          <w:szCs w:val="20"/>
        </w:rPr>
        <w:t>15</w:t>
      </w:r>
      <w:r w:rsidRPr="00BA78B4">
        <w:rPr>
          <w:sz w:val="20"/>
          <w:szCs w:val="20"/>
        </w:rPr>
        <w:t xml:space="preserve"> de la presente Resolución.</w:t>
      </w:r>
    </w:p>
    <w:p w:rsidR="00EE0B46" w:rsidRPr="00BA78B4" w:rsidRDefault="00EE0B46" w:rsidP="00EE0B46">
      <w:pPr>
        <w:pStyle w:val="Default"/>
        <w:numPr>
          <w:ilvl w:val="0"/>
          <w:numId w:val="4"/>
        </w:numPr>
        <w:spacing w:before="120" w:after="120"/>
        <w:ind w:left="0" w:firstLine="0"/>
        <w:jc w:val="both"/>
        <w:rPr>
          <w:sz w:val="20"/>
          <w:szCs w:val="20"/>
        </w:rPr>
      </w:pPr>
      <w:r w:rsidRPr="00BA78B4">
        <w:rPr>
          <w:sz w:val="20"/>
          <w:szCs w:val="20"/>
        </w:rPr>
        <w:t>Disponer que el Estado adopte, en definitiva y a la mayor brevedad, las medidas que sean necesarias para dar efectivo y pronto cumplimiento al único punto pendiente de la Sentencia de fondo, reparaciones y costas emitida en el presente caso, de acuerdo con lo considerado en la presente Resolución, y con lo estipulado en el artículo 68.1 de la Convención Americana sobre Derechos Humanos.</w:t>
      </w:r>
    </w:p>
    <w:p w:rsidR="00EE0B46" w:rsidRPr="00BA78B4" w:rsidRDefault="00EE0B46" w:rsidP="00EE0B46">
      <w:pPr>
        <w:pStyle w:val="Default"/>
        <w:numPr>
          <w:ilvl w:val="0"/>
          <w:numId w:val="4"/>
        </w:numPr>
        <w:spacing w:before="120" w:after="120"/>
        <w:ind w:left="0" w:firstLine="0"/>
        <w:jc w:val="both"/>
        <w:rPr>
          <w:sz w:val="20"/>
          <w:szCs w:val="20"/>
        </w:rPr>
      </w:pPr>
      <w:r w:rsidRPr="00BA78B4">
        <w:rPr>
          <w:sz w:val="20"/>
          <w:szCs w:val="20"/>
        </w:rPr>
        <w:t xml:space="preserve">Disponer que el Estado presente a la Corte Interamericana, a más tardar el </w:t>
      </w:r>
      <w:r w:rsidR="000803E4">
        <w:rPr>
          <w:sz w:val="20"/>
          <w:szCs w:val="20"/>
        </w:rPr>
        <w:t>16</w:t>
      </w:r>
      <w:r w:rsidR="00BA78B4" w:rsidRPr="00BA78B4">
        <w:rPr>
          <w:sz w:val="20"/>
          <w:szCs w:val="20"/>
        </w:rPr>
        <w:t xml:space="preserve"> de diciembre de 2016, un informe en el cual indique todas las medidas adoptadas para cumplir con la reparación ordenada por esta Corte que se encuentra pendiente de cumplimiento, de conformidad con el Considerando </w:t>
      </w:r>
      <w:r w:rsidR="00E97409">
        <w:rPr>
          <w:sz w:val="20"/>
          <w:szCs w:val="20"/>
        </w:rPr>
        <w:t>15</w:t>
      </w:r>
      <w:r w:rsidR="00BA78B4" w:rsidRPr="00BA78B4">
        <w:rPr>
          <w:sz w:val="20"/>
          <w:szCs w:val="20"/>
        </w:rPr>
        <w:t>, así como con el punto resolutivo segundo de esta Resolución.</w:t>
      </w:r>
    </w:p>
    <w:p w:rsidR="00BA78B4" w:rsidRPr="00BA78B4" w:rsidRDefault="00BA78B4" w:rsidP="00EE0B46">
      <w:pPr>
        <w:pStyle w:val="Default"/>
        <w:numPr>
          <w:ilvl w:val="0"/>
          <w:numId w:val="4"/>
        </w:numPr>
        <w:spacing w:before="120" w:after="120"/>
        <w:ind w:left="0" w:firstLine="0"/>
        <w:jc w:val="both"/>
        <w:rPr>
          <w:sz w:val="20"/>
          <w:szCs w:val="20"/>
        </w:rPr>
      </w:pPr>
      <w:r w:rsidRPr="00BA78B4">
        <w:rPr>
          <w:sz w:val="20"/>
          <w:szCs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rsidR="00BA78B4" w:rsidRPr="00BA78B4" w:rsidRDefault="00BA78B4" w:rsidP="00EE0B46">
      <w:pPr>
        <w:pStyle w:val="Default"/>
        <w:numPr>
          <w:ilvl w:val="0"/>
          <w:numId w:val="4"/>
        </w:numPr>
        <w:spacing w:before="120" w:after="120"/>
        <w:ind w:left="0" w:firstLine="0"/>
        <w:jc w:val="both"/>
        <w:rPr>
          <w:sz w:val="20"/>
          <w:szCs w:val="20"/>
        </w:rPr>
      </w:pPr>
      <w:r w:rsidRPr="00BA78B4">
        <w:rPr>
          <w:sz w:val="20"/>
          <w:szCs w:val="20"/>
        </w:rPr>
        <w:t>Disponer que la Secretaría de la Corte notifique la pre</w:t>
      </w:r>
      <w:r w:rsidR="005F5A99">
        <w:rPr>
          <w:sz w:val="20"/>
          <w:szCs w:val="20"/>
        </w:rPr>
        <w:t>sente Resolución al Estado, a lo</w:t>
      </w:r>
      <w:r w:rsidRPr="00BA78B4">
        <w:rPr>
          <w:sz w:val="20"/>
          <w:szCs w:val="20"/>
        </w:rPr>
        <w:t>s representantes de la</w:t>
      </w:r>
      <w:r w:rsidR="00082996">
        <w:rPr>
          <w:sz w:val="20"/>
          <w:szCs w:val="20"/>
        </w:rPr>
        <w:t>s</w:t>
      </w:r>
      <w:r w:rsidRPr="00BA78B4">
        <w:rPr>
          <w:sz w:val="20"/>
          <w:szCs w:val="20"/>
        </w:rPr>
        <w:t xml:space="preserve"> víctima</w:t>
      </w:r>
      <w:r w:rsidR="00082996">
        <w:rPr>
          <w:sz w:val="20"/>
          <w:szCs w:val="20"/>
        </w:rPr>
        <w:t>s</w:t>
      </w:r>
      <w:r w:rsidRPr="00BA78B4">
        <w:rPr>
          <w:sz w:val="20"/>
          <w:szCs w:val="20"/>
        </w:rPr>
        <w:t xml:space="preserve"> y a la Comisión Interamericana de Derechos Humanos.</w:t>
      </w:r>
    </w:p>
    <w:p w:rsidR="00EE0B46" w:rsidRDefault="00EE0B46" w:rsidP="00EE0B46">
      <w:pPr>
        <w:pStyle w:val="Default"/>
        <w:spacing w:before="120" w:after="120"/>
        <w:jc w:val="both"/>
        <w:rPr>
          <w:b/>
          <w:sz w:val="20"/>
          <w:szCs w:val="20"/>
          <w:highlight w:val="yellow"/>
        </w:rPr>
      </w:pPr>
    </w:p>
    <w:p w:rsidR="00C228C3" w:rsidRPr="006A40F0" w:rsidRDefault="00C228C3" w:rsidP="00101833">
      <w:pPr>
        <w:pStyle w:val="Prrafodelista"/>
        <w:autoSpaceDE w:val="0"/>
        <w:autoSpaceDN w:val="0"/>
        <w:adjustRightInd w:val="0"/>
        <w:spacing w:before="120" w:after="120" w:line="240" w:lineRule="auto"/>
        <w:ind w:left="0"/>
        <w:contextualSpacing w:val="0"/>
        <w:jc w:val="both"/>
        <w:rPr>
          <w:rFonts w:ascii="Verdana" w:hAnsi="Verdana" w:cs="Verdana"/>
          <w:sz w:val="20"/>
          <w:szCs w:val="20"/>
        </w:rPr>
      </w:pPr>
    </w:p>
    <w:p w:rsidR="007C28C0" w:rsidRDefault="007C28C0" w:rsidP="00101833">
      <w:pPr>
        <w:spacing w:before="120" w:after="120" w:line="240" w:lineRule="auto"/>
        <w:rPr>
          <w:lang w:val="es-CR"/>
        </w:rPr>
      </w:pPr>
    </w:p>
    <w:p w:rsidR="008F0E7F" w:rsidRDefault="008F0E7F" w:rsidP="00101833">
      <w:pPr>
        <w:spacing w:before="120" w:after="120" w:line="240" w:lineRule="auto"/>
        <w:rPr>
          <w:lang w:val="es-CR"/>
        </w:rPr>
      </w:pPr>
    </w:p>
    <w:p w:rsidR="00482756" w:rsidRPr="00482756" w:rsidRDefault="00482756" w:rsidP="00482756">
      <w:pPr>
        <w:keepNext/>
        <w:spacing w:after="0" w:line="240" w:lineRule="auto"/>
        <w:jc w:val="both"/>
        <w:outlineLvl w:val="0"/>
        <w:rPr>
          <w:rFonts w:ascii="Verdana" w:hAnsi="Verdana"/>
          <w:sz w:val="20"/>
          <w:lang w:val="es-CR"/>
        </w:rPr>
      </w:pPr>
      <w:r w:rsidRPr="00482756">
        <w:rPr>
          <w:rFonts w:ascii="Verdana" w:hAnsi="Verdana"/>
          <w:sz w:val="20"/>
          <w:lang w:val="es-ES"/>
        </w:rPr>
        <w:lastRenderedPageBreak/>
        <w:t xml:space="preserve">Resolución de la Corte Interamericana de Derechos Humanos. </w:t>
      </w:r>
      <w:r w:rsidRPr="00482756">
        <w:rPr>
          <w:rFonts w:ascii="Verdana" w:hAnsi="Verdana"/>
          <w:sz w:val="20"/>
          <w:lang w:val="es-CR"/>
        </w:rPr>
        <w:t>Caso Zambrano Vélez y otros Vs. Ecuador. Supervisión de cumplimiento de sentencia.</w:t>
      </w:r>
    </w:p>
    <w:p w:rsidR="00482756" w:rsidRPr="00482756" w:rsidRDefault="00482756" w:rsidP="00482756">
      <w:pPr>
        <w:spacing w:after="0" w:line="240" w:lineRule="auto"/>
        <w:ind w:right="4"/>
        <w:rPr>
          <w:rFonts w:ascii="Verdana" w:hAnsi="Verdana" w:cs="Verdana"/>
          <w:b/>
          <w:bCs/>
          <w:i/>
          <w:sz w:val="20"/>
          <w:lang w:val="es-ES"/>
        </w:rPr>
      </w:pPr>
    </w:p>
    <w:p w:rsidR="00482756" w:rsidRPr="00482756" w:rsidRDefault="00482756" w:rsidP="00482756">
      <w:pPr>
        <w:spacing w:after="0" w:line="240" w:lineRule="auto"/>
        <w:jc w:val="center"/>
        <w:rPr>
          <w:rFonts w:ascii="Verdana" w:hAnsi="Verdana"/>
          <w:sz w:val="20"/>
          <w:lang w:val="es-ES"/>
        </w:rPr>
      </w:pPr>
    </w:p>
    <w:p w:rsidR="00482756" w:rsidRPr="00482756" w:rsidRDefault="00482756" w:rsidP="00482756">
      <w:pPr>
        <w:autoSpaceDE w:val="0"/>
        <w:autoSpaceDN w:val="0"/>
        <w:adjustRightInd w:val="0"/>
        <w:spacing w:after="0" w:line="240" w:lineRule="auto"/>
        <w:jc w:val="center"/>
        <w:outlineLvl w:val="0"/>
        <w:rPr>
          <w:rFonts w:ascii="Verdana" w:hAnsi="Verdana" w:cs="Verdana"/>
          <w:b/>
          <w:bCs/>
          <w:i/>
          <w:caps/>
          <w:sz w:val="20"/>
          <w:szCs w:val="23"/>
          <w:lang w:val="es-ES_tradnl"/>
        </w:rPr>
      </w:pPr>
    </w:p>
    <w:p w:rsidR="00482756" w:rsidRPr="00482756" w:rsidRDefault="00482756" w:rsidP="00482756">
      <w:pPr>
        <w:spacing w:after="0" w:line="240" w:lineRule="auto"/>
        <w:jc w:val="center"/>
        <w:rPr>
          <w:rFonts w:ascii="Verdana" w:hAnsi="Verdana"/>
          <w:sz w:val="20"/>
          <w:lang w:val="es-ES"/>
        </w:rPr>
      </w:pPr>
    </w:p>
    <w:p w:rsidR="00482756" w:rsidRPr="00482756" w:rsidRDefault="00482756" w:rsidP="00482756">
      <w:pPr>
        <w:spacing w:after="0" w:line="240" w:lineRule="auto"/>
        <w:jc w:val="center"/>
        <w:rPr>
          <w:rFonts w:ascii="Verdana" w:hAnsi="Verdana"/>
          <w:sz w:val="20"/>
          <w:lang w:val="es-ES"/>
        </w:rPr>
      </w:pPr>
    </w:p>
    <w:p w:rsidR="00482756" w:rsidRPr="00482756" w:rsidRDefault="00482756" w:rsidP="00482756">
      <w:pPr>
        <w:spacing w:after="0" w:line="240" w:lineRule="auto"/>
        <w:jc w:val="center"/>
        <w:rPr>
          <w:rFonts w:ascii="Verdana" w:hAnsi="Verdana"/>
          <w:sz w:val="20"/>
          <w:lang w:val="es-ES"/>
        </w:rPr>
      </w:pPr>
      <w:r w:rsidRPr="00482756">
        <w:rPr>
          <w:rFonts w:ascii="Verdana" w:hAnsi="Verdana"/>
          <w:sz w:val="20"/>
          <w:lang w:val="es-ES"/>
        </w:rPr>
        <w:t>Roberto F. Caldas</w:t>
      </w:r>
    </w:p>
    <w:p w:rsidR="00482756" w:rsidRPr="00482756" w:rsidRDefault="00482756" w:rsidP="00482756">
      <w:pPr>
        <w:spacing w:after="0" w:line="240" w:lineRule="auto"/>
        <w:jc w:val="center"/>
        <w:rPr>
          <w:rFonts w:ascii="Verdana" w:hAnsi="Verdana"/>
          <w:sz w:val="20"/>
          <w:lang w:val="es-ES"/>
        </w:rPr>
      </w:pPr>
      <w:r w:rsidRPr="00482756">
        <w:rPr>
          <w:rFonts w:ascii="Verdana" w:hAnsi="Verdana"/>
          <w:sz w:val="20"/>
          <w:lang w:val="es-ES"/>
        </w:rPr>
        <w:t xml:space="preserve">Presidente </w:t>
      </w: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r w:rsidRPr="00482756">
        <w:rPr>
          <w:rFonts w:ascii="Verdana" w:hAnsi="Verdana"/>
          <w:sz w:val="20"/>
          <w:lang w:val="es-ES"/>
        </w:rPr>
        <w:t>Eduardo Ferrer Mac-</w:t>
      </w:r>
      <w:proofErr w:type="spellStart"/>
      <w:r w:rsidRPr="00482756">
        <w:rPr>
          <w:rFonts w:ascii="Verdana" w:hAnsi="Verdana"/>
          <w:sz w:val="20"/>
          <w:lang w:val="es-ES"/>
        </w:rPr>
        <w:t>Gregor</w:t>
      </w:r>
      <w:proofErr w:type="spellEnd"/>
      <w:r w:rsidRPr="00482756">
        <w:rPr>
          <w:rFonts w:ascii="Verdana" w:hAnsi="Verdana"/>
          <w:sz w:val="20"/>
          <w:lang w:val="es-ES"/>
        </w:rPr>
        <w:t xml:space="preserve"> </w:t>
      </w:r>
      <w:proofErr w:type="spellStart"/>
      <w:r w:rsidRPr="00482756">
        <w:rPr>
          <w:rFonts w:ascii="Verdana" w:hAnsi="Verdana"/>
          <w:sz w:val="20"/>
          <w:lang w:val="es-ES"/>
        </w:rPr>
        <w:t>Poisot</w:t>
      </w:r>
      <w:proofErr w:type="spellEnd"/>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t xml:space="preserve">       Eduardo Vio Grossi</w:t>
      </w: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r w:rsidRPr="00482756">
        <w:rPr>
          <w:rFonts w:ascii="Verdana" w:hAnsi="Verdana"/>
          <w:sz w:val="20"/>
          <w:lang w:val="es-ES"/>
        </w:rPr>
        <w:t>Humberto Antonio Sierra Porto</w:t>
      </w:r>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r>
      <w:r w:rsidRPr="00482756">
        <w:rPr>
          <w:rFonts w:ascii="Verdana" w:hAnsi="Verdana"/>
          <w:sz w:val="20"/>
          <w:lang w:val="es-ES"/>
        </w:rPr>
        <w:tab/>
        <w:t xml:space="preserve">    Elizabeth Odio Benito </w:t>
      </w: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center"/>
        <w:rPr>
          <w:rFonts w:ascii="Verdana" w:hAnsi="Verdana"/>
          <w:sz w:val="20"/>
          <w:lang w:val="es-ES"/>
        </w:rPr>
      </w:pPr>
      <w:r w:rsidRPr="00482756">
        <w:rPr>
          <w:rFonts w:ascii="Verdana" w:hAnsi="Verdana"/>
          <w:sz w:val="20"/>
          <w:lang w:val="es-ES"/>
        </w:rPr>
        <w:t xml:space="preserve">Eugenio Raúl </w:t>
      </w:r>
      <w:proofErr w:type="spellStart"/>
      <w:r w:rsidRPr="00482756">
        <w:rPr>
          <w:rFonts w:ascii="Verdana" w:hAnsi="Verdana"/>
          <w:sz w:val="20"/>
          <w:lang w:val="es-ES"/>
        </w:rPr>
        <w:t>Zaffaroni</w:t>
      </w:r>
      <w:proofErr w:type="spellEnd"/>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CR"/>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center"/>
        <w:rPr>
          <w:rFonts w:ascii="Verdana" w:hAnsi="Verdana"/>
          <w:sz w:val="20"/>
          <w:lang w:val="es-ES"/>
        </w:rPr>
      </w:pPr>
      <w:r w:rsidRPr="00482756">
        <w:rPr>
          <w:rFonts w:ascii="Verdana" w:hAnsi="Verdana"/>
          <w:sz w:val="20"/>
          <w:lang w:val="es-ES"/>
        </w:rPr>
        <w:t>Pablo Saavedra Alessandri</w:t>
      </w:r>
    </w:p>
    <w:p w:rsidR="00482756" w:rsidRPr="00482756" w:rsidRDefault="00482756" w:rsidP="00482756">
      <w:pPr>
        <w:spacing w:after="0" w:line="240" w:lineRule="auto"/>
        <w:jc w:val="center"/>
        <w:rPr>
          <w:rFonts w:ascii="Verdana" w:hAnsi="Verdana"/>
          <w:sz w:val="20"/>
          <w:lang w:val="es-ES"/>
        </w:rPr>
      </w:pPr>
      <w:r w:rsidRPr="00482756">
        <w:rPr>
          <w:rFonts w:ascii="Verdana" w:hAnsi="Verdana"/>
          <w:sz w:val="20"/>
          <w:lang w:val="es-ES"/>
        </w:rPr>
        <w:t>Secretario</w:t>
      </w:r>
    </w:p>
    <w:p w:rsidR="00482756" w:rsidRPr="00482756" w:rsidRDefault="00482756" w:rsidP="00482756">
      <w:pPr>
        <w:spacing w:after="0" w:line="240" w:lineRule="auto"/>
        <w:rPr>
          <w:rFonts w:ascii="Verdana" w:hAnsi="Verdana"/>
          <w:sz w:val="20"/>
          <w:lang w:val="es-ES"/>
        </w:rPr>
      </w:pPr>
    </w:p>
    <w:p w:rsidR="00482756" w:rsidRDefault="00482756" w:rsidP="00482756">
      <w:pPr>
        <w:pStyle w:val="Textonotapie"/>
        <w:rPr>
          <w:rFonts w:ascii="Verdana" w:hAnsi="Verdana"/>
          <w:lang w:val="es-ES"/>
        </w:rPr>
      </w:pPr>
    </w:p>
    <w:p w:rsidR="00482756" w:rsidRPr="00482756" w:rsidRDefault="00482756" w:rsidP="00482756">
      <w:pPr>
        <w:pStyle w:val="Textonotapie"/>
        <w:rPr>
          <w:rFonts w:ascii="Verdana" w:hAnsi="Verdana"/>
          <w:lang w:val="es-ES"/>
        </w:rPr>
      </w:pPr>
    </w:p>
    <w:p w:rsidR="00482756" w:rsidRPr="00482756" w:rsidRDefault="00482756" w:rsidP="00482756">
      <w:pPr>
        <w:spacing w:after="0" w:line="240" w:lineRule="auto"/>
        <w:jc w:val="both"/>
        <w:rPr>
          <w:rFonts w:ascii="Verdana" w:hAnsi="Verdana"/>
          <w:sz w:val="20"/>
          <w:lang w:val="es-ES"/>
        </w:rPr>
      </w:pPr>
      <w:r w:rsidRPr="00482756">
        <w:rPr>
          <w:rFonts w:ascii="Verdana" w:hAnsi="Verdana"/>
          <w:sz w:val="20"/>
          <w:lang w:val="es-ES"/>
        </w:rPr>
        <w:t>Comuníquese y ejecútese,</w:t>
      </w: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ind w:left="4956" w:firstLine="708"/>
        <w:jc w:val="center"/>
        <w:rPr>
          <w:rFonts w:ascii="Verdana" w:hAnsi="Verdana"/>
          <w:sz w:val="20"/>
          <w:lang w:val="es-ES"/>
        </w:rPr>
      </w:pPr>
      <w:r w:rsidRPr="00482756">
        <w:rPr>
          <w:rFonts w:ascii="Verdana" w:hAnsi="Verdana"/>
          <w:sz w:val="20"/>
          <w:lang w:val="es-ES"/>
        </w:rPr>
        <w:t>Roberto F. Caldas</w:t>
      </w:r>
    </w:p>
    <w:p w:rsidR="00482756" w:rsidRPr="00482756" w:rsidRDefault="00482756" w:rsidP="00482756">
      <w:pPr>
        <w:spacing w:after="0" w:line="240" w:lineRule="auto"/>
        <w:ind w:left="4956" w:firstLine="708"/>
        <w:jc w:val="center"/>
        <w:rPr>
          <w:rFonts w:ascii="Verdana" w:hAnsi="Verdana"/>
          <w:sz w:val="20"/>
          <w:lang w:val="es-ES"/>
        </w:rPr>
      </w:pPr>
      <w:r w:rsidRPr="00482756">
        <w:rPr>
          <w:rFonts w:ascii="Verdana" w:hAnsi="Verdana"/>
          <w:sz w:val="20"/>
          <w:lang w:val="es-ES"/>
        </w:rPr>
        <w:t xml:space="preserve">Presidente </w:t>
      </w: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p>
    <w:p w:rsidR="00482756" w:rsidRPr="00482756" w:rsidRDefault="00482756" w:rsidP="00482756">
      <w:pPr>
        <w:spacing w:after="0" w:line="240" w:lineRule="auto"/>
        <w:jc w:val="both"/>
        <w:rPr>
          <w:rFonts w:ascii="Verdana" w:hAnsi="Verdana"/>
          <w:sz w:val="20"/>
          <w:lang w:val="es-ES"/>
        </w:rPr>
      </w:pPr>
      <w:r w:rsidRPr="00482756">
        <w:rPr>
          <w:rFonts w:ascii="Verdana" w:hAnsi="Verdana"/>
          <w:sz w:val="20"/>
          <w:lang w:val="es-ES"/>
        </w:rPr>
        <w:t>Pablo Saavedra Alessandri</w:t>
      </w:r>
    </w:p>
    <w:p w:rsidR="00482756" w:rsidRPr="00482756" w:rsidRDefault="00482756" w:rsidP="00482756">
      <w:pPr>
        <w:spacing w:after="0" w:line="240" w:lineRule="auto"/>
        <w:rPr>
          <w:rFonts w:ascii="Verdana" w:hAnsi="Verdana"/>
          <w:sz w:val="20"/>
          <w:lang w:val="es-CR"/>
        </w:rPr>
      </w:pPr>
      <w:r w:rsidRPr="00482756">
        <w:rPr>
          <w:rFonts w:ascii="Verdana" w:hAnsi="Verdana"/>
          <w:sz w:val="20"/>
          <w:lang w:val="es-ES"/>
        </w:rPr>
        <w:tab/>
      </w:r>
      <w:r w:rsidRPr="00482756">
        <w:rPr>
          <w:rFonts w:ascii="Verdana" w:hAnsi="Verdana"/>
          <w:sz w:val="20"/>
          <w:lang w:val="es-CR"/>
        </w:rPr>
        <w:t>Secretario</w:t>
      </w:r>
    </w:p>
    <w:p w:rsidR="008F0E7F" w:rsidRPr="00482756" w:rsidRDefault="008F0E7F" w:rsidP="00482756">
      <w:pPr>
        <w:spacing w:after="0" w:line="240" w:lineRule="auto"/>
        <w:rPr>
          <w:rFonts w:ascii="Verdana" w:hAnsi="Verdana"/>
          <w:lang w:val="es-CR"/>
        </w:rPr>
      </w:pPr>
    </w:p>
    <w:p w:rsidR="008F0E7F" w:rsidRPr="00482756" w:rsidRDefault="008F0E7F" w:rsidP="00482756">
      <w:pPr>
        <w:spacing w:after="0" w:line="240" w:lineRule="auto"/>
        <w:rPr>
          <w:rFonts w:ascii="Verdana" w:hAnsi="Verdana"/>
          <w:lang w:val="es-CR"/>
        </w:rPr>
      </w:pPr>
    </w:p>
    <w:sectPr w:rsidR="008F0E7F" w:rsidRPr="00482756" w:rsidSect="00D2749D">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FBA" w:rsidRDefault="00BA3FBA" w:rsidP="00C228C3">
      <w:pPr>
        <w:spacing w:after="0" w:line="240" w:lineRule="auto"/>
      </w:pPr>
      <w:r>
        <w:separator/>
      </w:r>
    </w:p>
  </w:endnote>
  <w:endnote w:type="continuationSeparator" w:id="0">
    <w:p w:rsidR="00BA3FBA" w:rsidRDefault="00BA3FBA" w:rsidP="00C2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Italic">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5EC" w:rsidRDefault="008535EC" w:rsidP="0010183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FBA" w:rsidRDefault="00BA3FBA" w:rsidP="00C228C3">
      <w:pPr>
        <w:spacing w:after="0" w:line="240" w:lineRule="auto"/>
      </w:pPr>
      <w:r>
        <w:separator/>
      </w:r>
    </w:p>
  </w:footnote>
  <w:footnote w:type="continuationSeparator" w:id="0">
    <w:p w:rsidR="00BA3FBA" w:rsidRDefault="00BA3FBA" w:rsidP="00C228C3">
      <w:pPr>
        <w:spacing w:after="0" w:line="240" w:lineRule="auto"/>
      </w:pPr>
      <w:r>
        <w:continuationSeparator/>
      </w:r>
    </w:p>
  </w:footnote>
  <w:footnote w:id="1">
    <w:p w:rsidR="0030077C" w:rsidRPr="00174975" w:rsidRDefault="0030077C" w:rsidP="00174975">
      <w:pPr>
        <w:pStyle w:val="Textonotapie"/>
        <w:suppressLineNumbers/>
        <w:tabs>
          <w:tab w:val="left" w:pos="426"/>
        </w:tabs>
        <w:jc w:val="both"/>
        <w:rPr>
          <w:rFonts w:ascii="Verdana" w:hAnsi="Verdana"/>
          <w:sz w:val="16"/>
          <w:szCs w:val="16"/>
        </w:rPr>
      </w:pPr>
      <w:r w:rsidRPr="00174975">
        <w:rPr>
          <w:rFonts w:ascii="Verdana" w:hAnsi="Verdana"/>
          <w:sz w:val="16"/>
          <w:szCs w:val="16"/>
        </w:rPr>
        <w:t>*</w:t>
      </w:r>
      <w:r w:rsidRPr="00174975">
        <w:rPr>
          <w:rFonts w:ascii="Verdana" w:hAnsi="Verdana"/>
          <w:sz w:val="16"/>
          <w:szCs w:val="16"/>
        </w:rPr>
        <w:tab/>
        <w:t>El Juez L. Patricio Pazmiño Freire, de nacionalidad ecuatoriana, no participó en el conocimiento y deliberación de la presente Resolución, de conformidad con lo dispuesto en el artículo 19.1 del Reglamento de la Corte.</w:t>
      </w:r>
    </w:p>
  </w:footnote>
  <w:footnote w:id="2">
    <w:p w:rsidR="008535EC" w:rsidRPr="00174975" w:rsidRDefault="008535EC" w:rsidP="00174975">
      <w:pPr>
        <w:pStyle w:val="Textonotapie"/>
        <w:tabs>
          <w:tab w:val="left" w:pos="426"/>
        </w:tabs>
        <w:contextualSpacing/>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A81B59" w:rsidRPr="00174975">
        <w:rPr>
          <w:rFonts w:ascii="Verdana" w:hAnsi="Verdana"/>
          <w:sz w:val="16"/>
          <w:szCs w:val="16"/>
        </w:rPr>
        <w:t xml:space="preserve">La Sentencia fue notificada el 1 de agosto de 2007. </w:t>
      </w:r>
      <w:r w:rsidRPr="00174975">
        <w:rPr>
          <w:rStyle w:val="Textoennegrita"/>
          <w:rFonts w:ascii="Verdana" w:hAnsi="Verdana"/>
          <w:b w:val="0"/>
          <w:i/>
          <w:color w:val="000000"/>
          <w:sz w:val="16"/>
          <w:szCs w:val="16"/>
          <w:shd w:val="clear" w:color="auto" w:fill="FFFFFF"/>
        </w:rPr>
        <w:t>Cfr. Caso Zambrano Vélez y otros Vs. Ecuador. Fondo, Reparaciones y Costas</w:t>
      </w:r>
      <w:r w:rsidRPr="00174975">
        <w:rPr>
          <w:rStyle w:val="Textoennegrita"/>
          <w:rFonts w:ascii="Verdana" w:hAnsi="Verdana"/>
          <w:b w:val="0"/>
          <w:color w:val="000000"/>
          <w:sz w:val="16"/>
          <w:szCs w:val="16"/>
          <w:shd w:val="clear" w:color="auto" w:fill="FFFFFF"/>
        </w:rPr>
        <w:t xml:space="preserve">. Sentencia de 4 de julio de 2007. Serie C No. 166. El texto íntegro de la Sentencia se encuentra disponible en: </w:t>
      </w:r>
      <w:hyperlink r:id="rId1" w:history="1">
        <w:r w:rsidRPr="00174975">
          <w:rPr>
            <w:rStyle w:val="Hipervnculo"/>
            <w:rFonts w:ascii="Verdana" w:hAnsi="Verdana"/>
            <w:sz w:val="16"/>
            <w:szCs w:val="16"/>
            <w:shd w:val="clear" w:color="auto" w:fill="FFFFFF"/>
          </w:rPr>
          <w:t>http://www.corteidh.or.cr/docs/casos/articulos/seriec_166_esp1.pdf</w:t>
        </w:r>
      </w:hyperlink>
      <w:r w:rsidRPr="00174975">
        <w:rPr>
          <w:rStyle w:val="Textoennegrita"/>
          <w:rFonts w:ascii="Verdana" w:hAnsi="Verdana"/>
          <w:b w:val="0"/>
          <w:color w:val="000000"/>
          <w:sz w:val="16"/>
          <w:szCs w:val="16"/>
          <w:shd w:val="clear" w:color="auto" w:fill="FFFFFF"/>
        </w:rPr>
        <w:t>.</w:t>
      </w:r>
    </w:p>
  </w:footnote>
  <w:footnote w:id="3">
    <w:p w:rsidR="008535EC" w:rsidRPr="00174975" w:rsidRDefault="008535EC" w:rsidP="00174975">
      <w:pPr>
        <w:pStyle w:val="Textonotapie"/>
        <w:tabs>
          <w:tab w:val="left" w:pos="426"/>
        </w:tabs>
        <w:contextualSpacing/>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A81B59" w:rsidRPr="00174975">
        <w:rPr>
          <w:rFonts w:ascii="Verdana" w:hAnsi="Verdana"/>
          <w:sz w:val="16"/>
          <w:szCs w:val="16"/>
        </w:rPr>
        <w:t xml:space="preserve">El operativo autorizaba “la intervención de las Fuerzas Armadas en todo el territorio nacional, como medio de precautelar la seguridad de las personas y de los bienes públicos y privados” ante los hechos de vandalismo, atentados a la integridad y perjuicios a la propiedad que se suscitaban en el territorio nacional. </w:t>
      </w:r>
      <w:r w:rsidRPr="00174975">
        <w:rPr>
          <w:rFonts w:ascii="Verdana" w:hAnsi="Verdana"/>
          <w:sz w:val="16"/>
          <w:szCs w:val="16"/>
        </w:rPr>
        <w:t>La Corte estableció como “hechos reconocidos o no controvertidos” que este operativo fue realizado conjuntamente por las tres ramas de las Fuerzas Armadas (Marina, Fuerza Aérea y Ejército) y Policía Nacional. Durante el operativo, miembros de las Fuerzas Armadas encapuchados con pasamontañas utilizaron explosivos para abrir las puertas de las casas e ingresar a los domicilios de las mencionadas víctimas, quienes se encontraban junto con sus compañeras y algunos hijos, y que fueron privados de su vida por disparos de agentes estatales</w:t>
      </w:r>
      <w:r w:rsidR="00E470E0">
        <w:rPr>
          <w:rFonts w:ascii="Verdana" w:hAnsi="Verdana"/>
          <w:sz w:val="16"/>
          <w:szCs w:val="16"/>
        </w:rPr>
        <w:t>.</w:t>
      </w:r>
      <w:r w:rsidRPr="00174975">
        <w:rPr>
          <w:rFonts w:ascii="Verdana" w:hAnsi="Verdana"/>
          <w:sz w:val="16"/>
          <w:szCs w:val="16"/>
        </w:rPr>
        <w:t xml:space="preserve"> </w:t>
      </w:r>
    </w:p>
  </w:footnote>
  <w:footnote w:id="4">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Los hechos se enmarcaron en un contexto en el que algunas de las principales ciudades del Ecuador (especialmente Quito y Guayaquil) se vieron afectadas por graves hechos de delincuencia, que conllevaron a un clima de inseguridad y conmoción interna. Ante dicha situación, y en el marco de la Ley de Seguridad Nacional, el entonces Presidente de la República dictó el referido Decreto No. 86 de 3 de septiembre de 1992. </w:t>
      </w:r>
    </w:p>
  </w:footnote>
  <w:footnote w:id="5">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La Corte aceptó el reconocimiento parcial de responsabilidad internacional realizado por el Estado en relación con el incumplimiento del artículo 27 de la Convención Americana. </w:t>
      </w:r>
    </w:p>
  </w:footnote>
  <w:footnote w:id="6">
    <w:p w:rsidR="008535EC" w:rsidRPr="00174975" w:rsidRDefault="008535EC" w:rsidP="00174975">
      <w:pPr>
        <w:pStyle w:val="Textonotapie"/>
        <w:tabs>
          <w:tab w:val="left" w:pos="426"/>
        </w:tabs>
        <w:jc w:val="both"/>
        <w:rPr>
          <w:rFonts w:ascii="Verdana" w:hAnsi="Verdana"/>
          <w:sz w:val="16"/>
          <w:szCs w:val="16"/>
        </w:rPr>
      </w:pPr>
      <w:r w:rsidRPr="00174975">
        <w:rPr>
          <w:rFonts w:ascii="Verdana" w:hAnsi="Verdana"/>
          <w:sz w:val="16"/>
          <w:szCs w:val="16"/>
          <w:vertAlign w:val="superscript"/>
        </w:rPr>
        <w:footnoteRef/>
      </w:r>
      <w:r w:rsidRPr="00174975">
        <w:rPr>
          <w:rFonts w:ascii="Verdana" w:hAnsi="Verdana"/>
          <w:sz w:val="16"/>
          <w:szCs w:val="16"/>
        </w:rPr>
        <w:t xml:space="preserve"> </w:t>
      </w:r>
      <w:r w:rsidRPr="00174975">
        <w:rPr>
          <w:rFonts w:ascii="Verdana" w:hAnsi="Verdana"/>
          <w:sz w:val="16"/>
          <w:szCs w:val="16"/>
        </w:rPr>
        <w:tab/>
        <w:t xml:space="preserve">La Corte aceptó el reconocimiento parcial de responsabilidad internacional realizado por el Estado por la violación de los derechos a las garantías judiciales y a la protección judicial, consagrados en los artículos 8.1 y 25 de la Convención Americana sobre Derechos Humanos. </w:t>
      </w:r>
    </w:p>
  </w:footnote>
  <w:footnote w:id="7">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Familiares del señor Wilmer Zambrano Vélez:</w:t>
      </w:r>
      <w:r w:rsidRPr="00174975">
        <w:rPr>
          <w:rFonts w:ascii="Verdana" w:hAnsi="Verdana"/>
          <w:sz w:val="16"/>
          <w:szCs w:val="16"/>
        </w:rPr>
        <w:t xml:space="preserve"> Alicia Marlene Rodríguez Villegas, Karen </w:t>
      </w:r>
      <w:proofErr w:type="spellStart"/>
      <w:r w:rsidRPr="00174975">
        <w:rPr>
          <w:rFonts w:ascii="Verdana" w:hAnsi="Verdana"/>
          <w:sz w:val="16"/>
          <w:szCs w:val="16"/>
        </w:rPr>
        <w:t>Lisette</w:t>
      </w:r>
      <w:proofErr w:type="spellEnd"/>
      <w:r w:rsidRPr="00174975">
        <w:rPr>
          <w:rFonts w:ascii="Verdana" w:hAnsi="Verdana"/>
          <w:sz w:val="16"/>
          <w:szCs w:val="16"/>
        </w:rPr>
        <w:t xml:space="preserve"> Zambrano Rodríguez, Johanna Elizabeth Zambrano Abad, Jennifer Karina Zambrano Abad, Ángel Homero Zambrano Abad, Jessica Marlene Baque Rodríguez y Christian Eduardo Zambrano </w:t>
      </w:r>
      <w:proofErr w:type="spellStart"/>
      <w:r w:rsidRPr="00174975">
        <w:rPr>
          <w:rFonts w:ascii="Verdana" w:hAnsi="Verdana"/>
          <w:sz w:val="16"/>
          <w:szCs w:val="16"/>
        </w:rPr>
        <w:t>Ruales</w:t>
      </w:r>
      <w:proofErr w:type="spellEnd"/>
      <w:r w:rsidRPr="00174975">
        <w:rPr>
          <w:rFonts w:ascii="Verdana" w:hAnsi="Verdana"/>
          <w:sz w:val="16"/>
          <w:szCs w:val="16"/>
        </w:rPr>
        <w:t xml:space="preserve">, y </w:t>
      </w:r>
      <w:r w:rsidRPr="00174975">
        <w:rPr>
          <w:rFonts w:ascii="Verdana" w:hAnsi="Verdana"/>
          <w:i/>
          <w:sz w:val="16"/>
          <w:szCs w:val="16"/>
        </w:rPr>
        <w:t xml:space="preserve">familiares del señor Segundo Olmedo Caicedo </w:t>
      </w:r>
      <w:proofErr w:type="spellStart"/>
      <w:r w:rsidRPr="00174975">
        <w:rPr>
          <w:rFonts w:ascii="Verdana" w:hAnsi="Verdana"/>
          <w:i/>
          <w:sz w:val="16"/>
          <w:szCs w:val="16"/>
        </w:rPr>
        <w:t>Cobeña</w:t>
      </w:r>
      <w:proofErr w:type="spellEnd"/>
      <w:r w:rsidRPr="00174975">
        <w:rPr>
          <w:rFonts w:ascii="Verdana" w:hAnsi="Verdana"/>
          <w:i/>
          <w:sz w:val="16"/>
          <w:szCs w:val="16"/>
        </w:rPr>
        <w:t>:</w:t>
      </w:r>
      <w:r w:rsidRPr="00174975">
        <w:rPr>
          <w:rFonts w:ascii="Verdana" w:hAnsi="Verdana"/>
          <w:sz w:val="16"/>
          <w:szCs w:val="16"/>
        </w:rPr>
        <w:t xml:space="preserve"> Silvia Liza Macías Acosta, </w:t>
      </w:r>
      <w:proofErr w:type="spellStart"/>
      <w:r w:rsidRPr="00174975">
        <w:rPr>
          <w:rFonts w:ascii="Verdana" w:hAnsi="Verdana"/>
          <w:sz w:val="16"/>
          <w:szCs w:val="16"/>
        </w:rPr>
        <w:t>Vanner</w:t>
      </w:r>
      <w:proofErr w:type="spellEnd"/>
      <w:r w:rsidRPr="00174975">
        <w:rPr>
          <w:rFonts w:ascii="Verdana" w:hAnsi="Verdana"/>
          <w:sz w:val="16"/>
          <w:szCs w:val="16"/>
        </w:rPr>
        <w:t xml:space="preserve"> Omar Caicedo Macías, Olmedo Germán Caicedo Macías, </w:t>
      </w:r>
      <w:proofErr w:type="spellStart"/>
      <w:r w:rsidRPr="00174975">
        <w:rPr>
          <w:rFonts w:ascii="Verdana" w:hAnsi="Verdana"/>
          <w:sz w:val="16"/>
          <w:szCs w:val="16"/>
        </w:rPr>
        <w:t>Marjuri</w:t>
      </w:r>
      <w:proofErr w:type="spellEnd"/>
      <w:r w:rsidRPr="00174975">
        <w:rPr>
          <w:rFonts w:ascii="Verdana" w:hAnsi="Verdana"/>
          <w:sz w:val="16"/>
          <w:szCs w:val="16"/>
        </w:rPr>
        <w:t xml:space="preserve"> Narcisa Caicedo Rodríguez, Gardenia Marianela Caicedo Rodríguez, </w:t>
      </w:r>
      <w:proofErr w:type="spellStart"/>
      <w:r w:rsidRPr="00174975">
        <w:rPr>
          <w:rFonts w:ascii="Verdana" w:hAnsi="Verdana"/>
          <w:sz w:val="16"/>
          <w:szCs w:val="16"/>
        </w:rPr>
        <w:t>Elkis</w:t>
      </w:r>
      <w:proofErr w:type="spellEnd"/>
      <w:r w:rsidRPr="00174975">
        <w:rPr>
          <w:rFonts w:ascii="Verdana" w:hAnsi="Verdana"/>
          <w:sz w:val="16"/>
          <w:szCs w:val="16"/>
        </w:rPr>
        <w:t xml:space="preserve"> Mariela Caicedo Rodríguez, Richard Olmedo Caicedo Rodríguez, Iris Estrella Caicedo Chamorro y </w:t>
      </w:r>
      <w:proofErr w:type="spellStart"/>
      <w:r w:rsidRPr="00174975">
        <w:rPr>
          <w:rFonts w:ascii="Verdana" w:hAnsi="Verdana"/>
          <w:sz w:val="16"/>
          <w:szCs w:val="16"/>
        </w:rPr>
        <w:t>Mayerlin</w:t>
      </w:r>
      <w:proofErr w:type="spellEnd"/>
      <w:r w:rsidRPr="00174975">
        <w:rPr>
          <w:rFonts w:ascii="Verdana" w:hAnsi="Verdana"/>
          <w:sz w:val="16"/>
          <w:szCs w:val="16"/>
        </w:rPr>
        <w:t xml:space="preserve"> Chamorro, y </w:t>
      </w:r>
      <w:r w:rsidRPr="00B929CA">
        <w:rPr>
          <w:rFonts w:ascii="Verdana" w:hAnsi="Verdana"/>
          <w:i/>
          <w:sz w:val="16"/>
          <w:szCs w:val="16"/>
        </w:rPr>
        <w:t xml:space="preserve">familiares del señor José Miguel Caicedo </w:t>
      </w:r>
      <w:proofErr w:type="spellStart"/>
      <w:r w:rsidRPr="00B929CA">
        <w:rPr>
          <w:rFonts w:ascii="Verdana" w:hAnsi="Verdana"/>
          <w:i/>
          <w:sz w:val="16"/>
          <w:szCs w:val="16"/>
        </w:rPr>
        <w:t>Cobeña</w:t>
      </w:r>
      <w:proofErr w:type="spellEnd"/>
      <w:r w:rsidRPr="00174975">
        <w:rPr>
          <w:rFonts w:ascii="Verdana" w:hAnsi="Verdana"/>
          <w:sz w:val="16"/>
          <w:szCs w:val="16"/>
        </w:rPr>
        <w:t xml:space="preserve">: Teresa María Susana Cedeño Paz, María Magdalena Caicedo Cedeño, Jessica Soraya Vera Cedeño, Manuel Abelardo Vera Cedeño, </w:t>
      </w:r>
      <w:proofErr w:type="spellStart"/>
      <w:r w:rsidRPr="00174975">
        <w:rPr>
          <w:rFonts w:ascii="Verdana" w:hAnsi="Verdana"/>
          <w:sz w:val="16"/>
          <w:szCs w:val="16"/>
        </w:rPr>
        <w:t>Brimer</w:t>
      </w:r>
      <w:proofErr w:type="spellEnd"/>
      <w:r w:rsidRPr="00174975">
        <w:rPr>
          <w:rFonts w:ascii="Verdana" w:hAnsi="Verdana"/>
          <w:sz w:val="16"/>
          <w:szCs w:val="16"/>
        </w:rPr>
        <w:t xml:space="preserve"> Ramón Vera Cedeño, </w:t>
      </w:r>
      <w:proofErr w:type="spellStart"/>
      <w:r w:rsidRPr="00174975">
        <w:rPr>
          <w:rFonts w:ascii="Verdana" w:hAnsi="Verdana"/>
          <w:sz w:val="16"/>
          <w:szCs w:val="16"/>
        </w:rPr>
        <w:t>Kleber</w:t>
      </w:r>
      <w:proofErr w:type="spellEnd"/>
      <w:r w:rsidRPr="00174975">
        <w:rPr>
          <w:rFonts w:ascii="Verdana" w:hAnsi="Verdana"/>
          <w:sz w:val="16"/>
          <w:szCs w:val="16"/>
        </w:rPr>
        <w:t xml:space="preserve"> Miguel Caicedo Ponce, </w:t>
      </w:r>
      <w:proofErr w:type="spellStart"/>
      <w:r w:rsidRPr="00174975">
        <w:rPr>
          <w:rFonts w:ascii="Verdana" w:hAnsi="Verdana"/>
          <w:sz w:val="16"/>
          <w:szCs w:val="16"/>
        </w:rPr>
        <w:t>Mariuxi</w:t>
      </w:r>
      <w:proofErr w:type="spellEnd"/>
      <w:r w:rsidRPr="00174975">
        <w:rPr>
          <w:rFonts w:ascii="Verdana" w:hAnsi="Verdana"/>
          <w:sz w:val="16"/>
          <w:szCs w:val="16"/>
        </w:rPr>
        <w:t xml:space="preserve"> Mariela Caicedo Ponce, José Kelvin Caicedo Ponce, </w:t>
      </w:r>
      <w:proofErr w:type="spellStart"/>
      <w:r w:rsidRPr="00174975">
        <w:rPr>
          <w:rFonts w:ascii="Verdana" w:hAnsi="Verdana"/>
          <w:sz w:val="16"/>
          <w:szCs w:val="16"/>
        </w:rPr>
        <w:t>Cira</w:t>
      </w:r>
      <w:proofErr w:type="spellEnd"/>
      <w:r w:rsidRPr="00174975">
        <w:rPr>
          <w:rFonts w:ascii="Verdana" w:hAnsi="Verdana"/>
          <w:sz w:val="16"/>
          <w:szCs w:val="16"/>
        </w:rPr>
        <w:t xml:space="preserve"> </w:t>
      </w:r>
      <w:proofErr w:type="spellStart"/>
      <w:r w:rsidRPr="00174975">
        <w:rPr>
          <w:rFonts w:ascii="Verdana" w:hAnsi="Verdana"/>
          <w:sz w:val="16"/>
          <w:szCs w:val="16"/>
        </w:rPr>
        <w:t>Seneida</w:t>
      </w:r>
      <w:proofErr w:type="spellEnd"/>
      <w:r w:rsidRPr="00174975">
        <w:rPr>
          <w:rFonts w:ascii="Verdana" w:hAnsi="Verdana"/>
          <w:sz w:val="16"/>
          <w:szCs w:val="16"/>
        </w:rPr>
        <w:t xml:space="preserve"> Caicedo Ponce,</w:t>
      </w:r>
      <w:r w:rsidR="00B929CA">
        <w:rPr>
          <w:rFonts w:ascii="Verdana" w:hAnsi="Verdana"/>
          <w:sz w:val="16"/>
          <w:szCs w:val="16"/>
        </w:rPr>
        <w:t xml:space="preserve"> y</w:t>
      </w:r>
      <w:r w:rsidRPr="00174975">
        <w:rPr>
          <w:rFonts w:ascii="Verdana" w:hAnsi="Verdana"/>
          <w:sz w:val="16"/>
          <w:szCs w:val="16"/>
        </w:rPr>
        <w:t xml:space="preserve"> Gina </w:t>
      </w:r>
      <w:proofErr w:type="spellStart"/>
      <w:r w:rsidRPr="00174975">
        <w:rPr>
          <w:rFonts w:ascii="Verdana" w:hAnsi="Verdana"/>
          <w:sz w:val="16"/>
          <w:szCs w:val="16"/>
        </w:rPr>
        <w:t>Loyobrígida</w:t>
      </w:r>
      <w:proofErr w:type="spellEnd"/>
      <w:r w:rsidRPr="00174975">
        <w:rPr>
          <w:rFonts w:ascii="Verdana" w:hAnsi="Verdana"/>
          <w:sz w:val="16"/>
          <w:szCs w:val="16"/>
        </w:rPr>
        <w:t xml:space="preserve"> Caicedo Ponce.</w:t>
      </w:r>
    </w:p>
  </w:footnote>
  <w:footnote w:id="8">
    <w:p w:rsidR="008535EC" w:rsidRPr="00174975" w:rsidRDefault="008535EC" w:rsidP="00174975">
      <w:pPr>
        <w:pStyle w:val="Textonotapie"/>
        <w:tabs>
          <w:tab w:val="left" w:pos="426"/>
        </w:tabs>
        <w:jc w:val="both"/>
        <w:rPr>
          <w:rFonts w:ascii="Verdana" w:hAnsi="Verdana"/>
          <w:sz w:val="16"/>
          <w:szCs w:val="16"/>
        </w:rPr>
      </w:pPr>
      <w:r w:rsidRPr="00174975">
        <w:rPr>
          <w:rFonts w:ascii="Verdana" w:hAnsi="Verdana"/>
          <w:sz w:val="16"/>
          <w:szCs w:val="16"/>
          <w:vertAlign w:val="superscript"/>
        </w:rPr>
        <w:footnoteRef/>
      </w:r>
      <w:r w:rsidRPr="00174975">
        <w:rPr>
          <w:rFonts w:ascii="Verdana" w:hAnsi="Verdana"/>
          <w:sz w:val="16"/>
          <w:szCs w:val="16"/>
        </w:rPr>
        <w:t xml:space="preserve"> </w:t>
      </w:r>
      <w:r w:rsidRPr="00174975">
        <w:rPr>
          <w:rFonts w:ascii="Verdana" w:hAnsi="Verdana"/>
          <w:sz w:val="16"/>
          <w:szCs w:val="16"/>
        </w:rPr>
        <w:tab/>
        <w:t xml:space="preserve">El Estado reconoció que desde que ocurrieron los hechos del caso no había sido abierto un proceso penal en la jurisdicción ordinaria para investigar esos hechos, identificar a los responsables y, en su caso, sancionarlos. Además, la Corte determinó “la existencia de normas [(Ley de Seguridad Nacional y Decreto No. 86)] que impedían realizar un adecuado control del estado de emergencia </w:t>
      </w:r>
      <w:r w:rsidR="00BE5B89" w:rsidRPr="00174975">
        <w:rPr>
          <w:rFonts w:ascii="Verdana" w:hAnsi="Verdana"/>
          <w:sz w:val="16"/>
          <w:szCs w:val="16"/>
        </w:rPr>
        <w:t xml:space="preserve">[…] o de la </w:t>
      </w:r>
      <w:r w:rsidRPr="00174975">
        <w:rPr>
          <w:rFonts w:ascii="Verdana" w:hAnsi="Verdana"/>
          <w:sz w:val="16"/>
          <w:szCs w:val="16"/>
        </w:rPr>
        <w:t xml:space="preserve">legitimidad del uso de la fuerza y del operativo [en el que fueron ejecutadas las víctimas del caso] por la vía de una investigación independiente e imparcial”. En particular, los artículos 145 y 147 de la </w:t>
      </w:r>
      <w:r w:rsidR="00BE5B89" w:rsidRPr="00174975">
        <w:rPr>
          <w:rFonts w:ascii="Verdana" w:hAnsi="Verdana"/>
          <w:sz w:val="16"/>
          <w:szCs w:val="16"/>
        </w:rPr>
        <w:t>L</w:t>
      </w:r>
      <w:r w:rsidRPr="00174975">
        <w:rPr>
          <w:rFonts w:ascii="Verdana" w:hAnsi="Verdana"/>
          <w:sz w:val="16"/>
          <w:szCs w:val="16"/>
        </w:rPr>
        <w:t xml:space="preserve">ey de Seguridad Nacional, vigente en aquel entonces, disponían que los hechos delictuosos ocurridos durante el estado de excepción declarado sobre la base de dicha ley, quedarían bajo la jurisdicción penal militar y debían ser juzgados con arreglo al Código Penal Militar. </w:t>
      </w:r>
    </w:p>
  </w:footnote>
  <w:footnote w:id="9">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Cfr</w:t>
      </w:r>
      <w:r w:rsidRPr="00174975">
        <w:rPr>
          <w:rFonts w:ascii="Verdana" w:hAnsi="Verdana"/>
          <w:sz w:val="16"/>
          <w:szCs w:val="16"/>
        </w:rPr>
        <w:t xml:space="preserve">. </w:t>
      </w:r>
      <w:r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 disponible en:</w:t>
      </w:r>
      <w:r w:rsidRPr="00174975">
        <w:rPr>
          <w:rStyle w:val="Textoennegrita"/>
          <w:rFonts w:ascii="Verdana" w:hAnsi="Verdana"/>
          <w:color w:val="000000"/>
          <w:sz w:val="16"/>
          <w:szCs w:val="16"/>
          <w:shd w:val="clear" w:color="auto" w:fill="FFFFFF"/>
        </w:rPr>
        <w:t xml:space="preserve"> </w:t>
      </w:r>
      <w:hyperlink r:id="rId2" w:history="1">
        <w:r w:rsidRPr="00174975">
          <w:rPr>
            <w:rStyle w:val="Hipervnculo"/>
            <w:rFonts w:ascii="Verdana" w:hAnsi="Verdana"/>
            <w:sz w:val="16"/>
            <w:szCs w:val="16"/>
            <w:shd w:val="clear" w:color="auto" w:fill="FFFFFF"/>
          </w:rPr>
          <w:t>http://www.corteidh.or.cr/docs/supervisiones/zambrano_21_09_09.pdf</w:t>
        </w:r>
      </w:hyperlink>
      <w:r w:rsidRPr="00174975">
        <w:rPr>
          <w:rStyle w:val="Textoennegrita"/>
          <w:rFonts w:ascii="Verdana" w:hAnsi="Verdana"/>
          <w:b w:val="0"/>
          <w:color w:val="000000"/>
          <w:sz w:val="16"/>
          <w:szCs w:val="16"/>
          <w:shd w:val="clear" w:color="auto" w:fill="FFFFFF"/>
        </w:rPr>
        <w:t xml:space="preserve">, y </w:t>
      </w:r>
      <w:r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disponible en: </w:t>
      </w:r>
      <w:hyperlink r:id="rId3" w:history="1">
        <w:r w:rsidRPr="00174975">
          <w:rPr>
            <w:rStyle w:val="Hipervnculo"/>
            <w:rFonts w:ascii="Verdana" w:hAnsi="Verdana"/>
            <w:sz w:val="16"/>
            <w:szCs w:val="16"/>
            <w:shd w:val="clear" w:color="auto" w:fill="FFFFFF"/>
          </w:rPr>
          <w:t>http://www.corteidh.or.cr/docs/supervisiones/zambrano_23_11_10.pdf</w:t>
        </w:r>
      </w:hyperlink>
      <w:r w:rsidRPr="00174975">
        <w:rPr>
          <w:rStyle w:val="Textoennegrita"/>
          <w:rFonts w:ascii="Verdana" w:hAnsi="Verdana"/>
          <w:b w:val="0"/>
          <w:color w:val="000000"/>
          <w:sz w:val="16"/>
          <w:szCs w:val="16"/>
          <w:shd w:val="clear" w:color="auto" w:fill="FFFFFF"/>
        </w:rPr>
        <w:t xml:space="preserve">. </w:t>
      </w:r>
    </w:p>
  </w:footnote>
  <w:footnote w:id="10">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En ella se solicitó determinada información al Estado, a</w:t>
      </w:r>
      <w:r w:rsidR="00BE5B89" w:rsidRPr="00174975">
        <w:rPr>
          <w:rFonts w:ascii="Verdana" w:hAnsi="Verdana"/>
          <w:sz w:val="16"/>
          <w:szCs w:val="16"/>
        </w:rPr>
        <w:t xml:space="preserve"> </w:t>
      </w:r>
      <w:r w:rsidRPr="00174975">
        <w:rPr>
          <w:rFonts w:ascii="Verdana" w:hAnsi="Verdana"/>
          <w:sz w:val="16"/>
          <w:szCs w:val="16"/>
        </w:rPr>
        <w:t>l</w:t>
      </w:r>
      <w:r w:rsidR="00BE5B89" w:rsidRPr="00174975">
        <w:rPr>
          <w:rFonts w:ascii="Verdana" w:hAnsi="Verdana"/>
          <w:sz w:val="16"/>
          <w:szCs w:val="16"/>
        </w:rPr>
        <w:t>os</w:t>
      </w:r>
      <w:r w:rsidRPr="00174975">
        <w:rPr>
          <w:rFonts w:ascii="Verdana" w:hAnsi="Verdana"/>
          <w:sz w:val="16"/>
          <w:szCs w:val="16"/>
        </w:rPr>
        <w:t xml:space="preserve"> representante</w:t>
      </w:r>
      <w:r w:rsidR="00BE5B89" w:rsidRPr="00174975">
        <w:rPr>
          <w:rFonts w:ascii="Verdana" w:hAnsi="Verdana"/>
          <w:sz w:val="16"/>
          <w:szCs w:val="16"/>
        </w:rPr>
        <w:t>s</w:t>
      </w:r>
      <w:r w:rsidRPr="00174975">
        <w:rPr>
          <w:rFonts w:ascii="Verdana" w:hAnsi="Verdana"/>
          <w:sz w:val="16"/>
          <w:szCs w:val="16"/>
        </w:rPr>
        <w:t xml:space="preserve"> y a la Comisión Interamericana</w:t>
      </w:r>
      <w:r w:rsidR="00BE5B89" w:rsidRPr="00174975">
        <w:rPr>
          <w:rFonts w:ascii="Verdana" w:hAnsi="Verdana"/>
          <w:sz w:val="16"/>
          <w:szCs w:val="16"/>
        </w:rPr>
        <w:t>,</w:t>
      </w:r>
      <w:r w:rsidRPr="00174975">
        <w:rPr>
          <w:rFonts w:ascii="Verdana" w:hAnsi="Verdana"/>
          <w:sz w:val="16"/>
          <w:szCs w:val="16"/>
        </w:rPr>
        <w:t xml:space="preserve"> en relación con las medidas de reparación pendientes de acatamiento y se convocó la celebración de una audiencia privada de supervisión de cumplimiento. </w:t>
      </w:r>
      <w:r w:rsidRPr="00174975">
        <w:rPr>
          <w:rFonts w:ascii="Verdana" w:hAnsi="Verdana"/>
          <w:i/>
          <w:sz w:val="16"/>
          <w:szCs w:val="16"/>
        </w:rPr>
        <w:t xml:space="preserve">Cfr. </w:t>
      </w:r>
      <w:r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174975">
        <w:rPr>
          <w:rStyle w:val="Textoennegrita"/>
          <w:rFonts w:ascii="Verdana" w:hAnsi="Verdana"/>
          <w:b w:val="0"/>
          <w:color w:val="000000"/>
          <w:sz w:val="16"/>
          <w:szCs w:val="16"/>
          <w:shd w:val="clear" w:color="auto" w:fill="FFFFFF"/>
        </w:rPr>
        <w:t>Resolución de la Presidenta de Corte Interamericana de Derechos Humanos de 22 de mayo de 2009, disponible en:</w:t>
      </w:r>
      <w:r w:rsidRPr="00174975">
        <w:rPr>
          <w:rFonts w:ascii="Verdana" w:hAnsi="Verdana"/>
          <w:sz w:val="16"/>
          <w:szCs w:val="16"/>
        </w:rPr>
        <w:t xml:space="preserve"> </w:t>
      </w:r>
      <w:hyperlink r:id="rId4" w:history="1">
        <w:r w:rsidRPr="00174975">
          <w:rPr>
            <w:rStyle w:val="Hipervnculo"/>
            <w:rFonts w:ascii="Verdana" w:hAnsi="Verdana"/>
            <w:sz w:val="16"/>
            <w:szCs w:val="16"/>
            <w:shd w:val="clear" w:color="auto" w:fill="FFFFFF"/>
          </w:rPr>
          <w:t>http://www.corteidh.or.cr/docs/supervisiones/zambrano_22_05_09.pdf</w:t>
        </w:r>
      </w:hyperlink>
      <w:r w:rsidRPr="00174975">
        <w:rPr>
          <w:rStyle w:val="Hipervnculo"/>
          <w:rFonts w:ascii="Verdana" w:hAnsi="Verdana"/>
          <w:sz w:val="16"/>
          <w:szCs w:val="16"/>
          <w:shd w:val="clear" w:color="auto" w:fill="FFFFFF"/>
        </w:rPr>
        <w:t>.</w:t>
      </w:r>
    </w:p>
  </w:footnote>
  <w:footnote w:id="11">
    <w:p w:rsidR="00445A42" w:rsidRPr="00174975" w:rsidRDefault="00445A42"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Escrito de 30 de marzo de 2011.</w:t>
      </w:r>
    </w:p>
  </w:footnote>
  <w:footnote w:id="12">
    <w:p w:rsidR="00445A42" w:rsidRPr="00174975" w:rsidRDefault="00445A42"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B929CA">
        <w:rPr>
          <w:rFonts w:ascii="Verdana" w:hAnsi="Verdana"/>
          <w:sz w:val="16"/>
          <w:szCs w:val="16"/>
        </w:rPr>
        <w:t xml:space="preserve">Escrito de 9 de mayo de 2011. </w:t>
      </w:r>
      <w:r w:rsidRPr="00174975">
        <w:rPr>
          <w:rFonts w:ascii="Verdana" w:hAnsi="Verdana"/>
          <w:sz w:val="16"/>
          <w:szCs w:val="16"/>
        </w:rPr>
        <w:t>La Comisión Ecumén</w:t>
      </w:r>
      <w:r w:rsidR="00B929CA">
        <w:rPr>
          <w:rFonts w:ascii="Verdana" w:hAnsi="Verdana"/>
          <w:sz w:val="16"/>
          <w:szCs w:val="16"/>
        </w:rPr>
        <w:t>ica de Derechos Humanos (CEDHU) es la organización representante de las víctimas y l</w:t>
      </w:r>
      <w:r w:rsidRPr="00174975">
        <w:rPr>
          <w:rFonts w:ascii="Verdana" w:hAnsi="Verdana"/>
          <w:sz w:val="16"/>
          <w:szCs w:val="16"/>
        </w:rPr>
        <w:t>os escritos están suscritos por el señor César Duque, asesor jurídico de la CEDHU.</w:t>
      </w:r>
    </w:p>
  </w:footnote>
  <w:footnote w:id="13">
    <w:p w:rsidR="00445A42" w:rsidRPr="00174975" w:rsidRDefault="00445A42" w:rsidP="00174975">
      <w:pPr>
        <w:pStyle w:val="Prrafodelista"/>
        <w:tabs>
          <w:tab w:val="left" w:pos="426"/>
        </w:tabs>
        <w:autoSpaceDE w:val="0"/>
        <w:autoSpaceDN w:val="0"/>
        <w:adjustRightInd w:val="0"/>
        <w:spacing w:after="0" w:line="240" w:lineRule="auto"/>
        <w:ind w:left="0"/>
        <w:contextualSpacing w:val="0"/>
        <w:jc w:val="both"/>
        <w:rPr>
          <w:rFonts w:ascii="Verdana" w:hAnsi="Verdana" w:cs="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Escritos de </w:t>
      </w:r>
      <w:r w:rsidRPr="00174975">
        <w:rPr>
          <w:rFonts w:ascii="Verdana" w:hAnsi="Verdana"/>
          <w:sz w:val="16"/>
          <w:szCs w:val="16"/>
          <w:lang w:val="es-MX"/>
        </w:rPr>
        <w:t xml:space="preserve">20 de junio de 2011. </w:t>
      </w:r>
    </w:p>
  </w:footnote>
  <w:footnote w:id="14">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Facultad que además </w:t>
      </w:r>
      <w:r w:rsidRPr="00174975">
        <w:rPr>
          <w:rFonts w:ascii="Verdana" w:hAnsi="Verdana"/>
          <w:sz w:val="16"/>
          <w:szCs w:val="16"/>
          <w:lang w:val="es-ES"/>
        </w:rPr>
        <w:t xml:space="preserve">se desprende de lo dispuesto en los artículos 33, 62.1, 62.3 y 65 de la Convención Americana y </w:t>
      </w:r>
      <w:r w:rsidRPr="00174975">
        <w:rPr>
          <w:rFonts w:ascii="Verdana" w:hAnsi="Verdana"/>
          <w:sz w:val="16"/>
          <w:szCs w:val="16"/>
        </w:rPr>
        <w:t>30 de su Estatuto y se encuentra regulada en el artículo 69 de su Reglamento.</w:t>
      </w:r>
    </w:p>
  </w:footnote>
  <w:footnote w:id="15">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Reparaciones relativas a: i) realizar un acto público de reconocimiento de su responsabilidad por la ejecución extrajudicial de las víctimas y las otras violaciones cometidas en el presente caso </w:t>
      </w:r>
      <w:r w:rsidRPr="00174975">
        <w:rPr>
          <w:rFonts w:ascii="Verdana" w:hAnsi="Verdana"/>
          <w:i/>
          <w:sz w:val="16"/>
          <w:szCs w:val="16"/>
        </w:rPr>
        <w:t>(punto dispositivo séptimo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 xml:space="preserve">; ii) publicar en el Diario Oficial y en otro diario de amplia circulación nacional, por una sola vez, determinadas partes de la Sentencia </w:t>
      </w:r>
      <w:r w:rsidRPr="00174975">
        <w:rPr>
          <w:rFonts w:ascii="Verdana" w:hAnsi="Verdana"/>
          <w:i/>
          <w:sz w:val="16"/>
          <w:szCs w:val="16"/>
        </w:rPr>
        <w:t>(punto dispositivo octavo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 xml:space="preserve">; iii) adoptar todas las medidas legales, administrativas y de otra índole que sean necesarias para evitar que hechos similares vuelvan a ocurrir en el futuro; en especial, adecuar su legislación interna en materia de estados de emergencia y suspensión de garantías a la Convención Americana, en particular las disposiciones </w:t>
      </w:r>
      <w:r w:rsidR="00B929CA">
        <w:rPr>
          <w:rFonts w:ascii="Verdana" w:hAnsi="Verdana"/>
          <w:sz w:val="16"/>
          <w:szCs w:val="16"/>
        </w:rPr>
        <w:t>de la Ley de Seguridad Nacional</w:t>
      </w:r>
      <w:r w:rsidRPr="00174975">
        <w:rPr>
          <w:rFonts w:ascii="Verdana" w:hAnsi="Verdana"/>
          <w:sz w:val="16"/>
          <w:szCs w:val="16"/>
        </w:rPr>
        <w:t xml:space="preserve"> </w:t>
      </w:r>
      <w:r w:rsidRPr="00174975">
        <w:rPr>
          <w:rFonts w:ascii="Verdana" w:hAnsi="Verdana"/>
          <w:i/>
          <w:sz w:val="16"/>
          <w:szCs w:val="16"/>
        </w:rPr>
        <w:t>(punto dispositivo noveno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 xml:space="preserve">; iv) implementar programas permanentes de educación en derechos humanos dirigidos a miembros de las Fuerzas Armadas y Policía Nacional, en todos sus niveles jerárquicos, haciendo especial énfasis en el uso legítimo de la fuerza y los estados de emergencia, y dirigidos a fiscales y jueces en cuanto a estándares internacionales en materia de protección judicial de derechos humanos </w:t>
      </w:r>
      <w:r w:rsidRPr="00174975">
        <w:rPr>
          <w:rFonts w:ascii="Verdana" w:hAnsi="Verdana"/>
          <w:i/>
          <w:sz w:val="16"/>
          <w:szCs w:val="16"/>
        </w:rPr>
        <w:t>(punto dispositivo décimo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 xml:space="preserve">, y v) pagar a la Comisión Ecuménica de Derechos Humanos la cantidad fijada en la Sentencia por concepto de costas y gastos </w:t>
      </w:r>
      <w:r w:rsidRPr="00174975">
        <w:rPr>
          <w:rFonts w:ascii="Verdana" w:hAnsi="Verdana"/>
          <w:i/>
          <w:sz w:val="16"/>
          <w:szCs w:val="16"/>
        </w:rPr>
        <w:t>(punto dispositivo décimo segundo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w:t>
      </w:r>
    </w:p>
  </w:footnote>
  <w:footnote w:id="16">
    <w:p w:rsidR="00B929CA" w:rsidRPr="00174975" w:rsidRDefault="00B929CA" w:rsidP="00B929CA">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Relativa a pagar a los familiares de los señores Wilmer Zambrano Vélez, Segundo Olmedo </w:t>
      </w:r>
      <w:proofErr w:type="spellStart"/>
      <w:r w:rsidRPr="00174975">
        <w:rPr>
          <w:rFonts w:ascii="Verdana" w:hAnsi="Verdana"/>
          <w:sz w:val="16"/>
          <w:szCs w:val="16"/>
        </w:rPr>
        <w:t>Caidedo</w:t>
      </w:r>
      <w:proofErr w:type="spellEnd"/>
      <w:r w:rsidRPr="00174975">
        <w:rPr>
          <w:rFonts w:ascii="Verdana" w:hAnsi="Verdana"/>
          <w:sz w:val="16"/>
          <w:szCs w:val="16"/>
        </w:rPr>
        <w:t xml:space="preserve"> </w:t>
      </w:r>
      <w:proofErr w:type="spellStart"/>
      <w:r w:rsidRPr="00174975">
        <w:rPr>
          <w:rFonts w:ascii="Verdana" w:hAnsi="Verdana"/>
          <w:sz w:val="16"/>
          <w:szCs w:val="16"/>
        </w:rPr>
        <w:t>Cobeña</w:t>
      </w:r>
      <w:proofErr w:type="spellEnd"/>
      <w:r w:rsidRPr="00174975">
        <w:rPr>
          <w:rFonts w:ascii="Verdana" w:hAnsi="Verdana"/>
          <w:sz w:val="16"/>
          <w:szCs w:val="16"/>
        </w:rPr>
        <w:t xml:space="preserve"> y José Miguel Caicedo </w:t>
      </w:r>
      <w:proofErr w:type="spellStart"/>
      <w:r w:rsidRPr="00174975">
        <w:rPr>
          <w:rFonts w:ascii="Verdana" w:hAnsi="Verdana"/>
          <w:sz w:val="16"/>
          <w:szCs w:val="16"/>
        </w:rPr>
        <w:t>Cobeña</w:t>
      </w:r>
      <w:proofErr w:type="spellEnd"/>
      <w:r w:rsidRPr="00174975">
        <w:rPr>
          <w:rFonts w:ascii="Verdana" w:hAnsi="Verdana"/>
          <w:sz w:val="16"/>
          <w:szCs w:val="16"/>
        </w:rPr>
        <w:t xml:space="preserve"> las cantidades fijadas en la Sentencia por concepto de indemnizaciones por daño material e inmaterial </w:t>
      </w:r>
      <w:r w:rsidRPr="00174975">
        <w:rPr>
          <w:rFonts w:ascii="Verdana" w:hAnsi="Verdana"/>
          <w:i/>
          <w:sz w:val="16"/>
          <w:szCs w:val="16"/>
        </w:rPr>
        <w:t>(punto dispositivo décimo primero</w:t>
      </w:r>
      <w:r w:rsidR="002C6D05">
        <w:rPr>
          <w:rFonts w:ascii="Verdana" w:hAnsi="Verdana"/>
          <w:i/>
          <w:sz w:val="16"/>
          <w:szCs w:val="16"/>
        </w:rPr>
        <w:t xml:space="preserve"> de la Sentencia</w:t>
      </w:r>
      <w:r w:rsidRPr="00174975">
        <w:rPr>
          <w:rFonts w:ascii="Verdana" w:hAnsi="Verdana"/>
          <w:i/>
          <w:sz w:val="16"/>
          <w:szCs w:val="16"/>
        </w:rPr>
        <w:t>)</w:t>
      </w:r>
      <w:r w:rsidRPr="00174975">
        <w:rPr>
          <w:rFonts w:ascii="Verdana" w:hAnsi="Verdana"/>
          <w:sz w:val="16"/>
          <w:szCs w:val="16"/>
        </w:rPr>
        <w:t>. El Estado cumplió con el pago de las cantidades dispuestas en el Fallo a favor de las víctimas, quedando pendiente el cumplimiento del pago de los intereses moratori</w:t>
      </w:r>
      <w:r>
        <w:rPr>
          <w:rFonts w:ascii="Verdana" w:hAnsi="Verdana"/>
          <w:sz w:val="16"/>
          <w:szCs w:val="16"/>
        </w:rPr>
        <w:t>os debido a que les pagó después de vencido el plazo.</w:t>
      </w:r>
    </w:p>
  </w:footnote>
  <w:footnote w:id="17">
    <w:p w:rsidR="008535EC" w:rsidRPr="00174975" w:rsidRDefault="008535EC" w:rsidP="00174975">
      <w:pPr>
        <w:tabs>
          <w:tab w:val="left" w:pos="426"/>
        </w:tabs>
        <w:autoSpaceDE w:val="0"/>
        <w:autoSpaceDN w:val="0"/>
        <w:adjustRightInd w:val="0"/>
        <w:spacing w:after="0" w:line="240" w:lineRule="auto"/>
        <w:ind w:right="-96"/>
        <w:jc w:val="both"/>
        <w:rPr>
          <w:rFonts w:ascii="Verdana" w:hAnsi="Verdana"/>
          <w:b/>
          <w:color w:val="000000"/>
          <w:sz w:val="16"/>
          <w:szCs w:val="16"/>
          <w:lang w:val="es-AR"/>
        </w:rPr>
      </w:pPr>
      <w:r w:rsidRPr="00174975">
        <w:rPr>
          <w:rStyle w:val="Refdenotaalpie"/>
          <w:rFonts w:ascii="Verdana" w:hAnsi="Verdana"/>
          <w:sz w:val="16"/>
          <w:szCs w:val="16"/>
        </w:rPr>
        <w:footnoteRef/>
      </w:r>
      <w:r w:rsidRPr="00174975">
        <w:rPr>
          <w:rFonts w:ascii="Verdana" w:hAnsi="Verdana"/>
          <w:sz w:val="16"/>
          <w:szCs w:val="16"/>
          <w:lang w:val="de-DE"/>
        </w:rPr>
        <w:t xml:space="preserve"> </w:t>
      </w:r>
      <w:r w:rsidRPr="00174975">
        <w:rPr>
          <w:rFonts w:ascii="Verdana" w:hAnsi="Verdana"/>
          <w:sz w:val="16"/>
          <w:szCs w:val="16"/>
          <w:lang w:val="de-DE"/>
        </w:rPr>
        <w:tab/>
      </w:r>
      <w:r w:rsidRPr="00174975">
        <w:rPr>
          <w:rFonts w:ascii="Verdana" w:hAnsi="Verdana"/>
          <w:i/>
          <w:noProof/>
          <w:color w:val="000000"/>
          <w:sz w:val="16"/>
          <w:szCs w:val="16"/>
          <w:lang w:val="de-DE"/>
        </w:rPr>
        <w:t xml:space="preserve">Cfr. Caso Ivcher Bronstein Vs. </w:t>
      </w:r>
      <w:r w:rsidRPr="00174975">
        <w:rPr>
          <w:rFonts w:ascii="Verdana" w:hAnsi="Verdana"/>
          <w:i/>
          <w:noProof/>
          <w:color w:val="000000"/>
          <w:sz w:val="16"/>
          <w:szCs w:val="16"/>
          <w:lang w:val="es-ES"/>
        </w:rPr>
        <w:t>Perú. Competencia.</w:t>
      </w:r>
      <w:r w:rsidRPr="00174975">
        <w:rPr>
          <w:rFonts w:ascii="Verdana" w:hAnsi="Verdana"/>
          <w:noProof/>
          <w:color w:val="000000"/>
          <w:sz w:val="16"/>
          <w:szCs w:val="16"/>
          <w:lang w:val="es-ES"/>
        </w:rPr>
        <w:t xml:space="preserve"> Sentencia de de la Corte Interamericana de Derechos Humanos de 24 de septiembre de 1999.</w:t>
      </w:r>
      <w:r w:rsidRPr="00174975">
        <w:rPr>
          <w:rFonts w:ascii="Verdana" w:hAnsi="Verdana"/>
          <w:color w:val="000000"/>
          <w:sz w:val="16"/>
          <w:szCs w:val="16"/>
          <w:lang w:val="es-ES"/>
        </w:rPr>
        <w:t xml:space="preserve"> </w:t>
      </w:r>
      <w:r w:rsidRPr="00174975">
        <w:rPr>
          <w:rFonts w:ascii="Verdana" w:hAnsi="Verdana"/>
          <w:noProof/>
          <w:color w:val="000000"/>
          <w:sz w:val="16"/>
          <w:szCs w:val="16"/>
          <w:lang w:val="es-ES"/>
        </w:rPr>
        <w:t xml:space="preserve">Serie C No. 54, párr. 37, </w:t>
      </w:r>
      <w:r w:rsidRPr="00174975">
        <w:rPr>
          <w:rFonts w:ascii="Verdana" w:hAnsi="Verdana"/>
          <w:bCs/>
          <w:color w:val="000000"/>
          <w:sz w:val="16"/>
          <w:szCs w:val="16"/>
          <w:lang w:val="es-CR" w:bidi="en-US"/>
        </w:rPr>
        <w:t xml:space="preserve">y </w:t>
      </w:r>
      <w:r w:rsidRPr="00174975">
        <w:rPr>
          <w:rStyle w:val="Textoennegrita"/>
          <w:rFonts w:ascii="Verdana" w:hAnsi="Verdana"/>
          <w:b w:val="0"/>
          <w:i/>
          <w:color w:val="000000"/>
          <w:sz w:val="16"/>
          <w:szCs w:val="16"/>
          <w:shd w:val="clear" w:color="auto" w:fill="FFFFFF"/>
          <w:lang w:val="es-CR"/>
        </w:rPr>
        <w:t xml:space="preserve">Caso Wong Ho </w:t>
      </w:r>
      <w:proofErr w:type="spellStart"/>
      <w:r w:rsidRPr="00174975">
        <w:rPr>
          <w:rStyle w:val="Textoennegrita"/>
          <w:rFonts w:ascii="Verdana" w:hAnsi="Verdana"/>
          <w:b w:val="0"/>
          <w:i/>
          <w:color w:val="000000"/>
          <w:sz w:val="16"/>
          <w:szCs w:val="16"/>
          <w:shd w:val="clear" w:color="auto" w:fill="FFFFFF"/>
          <w:lang w:val="es-CR"/>
        </w:rPr>
        <w:t>Wing</w:t>
      </w:r>
      <w:proofErr w:type="spellEnd"/>
      <w:r w:rsidRPr="00174975">
        <w:rPr>
          <w:rStyle w:val="Textoennegrita"/>
          <w:rFonts w:ascii="Verdana" w:hAnsi="Verdana"/>
          <w:b w:val="0"/>
          <w:i/>
          <w:color w:val="000000"/>
          <w:sz w:val="16"/>
          <w:szCs w:val="16"/>
          <w:shd w:val="clear" w:color="auto" w:fill="FFFFFF"/>
          <w:lang w:val="es-CR"/>
        </w:rPr>
        <w:t xml:space="preserve"> Vs. Perú. Supervisión de Cumplimiento de Sentencia. </w:t>
      </w:r>
      <w:r w:rsidRPr="00174975">
        <w:rPr>
          <w:rStyle w:val="Textoennegrita"/>
          <w:rFonts w:ascii="Verdana" w:hAnsi="Verdana"/>
          <w:b w:val="0"/>
          <w:color w:val="000000"/>
          <w:sz w:val="16"/>
          <w:szCs w:val="16"/>
          <w:shd w:val="clear" w:color="auto" w:fill="FFFFFF"/>
          <w:lang w:val="es-CR"/>
        </w:rPr>
        <w:t xml:space="preserve">Resolución de la Corte Interamericana de Derechos Humanos de 22 de junio de 2016, </w:t>
      </w:r>
      <w:r w:rsidRPr="00174975">
        <w:rPr>
          <w:rFonts w:ascii="Verdana" w:hAnsi="Verdana"/>
          <w:bCs/>
          <w:color w:val="000000"/>
          <w:sz w:val="16"/>
          <w:szCs w:val="16"/>
          <w:lang w:val="es-AR"/>
        </w:rPr>
        <w:t>Considerando segundo.</w:t>
      </w:r>
    </w:p>
  </w:footnote>
  <w:footnote w:id="18">
    <w:p w:rsidR="00C625E7" w:rsidRPr="00174975" w:rsidRDefault="00C625E7"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D2749D" w:rsidRPr="00174975">
        <w:rPr>
          <w:rFonts w:ascii="Verdana" w:hAnsi="Verdana"/>
          <w:sz w:val="16"/>
          <w:szCs w:val="16"/>
        </w:rPr>
        <w:t>E</w:t>
      </w:r>
      <w:r w:rsidRPr="00174975">
        <w:rPr>
          <w:rFonts w:ascii="Verdana" w:hAnsi="Verdana"/>
          <w:sz w:val="16"/>
          <w:szCs w:val="16"/>
        </w:rPr>
        <w:t>l Estado informó que por ese extravío se inició un proceso administrativo ante el Consejo Nacional de la Judicatura en contra de dicho juez penal</w:t>
      </w:r>
      <w:r w:rsidR="0091467B" w:rsidRPr="00174975">
        <w:rPr>
          <w:rFonts w:ascii="Verdana" w:hAnsi="Verdana"/>
          <w:sz w:val="16"/>
          <w:szCs w:val="16"/>
        </w:rPr>
        <w:t xml:space="preserve"> </w:t>
      </w:r>
      <w:r w:rsidRPr="00174975">
        <w:rPr>
          <w:rFonts w:ascii="Verdana" w:hAnsi="Verdana"/>
          <w:sz w:val="16"/>
          <w:szCs w:val="16"/>
        </w:rPr>
        <w:t>y que en agosto de 2010 el Ministerio de Justicia, Derechos Humanos y Cultos solicitó al Presidente del Consejo de la Judicatura la reapertura del expediente administrativo de este juez.</w:t>
      </w:r>
    </w:p>
  </w:footnote>
  <w:footnote w:id="19">
    <w:p w:rsidR="00C625E7" w:rsidRPr="00174975" w:rsidRDefault="00C625E7"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El Estado había afirmado que, una vez abierta esta indagatoria, “se revocaría la prescripción decretada por el Juez Noveno de lo Penal de Guayas”. La etapa de indagación previa inició sin que el Estado hubiera brindado información específica sobre la revocatoria de la prescripción (</w:t>
      </w:r>
      <w:r w:rsidRPr="00174975">
        <w:rPr>
          <w:rFonts w:ascii="Verdana" w:hAnsi="Verdana"/>
          <w:i/>
          <w:sz w:val="16"/>
          <w:szCs w:val="16"/>
        </w:rPr>
        <w:t>infra</w:t>
      </w:r>
      <w:r w:rsidRPr="00174975">
        <w:rPr>
          <w:rFonts w:ascii="Verdana" w:hAnsi="Verdana"/>
          <w:sz w:val="16"/>
          <w:szCs w:val="16"/>
        </w:rPr>
        <w:t xml:space="preserve"> Considerando </w:t>
      </w:r>
      <w:r w:rsidR="000E5764" w:rsidRPr="00174975">
        <w:rPr>
          <w:rFonts w:ascii="Verdana" w:hAnsi="Verdana"/>
          <w:sz w:val="16"/>
          <w:szCs w:val="16"/>
        </w:rPr>
        <w:t>8</w:t>
      </w:r>
      <w:r w:rsidRPr="00174975">
        <w:rPr>
          <w:rFonts w:ascii="Verdana" w:hAnsi="Verdana"/>
          <w:sz w:val="16"/>
          <w:szCs w:val="16"/>
        </w:rPr>
        <w:t xml:space="preserve">). </w:t>
      </w:r>
    </w:p>
  </w:footnote>
  <w:footnote w:id="20">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Cfr.</w:t>
      </w:r>
      <w:r w:rsidRPr="00174975">
        <w:rPr>
          <w:rFonts w:ascii="Verdana" w:hAnsi="Verdana"/>
          <w:sz w:val="16"/>
          <w:szCs w:val="16"/>
        </w:rPr>
        <w:t xml:space="preserve"> Oficio No. 0001620 de 4 de marzo de 2016 suscrito por el Director de la Comisión de la Verdad y Derechos Humanos de la Fiscalía General del Estado, dirigido a la Subsecretaria de Derechos Humanos y Cultos del Ministerio de Justicia, Derechos Humanos y Cultos (anexo al informe del Estado de 17 de marzo de 2016).</w:t>
      </w:r>
    </w:p>
  </w:footnote>
  <w:footnote w:id="21">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Indica que se realizaron las siguientes diligencias: i) en enero de 2011 se llevó a cabo el “[r]</w:t>
      </w:r>
      <w:proofErr w:type="spellStart"/>
      <w:r w:rsidRPr="00174975">
        <w:rPr>
          <w:rFonts w:ascii="Verdana" w:hAnsi="Verdana"/>
          <w:sz w:val="16"/>
          <w:szCs w:val="16"/>
        </w:rPr>
        <w:t>econocimiento</w:t>
      </w:r>
      <w:proofErr w:type="spellEnd"/>
      <w:r w:rsidRPr="00174975">
        <w:rPr>
          <w:rFonts w:ascii="Verdana" w:hAnsi="Verdana"/>
          <w:sz w:val="16"/>
          <w:szCs w:val="16"/>
        </w:rPr>
        <w:t xml:space="preserve"> del [l]</w:t>
      </w:r>
      <w:proofErr w:type="spellStart"/>
      <w:r w:rsidRPr="00174975">
        <w:rPr>
          <w:rFonts w:ascii="Verdana" w:hAnsi="Verdana"/>
          <w:sz w:val="16"/>
          <w:szCs w:val="16"/>
        </w:rPr>
        <w:t>ugar</w:t>
      </w:r>
      <w:proofErr w:type="spellEnd"/>
      <w:r w:rsidRPr="00174975">
        <w:rPr>
          <w:rFonts w:ascii="Verdana" w:hAnsi="Verdana"/>
          <w:sz w:val="16"/>
          <w:szCs w:val="16"/>
        </w:rPr>
        <w:t xml:space="preserve"> de los hechos, en los domicilios de los señores Zambrano Vélez, Caicedo </w:t>
      </w:r>
      <w:proofErr w:type="spellStart"/>
      <w:r w:rsidRPr="00174975">
        <w:rPr>
          <w:rFonts w:ascii="Verdana" w:hAnsi="Verdana"/>
          <w:sz w:val="16"/>
          <w:szCs w:val="16"/>
        </w:rPr>
        <w:t>Cobeña</w:t>
      </w:r>
      <w:proofErr w:type="spellEnd"/>
      <w:r w:rsidRPr="00174975">
        <w:rPr>
          <w:rFonts w:ascii="Verdana" w:hAnsi="Verdana"/>
          <w:sz w:val="16"/>
          <w:szCs w:val="16"/>
        </w:rPr>
        <w:t xml:space="preserve"> y Caicedo </w:t>
      </w:r>
      <w:proofErr w:type="spellStart"/>
      <w:r w:rsidRPr="00174975">
        <w:rPr>
          <w:rFonts w:ascii="Verdana" w:hAnsi="Verdana"/>
          <w:sz w:val="16"/>
          <w:szCs w:val="16"/>
        </w:rPr>
        <w:t>Cobeña</w:t>
      </w:r>
      <w:proofErr w:type="spellEnd"/>
      <w:r w:rsidRPr="00174975">
        <w:rPr>
          <w:rFonts w:ascii="Verdana" w:hAnsi="Verdana"/>
          <w:sz w:val="16"/>
          <w:szCs w:val="16"/>
        </w:rPr>
        <w:t xml:space="preserve">”; ii) “se han tomado versiones de personalidades políticas relevantes y el testimonio </w:t>
      </w:r>
      <w:r w:rsidR="00AE20B0" w:rsidRPr="00174975">
        <w:rPr>
          <w:rFonts w:ascii="Verdana" w:hAnsi="Verdana"/>
          <w:sz w:val="16"/>
          <w:szCs w:val="16"/>
        </w:rPr>
        <w:t xml:space="preserve">anticipado </w:t>
      </w:r>
      <w:r w:rsidRPr="00174975">
        <w:rPr>
          <w:rFonts w:ascii="Verdana" w:hAnsi="Verdana"/>
          <w:sz w:val="16"/>
          <w:szCs w:val="16"/>
        </w:rPr>
        <w:t>de una víctima indirecta”; iii) “se receptaron versiones a posibles víctimas, las cuales aporta[ro]n información valiosa para el esclarecimiento del presente hecho”, y iv) “realiza[</w:t>
      </w:r>
      <w:proofErr w:type="spellStart"/>
      <w:r w:rsidRPr="00174975">
        <w:rPr>
          <w:rFonts w:ascii="Verdana" w:hAnsi="Verdana"/>
          <w:sz w:val="16"/>
          <w:szCs w:val="16"/>
        </w:rPr>
        <w:t>ción</w:t>
      </w:r>
      <w:proofErr w:type="spellEnd"/>
      <w:r w:rsidRPr="00174975">
        <w:rPr>
          <w:rFonts w:ascii="Verdana" w:hAnsi="Verdana"/>
          <w:sz w:val="16"/>
          <w:szCs w:val="16"/>
        </w:rPr>
        <w:t>] de pericias [p]sicológicas y de [e]</w:t>
      </w:r>
      <w:proofErr w:type="spellStart"/>
      <w:r w:rsidRPr="00174975">
        <w:rPr>
          <w:rFonts w:ascii="Verdana" w:hAnsi="Verdana"/>
          <w:sz w:val="16"/>
          <w:szCs w:val="16"/>
        </w:rPr>
        <w:t>ntorno</w:t>
      </w:r>
      <w:proofErr w:type="spellEnd"/>
      <w:r w:rsidRPr="00174975">
        <w:rPr>
          <w:rFonts w:ascii="Verdana" w:hAnsi="Verdana"/>
          <w:sz w:val="16"/>
          <w:szCs w:val="16"/>
        </w:rPr>
        <w:t xml:space="preserve"> [s]</w:t>
      </w:r>
      <w:proofErr w:type="spellStart"/>
      <w:r w:rsidRPr="00174975">
        <w:rPr>
          <w:rFonts w:ascii="Verdana" w:hAnsi="Verdana"/>
          <w:sz w:val="16"/>
          <w:szCs w:val="16"/>
        </w:rPr>
        <w:t>ocial</w:t>
      </w:r>
      <w:proofErr w:type="spellEnd"/>
      <w:r w:rsidRPr="00174975">
        <w:rPr>
          <w:rFonts w:ascii="Verdana" w:hAnsi="Verdana"/>
          <w:sz w:val="16"/>
          <w:szCs w:val="16"/>
        </w:rPr>
        <w:t xml:space="preserve">”. </w:t>
      </w:r>
    </w:p>
  </w:footnote>
  <w:footnote w:id="22">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Indica que se recabaron los siguientes documentos: i) “[c]</w:t>
      </w:r>
      <w:proofErr w:type="spellStart"/>
      <w:r w:rsidRPr="00174975">
        <w:rPr>
          <w:rFonts w:ascii="Verdana" w:hAnsi="Verdana"/>
          <w:sz w:val="16"/>
          <w:szCs w:val="16"/>
        </w:rPr>
        <w:t>opia</w:t>
      </w:r>
      <w:proofErr w:type="spellEnd"/>
      <w:r w:rsidRPr="00174975">
        <w:rPr>
          <w:rFonts w:ascii="Verdana" w:hAnsi="Verdana"/>
          <w:sz w:val="16"/>
          <w:szCs w:val="16"/>
        </w:rPr>
        <w:t xml:space="preserve"> certificada del Decreto Ejecutivo en el que se nombra Ministro de Gobierno a Roberto </w:t>
      </w:r>
      <w:proofErr w:type="spellStart"/>
      <w:r w:rsidRPr="00174975">
        <w:rPr>
          <w:rFonts w:ascii="Verdana" w:hAnsi="Verdana"/>
          <w:sz w:val="16"/>
          <w:szCs w:val="16"/>
        </w:rPr>
        <w:t>Dunn</w:t>
      </w:r>
      <w:proofErr w:type="spellEnd"/>
      <w:r w:rsidRPr="00174975">
        <w:rPr>
          <w:rFonts w:ascii="Verdana" w:hAnsi="Verdana"/>
          <w:sz w:val="16"/>
          <w:szCs w:val="16"/>
        </w:rPr>
        <w:t xml:space="preserve"> Barreiro, Ministro de Defensa Nacional al General José Gallardo Román y [a] otros Ministros y secretarios de Estado”; ii) “protocolos de autopsia de los señores Zambrano Vélez, Caicedo </w:t>
      </w:r>
      <w:proofErr w:type="spellStart"/>
      <w:r w:rsidRPr="00174975">
        <w:rPr>
          <w:rFonts w:ascii="Verdana" w:hAnsi="Verdana"/>
          <w:sz w:val="16"/>
          <w:szCs w:val="16"/>
        </w:rPr>
        <w:t>Cobeña</w:t>
      </w:r>
      <w:proofErr w:type="spellEnd"/>
      <w:r w:rsidRPr="00174975">
        <w:rPr>
          <w:rFonts w:ascii="Verdana" w:hAnsi="Verdana"/>
          <w:sz w:val="16"/>
          <w:szCs w:val="16"/>
        </w:rPr>
        <w:t xml:space="preserve"> y Caicedo </w:t>
      </w:r>
      <w:proofErr w:type="spellStart"/>
      <w:r w:rsidRPr="00174975">
        <w:rPr>
          <w:rFonts w:ascii="Verdana" w:hAnsi="Verdana"/>
          <w:sz w:val="16"/>
          <w:szCs w:val="16"/>
        </w:rPr>
        <w:t>Cobeña</w:t>
      </w:r>
      <w:proofErr w:type="spellEnd"/>
      <w:r w:rsidRPr="00174975">
        <w:rPr>
          <w:rFonts w:ascii="Verdana" w:hAnsi="Verdana"/>
          <w:sz w:val="16"/>
          <w:szCs w:val="16"/>
        </w:rPr>
        <w:t>”; iii) “[c]</w:t>
      </w:r>
      <w:proofErr w:type="spellStart"/>
      <w:r w:rsidRPr="00174975">
        <w:rPr>
          <w:rFonts w:ascii="Verdana" w:hAnsi="Verdana"/>
          <w:sz w:val="16"/>
          <w:szCs w:val="16"/>
        </w:rPr>
        <w:t>opias</w:t>
      </w:r>
      <w:proofErr w:type="spellEnd"/>
      <w:r w:rsidRPr="00174975">
        <w:rPr>
          <w:rFonts w:ascii="Verdana" w:hAnsi="Verdana"/>
          <w:sz w:val="16"/>
          <w:szCs w:val="16"/>
        </w:rPr>
        <w:t xml:space="preserve"> </w:t>
      </w:r>
      <w:r w:rsidR="00AE20B0" w:rsidRPr="00174975">
        <w:rPr>
          <w:rFonts w:ascii="Verdana" w:hAnsi="Verdana"/>
          <w:sz w:val="16"/>
          <w:szCs w:val="16"/>
        </w:rPr>
        <w:t>[</w:t>
      </w:r>
      <w:r w:rsidRPr="00174975">
        <w:rPr>
          <w:rFonts w:ascii="Verdana" w:hAnsi="Verdana"/>
          <w:sz w:val="16"/>
          <w:szCs w:val="16"/>
        </w:rPr>
        <w:t>c</w:t>
      </w:r>
      <w:r w:rsidR="00AE20B0" w:rsidRPr="00174975">
        <w:rPr>
          <w:rFonts w:ascii="Verdana" w:hAnsi="Verdana"/>
          <w:sz w:val="16"/>
          <w:szCs w:val="16"/>
        </w:rPr>
        <w:t>]</w:t>
      </w:r>
      <w:proofErr w:type="spellStart"/>
      <w:r w:rsidRPr="00174975">
        <w:rPr>
          <w:rFonts w:ascii="Verdana" w:hAnsi="Verdana"/>
          <w:sz w:val="16"/>
          <w:szCs w:val="16"/>
        </w:rPr>
        <w:t>ertificadas</w:t>
      </w:r>
      <w:proofErr w:type="spellEnd"/>
      <w:r w:rsidRPr="00174975">
        <w:rPr>
          <w:rFonts w:ascii="Verdana" w:hAnsi="Verdana"/>
          <w:sz w:val="16"/>
          <w:szCs w:val="16"/>
        </w:rPr>
        <w:t xml:space="preserve"> de la </w:t>
      </w:r>
      <w:r w:rsidR="00AE20B0" w:rsidRPr="00174975">
        <w:rPr>
          <w:rFonts w:ascii="Verdana" w:hAnsi="Verdana"/>
          <w:sz w:val="16"/>
          <w:szCs w:val="16"/>
        </w:rPr>
        <w:t>[</w:t>
      </w:r>
      <w:r w:rsidRPr="00174975">
        <w:rPr>
          <w:rFonts w:ascii="Verdana" w:hAnsi="Verdana"/>
          <w:sz w:val="16"/>
          <w:szCs w:val="16"/>
        </w:rPr>
        <w:t>i</w:t>
      </w:r>
      <w:r w:rsidR="00AE20B0" w:rsidRPr="00174975">
        <w:rPr>
          <w:rFonts w:ascii="Verdana" w:hAnsi="Verdana"/>
          <w:sz w:val="16"/>
          <w:szCs w:val="16"/>
        </w:rPr>
        <w:t>]</w:t>
      </w:r>
      <w:proofErr w:type="spellStart"/>
      <w:r w:rsidRPr="00174975">
        <w:rPr>
          <w:rFonts w:ascii="Verdana" w:hAnsi="Verdana"/>
          <w:sz w:val="16"/>
          <w:szCs w:val="16"/>
        </w:rPr>
        <w:t>nstrucción</w:t>
      </w:r>
      <w:proofErr w:type="spellEnd"/>
      <w:r w:rsidRPr="00174975">
        <w:rPr>
          <w:rFonts w:ascii="Verdana" w:hAnsi="Verdana"/>
          <w:sz w:val="16"/>
          <w:szCs w:val="16"/>
        </w:rPr>
        <w:t xml:space="preserve"> fiscal N° 264-1993 […], que se tramitó en el Juzgado 9no de lo Penal del Guayas, sobre los hechos ocurridos en el Operativo realizado el 6 de marzo de 1993, donde fueron abatid[a]s [las víctimas de este caso]”; iv) “[h]</w:t>
      </w:r>
      <w:proofErr w:type="spellStart"/>
      <w:r w:rsidRPr="00174975">
        <w:rPr>
          <w:rFonts w:ascii="Verdana" w:hAnsi="Verdana"/>
          <w:sz w:val="16"/>
          <w:szCs w:val="16"/>
        </w:rPr>
        <w:t>ojas</w:t>
      </w:r>
      <w:proofErr w:type="spellEnd"/>
      <w:r w:rsidRPr="00174975">
        <w:rPr>
          <w:rFonts w:ascii="Verdana" w:hAnsi="Verdana"/>
          <w:sz w:val="16"/>
          <w:szCs w:val="16"/>
        </w:rPr>
        <w:t xml:space="preserve"> de vida de miembros de las Fuerzas Armadas”, y v) “copia certificada del [o]</w:t>
      </w:r>
      <w:proofErr w:type="spellStart"/>
      <w:r w:rsidRPr="00174975">
        <w:rPr>
          <w:rFonts w:ascii="Verdana" w:hAnsi="Verdana"/>
          <w:sz w:val="16"/>
          <w:szCs w:val="16"/>
        </w:rPr>
        <w:t>rganigrama</w:t>
      </w:r>
      <w:proofErr w:type="spellEnd"/>
      <w:r w:rsidRPr="00174975">
        <w:rPr>
          <w:rFonts w:ascii="Verdana" w:hAnsi="Verdana"/>
          <w:sz w:val="16"/>
          <w:szCs w:val="16"/>
        </w:rPr>
        <w:t xml:space="preserve"> en el […] que se detalla c[</w:t>
      </w:r>
      <w:proofErr w:type="spellStart"/>
      <w:r w:rsidRPr="00174975">
        <w:rPr>
          <w:rFonts w:ascii="Verdana" w:hAnsi="Verdana"/>
          <w:sz w:val="16"/>
          <w:szCs w:val="16"/>
        </w:rPr>
        <w:t>ó</w:t>
      </w:r>
      <w:proofErr w:type="spellEnd"/>
      <w:r w:rsidRPr="00174975">
        <w:rPr>
          <w:rFonts w:ascii="Verdana" w:hAnsi="Verdana"/>
          <w:sz w:val="16"/>
          <w:szCs w:val="16"/>
        </w:rPr>
        <w:t>]</w:t>
      </w:r>
      <w:proofErr w:type="spellStart"/>
      <w:r w:rsidRPr="00174975">
        <w:rPr>
          <w:rFonts w:ascii="Verdana" w:hAnsi="Verdana"/>
          <w:sz w:val="16"/>
          <w:szCs w:val="16"/>
        </w:rPr>
        <w:t>mo</w:t>
      </w:r>
      <w:proofErr w:type="spellEnd"/>
      <w:r w:rsidRPr="00174975">
        <w:rPr>
          <w:rFonts w:ascii="Verdana" w:hAnsi="Verdana"/>
          <w:sz w:val="16"/>
          <w:szCs w:val="16"/>
        </w:rPr>
        <w:t xml:space="preserve"> estuvo integrada la cadena de mando en los mandos especiales de 1984 a 1988 y de 1993 a 1996”. </w:t>
      </w:r>
    </w:p>
  </w:footnote>
  <w:footnote w:id="23">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Señala que se está coordinando: i) la toma de “[v]</w:t>
      </w:r>
      <w:proofErr w:type="spellStart"/>
      <w:r w:rsidRPr="00174975">
        <w:rPr>
          <w:rFonts w:ascii="Verdana" w:hAnsi="Verdana"/>
          <w:sz w:val="16"/>
          <w:szCs w:val="16"/>
        </w:rPr>
        <w:t>ersiones</w:t>
      </w:r>
      <w:proofErr w:type="spellEnd"/>
      <w:r w:rsidRPr="00174975">
        <w:rPr>
          <w:rFonts w:ascii="Verdana" w:hAnsi="Verdana"/>
          <w:sz w:val="16"/>
          <w:szCs w:val="16"/>
        </w:rPr>
        <w:t xml:space="preserve"> de dos personas que estuvieron presentes el día de los hechos”; ii) la “[a]</w:t>
      </w:r>
      <w:proofErr w:type="spellStart"/>
      <w:r w:rsidRPr="00174975">
        <w:rPr>
          <w:rFonts w:ascii="Verdana" w:hAnsi="Verdana"/>
          <w:sz w:val="16"/>
          <w:szCs w:val="16"/>
        </w:rPr>
        <w:t>mpliación</w:t>
      </w:r>
      <w:proofErr w:type="spellEnd"/>
      <w:r w:rsidRPr="00174975">
        <w:rPr>
          <w:rFonts w:ascii="Verdana" w:hAnsi="Verdana"/>
          <w:sz w:val="16"/>
          <w:szCs w:val="16"/>
        </w:rPr>
        <w:t xml:space="preserve"> de versiones de miembros de las Fuerzas Armadas en servicio pasivo [y] activo”; iii) la “[a]</w:t>
      </w:r>
      <w:proofErr w:type="spellStart"/>
      <w:r w:rsidRPr="00174975">
        <w:rPr>
          <w:rFonts w:ascii="Verdana" w:hAnsi="Verdana"/>
          <w:sz w:val="16"/>
          <w:szCs w:val="16"/>
        </w:rPr>
        <w:t>mpliación</w:t>
      </w:r>
      <w:proofErr w:type="spellEnd"/>
      <w:r w:rsidRPr="00174975">
        <w:rPr>
          <w:rFonts w:ascii="Verdana" w:hAnsi="Verdana"/>
          <w:sz w:val="16"/>
          <w:szCs w:val="16"/>
        </w:rPr>
        <w:t xml:space="preserve"> de versiones de víctimas”, y iv) la “[d]</w:t>
      </w:r>
      <w:proofErr w:type="spellStart"/>
      <w:r w:rsidRPr="00174975">
        <w:rPr>
          <w:rFonts w:ascii="Verdana" w:hAnsi="Verdana"/>
          <w:sz w:val="16"/>
          <w:szCs w:val="16"/>
        </w:rPr>
        <w:t>iligencia</w:t>
      </w:r>
      <w:proofErr w:type="spellEnd"/>
      <w:r w:rsidRPr="00174975">
        <w:rPr>
          <w:rFonts w:ascii="Verdana" w:hAnsi="Verdana"/>
          <w:sz w:val="16"/>
          <w:szCs w:val="16"/>
        </w:rPr>
        <w:t xml:space="preserve"> de reconocimiento del lugar de los hechos[, de t]</w:t>
      </w:r>
      <w:proofErr w:type="spellStart"/>
      <w:r w:rsidRPr="00174975">
        <w:rPr>
          <w:rFonts w:ascii="Verdana" w:hAnsi="Verdana"/>
          <w:sz w:val="16"/>
          <w:szCs w:val="16"/>
        </w:rPr>
        <w:t>odo</w:t>
      </w:r>
      <w:proofErr w:type="spellEnd"/>
      <w:r w:rsidRPr="00174975">
        <w:rPr>
          <w:rFonts w:ascii="Verdana" w:hAnsi="Verdana"/>
          <w:sz w:val="16"/>
          <w:szCs w:val="16"/>
        </w:rPr>
        <w:t xml:space="preserve"> el sector del Batallón del Suburbio, donde se llevó a cabo el operativo”. </w:t>
      </w:r>
    </w:p>
  </w:footnote>
  <w:footnote w:id="24">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Style w:val="Textoennegrita"/>
          <w:rFonts w:ascii="Verdana" w:hAnsi="Verdana"/>
          <w:b w:val="0"/>
          <w:i/>
          <w:color w:val="000000"/>
          <w:sz w:val="16"/>
          <w:szCs w:val="16"/>
          <w:shd w:val="clear" w:color="auto" w:fill="FFFFFF"/>
        </w:rPr>
        <w:t>Cfr. Caso Zambrano Vélez y otros Vs. Ecuador, supra</w:t>
      </w:r>
      <w:r w:rsidRPr="00174975">
        <w:rPr>
          <w:rStyle w:val="Textoennegrita"/>
          <w:rFonts w:ascii="Verdana" w:hAnsi="Verdana"/>
          <w:b w:val="0"/>
          <w:color w:val="000000"/>
          <w:sz w:val="16"/>
          <w:szCs w:val="16"/>
          <w:shd w:val="clear" w:color="auto" w:fill="FFFFFF"/>
        </w:rPr>
        <w:t xml:space="preserve">, </w:t>
      </w:r>
      <w:proofErr w:type="spellStart"/>
      <w:r w:rsidRPr="00174975">
        <w:rPr>
          <w:rStyle w:val="Textoennegrita"/>
          <w:rFonts w:ascii="Verdana" w:hAnsi="Verdana"/>
          <w:b w:val="0"/>
          <w:color w:val="000000"/>
          <w:sz w:val="16"/>
          <w:szCs w:val="16"/>
          <w:shd w:val="clear" w:color="auto" w:fill="FFFFFF"/>
        </w:rPr>
        <w:t>párr</w:t>
      </w:r>
      <w:r w:rsidR="00B929CA">
        <w:rPr>
          <w:rStyle w:val="Textoennegrita"/>
          <w:rFonts w:ascii="Verdana" w:hAnsi="Verdana"/>
          <w:b w:val="0"/>
          <w:color w:val="000000"/>
          <w:sz w:val="16"/>
          <w:szCs w:val="16"/>
          <w:shd w:val="clear" w:color="auto" w:fill="FFFFFF"/>
        </w:rPr>
        <w:t>s</w:t>
      </w:r>
      <w:proofErr w:type="spellEnd"/>
      <w:r w:rsidRPr="00174975">
        <w:rPr>
          <w:rStyle w:val="Textoennegrita"/>
          <w:rFonts w:ascii="Verdana" w:hAnsi="Verdana"/>
          <w:b w:val="0"/>
          <w:color w:val="000000"/>
          <w:sz w:val="16"/>
          <w:szCs w:val="16"/>
          <w:shd w:val="clear" w:color="auto" w:fill="FFFFFF"/>
        </w:rPr>
        <w:t>. 73, 101, 105 y 109.</w:t>
      </w:r>
    </w:p>
  </w:footnote>
  <w:footnote w:id="25">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 xml:space="preserve">Cfr. </w:t>
      </w:r>
      <w:r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Considerando 9, y </w:t>
      </w:r>
      <w:r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13.</w:t>
      </w:r>
    </w:p>
  </w:footnote>
  <w:footnote w:id="26">
    <w:p w:rsidR="008535EC" w:rsidRPr="00174975" w:rsidRDefault="008535EC" w:rsidP="00174975">
      <w:pPr>
        <w:pStyle w:val="Textonotapie"/>
        <w:tabs>
          <w:tab w:val="left" w:pos="426"/>
        </w:tabs>
        <w:jc w:val="both"/>
        <w:rPr>
          <w:rFonts w:ascii="Verdana" w:hAnsi="Verdana"/>
          <w:b/>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D95929" w:rsidRPr="00D95929">
        <w:rPr>
          <w:rFonts w:ascii="Verdana" w:hAnsi="Verdana"/>
          <w:i/>
          <w:sz w:val="16"/>
          <w:szCs w:val="16"/>
        </w:rPr>
        <w:t>Cfr.</w:t>
      </w:r>
      <w:r w:rsidR="00D95929" w:rsidRPr="00D95929">
        <w:rPr>
          <w:rFonts w:ascii="Verdana" w:hAnsi="Verdana"/>
          <w:b/>
          <w:i/>
          <w:sz w:val="16"/>
          <w:szCs w:val="16"/>
        </w:rPr>
        <w:t xml:space="preserve"> </w:t>
      </w:r>
      <w:r w:rsidR="00D95929" w:rsidRPr="00E576FD">
        <w:rPr>
          <w:rStyle w:val="Textoennegrita"/>
          <w:rFonts w:ascii="Verdana" w:hAnsi="Verdana"/>
          <w:b w:val="0"/>
          <w:i/>
          <w:color w:val="000000"/>
          <w:sz w:val="16"/>
          <w:szCs w:val="16"/>
          <w:shd w:val="clear" w:color="auto" w:fill="FFFFFF"/>
        </w:rPr>
        <w:t xml:space="preserve">Caso de las Masacres de </w:t>
      </w:r>
      <w:proofErr w:type="spellStart"/>
      <w:r w:rsidR="00D95929" w:rsidRPr="00E576FD">
        <w:rPr>
          <w:rStyle w:val="Textoennegrita"/>
          <w:rFonts w:ascii="Verdana" w:hAnsi="Verdana"/>
          <w:b w:val="0"/>
          <w:i/>
          <w:color w:val="000000"/>
          <w:sz w:val="16"/>
          <w:szCs w:val="16"/>
          <w:shd w:val="clear" w:color="auto" w:fill="FFFFFF"/>
        </w:rPr>
        <w:t>Ituango</w:t>
      </w:r>
      <w:proofErr w:type="spellEnd"/>
      <w:r w:rsidR="00D95929" w:rsidRPr="00E576FD">
        <w:rPr>
          <w:rStyle w:val="Textoennegrita"/>
          <w:rFonts w:ascii="Verdana" w:hAnsi="Verdana"/>
          <w:b w:val="0"/>
          <w:i/>
          <w:color w:val="000000"/>
          <w:sz w:val="16"/>
          <w:szCs w:val="16"/>
          <w:shd w:val="clear" w:color="auto" w:fill="FFFFFF"/>
        </w:rPr>
        <w:t xml:space="preserve"> Vs. Colombia. Supervisión de Cumplimiento de Sentencia.</w:t>
      </w:r>
      <w:r w:rsidR="00D95929" w:rsidRPr="00E576FD">
        <w:rPr>
          <w:rStyle w:val="Textoennegrita"/>
          <w:rFonts w:ascii="Verdana" w:hAnsi="Verdana"/>
          <w:b w:val="0"/>
          <w:color w:val="000000"/>
          <w:sz w:val="16"/>
          <w:szCs w:val="16"/>
          <w:shd w:val="clear" w:color="auto" w:fill="FFFFFF"/>
        </w:rPr>
        <w:t xml:space="preserve"> Resolución de la Corte Interamericana de Derechos Humanos de 07 de julio de 2009, Considerando 12</w:t>
      </w:r>
      <w:r w:rsidR="002828B5">
        <w:rPr>
          <w:rStyle w:val="Textoennegrita"/>
          <w:rFonts w:ascii="Verdana" w:hAnsi="Verdana"/>
          <w:b w:val="0"/>
          <w:color w:val="000000"/>
          <w:sz w:val="16"/>
          <w:szCs w:val="16"/>
          <w:shd w:val="clear" w:color="auto" w:fill="FFFFFF"/>
        </w:rPr>
        <w:t xml:space="preserve">, y </w:t>
      </w:r>
      <w:r w:rsidR="00D95929" w:rsidRPr="002828B5">
        <w:rPr>
          <w:rStyle w:val="Textoennegrita"/>
          <w:rFonts w:ascii="Verdana" w:hAnsi="Verdana"/>
          <w:b w:val="0"/>
          <w:i/>
          <w:color w:val="000000"/>
          <w:sz w:val="16"/>
          <w:szCs w:val="16"/>
          <w:shd w:val="clear" w:color="auto" w:fill="FFFFFF"/>
        </w:rPr>
        <w:t>Caso de la Masacre de la Rochela Vs. Colombia. Supervisión de Cumplimiento de Sentencia.</w:t>
      </w:r>
      <w:r w:rsidR="00D95929" w:rsidRPr="00E576FD">
        <w:rPr>
          <w:rStyle w:val="Textoennegrita"/>
          <w:rFonts w:ascii="Verdana" w:hAnsi="Verdana"/>
          <w:b w:val="0"/>
          <w:color w:val="000000"/>
          <w:sz w:val="16"/>
          <w:szCs w:val="16"/>
          <w:shd w:val="clear" w:color="auto" w:fill="FFFFFF"/>
        </w:rPr>
        <w:t xml:space="preserve"> Resolución de la Corte Interamericana de Derechos Humanos 26 de agosto de 2010, Considerando 55.</w:t>
      </w:r>
    </w:p>
  </w:footnote>
  <w:footnote w:id="27">
    <w:p w:rsidR="008535EC" w:rsidRPr="00D95929" w:rsidRDefault="008535EC" w:rsidP="00C7693D">
      <w:pPr>
        <w:pStyle w:val="Textonotapie"/>
        <w:tabs>
          <w:tab w:val="left" w:pos="0"/>
          <w:tab w:val="left" w:pos="426"/>
        </w:tabs>
        <w:jc w:val="both"/>
        <w:rPr>
          <w:rFonts w:ascii="Verdana" w:hAnsi="Verdana"/>
          <w:b/>
          <w:bCs/>
          <w:color w:val="000000"/>
          <w:sz w:val="16"/>
          <w:szCs w:val="16"/>
          <w:shd w:val="clear" w:color="auto" w:fill="FFFFFF"/>
        </w:rPr>
      </w:pPr>
      <w:r w:rsidRPr="00D95929">
        <w:rPr>
          <w:rStyle w:val="Refdenotaalpie"/>
          <w:rFonts w:ascii="Verdana" w:hAnsi="Verdana"/>
          <w:sz w:val="16"/>
          <w:szCs w:val="16"/>
        </w:rPr>
        <w:footnoteRef/>
      </w:r>
      <w:r w:rsidRPr="00D95929">
        <w:rPr>
          <w:rFonts w:ascii="Verdana" w:hAnsi="Verdana"/>
          <w:sz w:val="16"/>
          <w:szCs w:val="16"/>
        </w:rPr>
        <w:t xml:space="preserve"> </w:t>
      </w:r>
      <w:r w:rsidRPr="00D95929">
        <w:rPr>
          <w:rFonts w:ascii="Verdana" w:hAnsi="Verdana"/>
          <w:sz w:val="16"/>
          <w:szCs w:val="16"/>
        </w:rPr>
        <w:tab/>
      </w:r>
      <w:r w:rsidR="002828B5" w:rsidRPr="00D95929">
        <w:rPr>
          <w:rFonts w:ascii="Verdana" w:hAnsi="Verdana"/>
          <w:i/>
          <w:sz w:val="16"/>
          <w:szCs w:val="16"/>
        </w:rPr>
        <w:t>Cfr.</w:t>
      </w:r>
      <w:r w:rsidR="002828B5" w:rsidRPr="00D95929">
        <w:rPr>
          <w:rFonts w:ascii="Verdana" w:hAnsi="Verdana"/>
          <w:b/>
          <w:i/>
          <w:sz w:val="16"/>
          <w:szCs w:val="16"/>
        </w:rPr>
        <w:t xml:space="preserve"> </w:t>
      </w:r>
      <w:r w:rsidR="002828B5" w:rsidRPr="00E576FD">
        <w:rPr>
          <w:rStyle w:val="Textoennegrita"/>
          <w:rFonts w:ascii="Verdana" w:hAnsi="Verdana"/>
          <w:b w:val="0"/>
          <w:i/>
          <w:color w:val="000000"/>
          <w:sz w:val="16"/>
          <w:szCs w:val="16"/>
          <w:shd w:val="clear" w:color="auto" w:fill="FFFFFF"/>
        </w:rPr>
        <w:t xml:space="preserve">Caso de las Masacres de </w:t>
      </w:r>
      <w:proofErr w:type="spellStart"/>
      <w:r w:rsidR="002828B5" w:rsidRPr="00E576FD">
        <w:rPr>
          <w:rStyle w:val="Textoennegrita"/>
          <w:rFonts w:ascii="Verdana" w:hAnsi="Verdana"/>
          <w:b w:val="0"/>
          <w:i/>
          <w:color w:val="000000"/>
          <w:sz w:val="16"/>
          <w:szCs w:val="16"/>
          <w:shd w:val="clear" w:color="auto" w:fill="FFFFFF"/>
        </w:rPr>
        <w:t>Ituango</w:t>
      </w:r>
      <w:proofErr w:type="spellEnd"/>
      <w:r w:rsidR="002828B5" w:rsidRPr="00E576FD">
        <w:rPr>
          <w:rStyle w:val="Textoennegrita"/>
          <w:rFonts w:ascii="Verdana" w:hAnsi="Verdana"/>
          <w:b w:val="0"/>
          <w:i/>
          <w:color w:val="000000"/>
          <w:sz w:val="16"/>
          <w:szCs w:val="16"/>
          <w:shd w:val="clear" w:color="auto" w:fill="FFFFFF"/>
        </w:rPr>
        <w:t xml:space="preserve"> Vs. Colombia. Supervisión de Cumplimiento de Sentencia.</w:t>
      </w:r>
      <w:r w:rsidR="002828B5" w:rsidRPr="00E576FD">
        <w:rPr>
          <w:rStyle w:val="Textoennegrita"/>
          <w:rFonts w:ascii="Verdana" w:hAnsi="Verdana"/>
          <w:b w:val="0"/>
          <w:color w:val="000000"/>
          <w:sz w:val="16"/>
          <w:szCs w:val="16"/>
          <w:shd w:val="clear" w:color="auto" w:fill="FFFFFF"/>
        </w:rPr>
        <w:t xml:space="preserve"> Resolución de la Corte Interamericana de Derechos Humanos de 07 de julio de 2009, Considerando 12</w:t>
      </w:r>
      <w:r w:rsidR="002828B5">
        <w:rPr>
          <w:rStyle w:val="Textoennegrita"/>
          <w:rFonts w:ascii="Verdana" w:hAnsi="Verdana"/>
          <w:b w:val="0"/>
          <w:color w:val="000000"/>
          <w:sz w:val="16"/>
          <w:szCs w:val="16"/>
          <w:shd w:val="clear" w:color="auto" w:fill="FFFFFF"/>
        </w:rPr>
        <w:t xml:space="preserve">, y </w:t>
      </w:r>
      <w:r w:rsidR="002828B5" w:rsidRPr="002828B5">
        <w:rPr>
          <w:rStyle w:val="Textoennegrita"/>
          <w:rFonts w:ascii="Verdana" w:hAnsi="Verdana"/>
          <w:b w:val="0"/>
          <w:i/>
          <w:color w:val="000000"/>
          <w:sz w:val="16"/>
          <w:szCs w:val="16"/>
          <w:shd w:val="clear" w:color="auto" w:fill="FFFFFF"/>
        </w:rPr>
        <w:t>Caso de la Masacre de la Rochela Vs. Colombia. Supervisión de Cumplimiento de Sentencia.</w:t>
      </w:r>
      <w:r w:rsidR="002828B5" w:rsidRPr="00E576FD">
        <w:rPr>
          <w:rStyle w:val="Textoennegrita"/>
          <w:rFonts w:ascii="Verdana" w:hAnsi="Verdana"/>
          <w:b w:val="0"/>
          <w:color w:val="000000"/>
          <w:sz w:val="16"/>
          <w:szCs w:val="16"/>
          <w:shd w:val="clear" w:color="auto" w:fill="FFFFFF"/>
        </w:rPr>
        <w:t xml:space="preserve"> Resolución de la Corte Interamericana de Derechos Humanos 26 de agosto de 2010, Considerando 55.</w:t>
      </w:r>
    </w:p>
  </w:footnote>
  <w:footnote w:id="28">
    <w:p w:rsidR="008535EC" w:rsidRPr="00174975" w:rsidRDefault="008535EC" w:rsidP="00174975">
      <w:pPr>
        <w:pStyle w:val="Textonotapie"/>
        <w:tabs>
          <w:tab w:val="left" w:pos="426"/>
        </w:tabs>
        <w:jc w:val="both"/>
        <w:rPr>
          <w:rFonts w:ascii="Verdana" w:hAnsi="Verdana"/>
          <w:b/>
          <w:bCs/>
          <w:color w:val="000000"/>
          <w:sz w:val="16"/>
          <w:szCs w:val="16"/>
          <w:shd w:val="clear" w:color="auto" w:fill="FFFFFF"/>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Cfr</w:t>
      </w:r>
      <w:r w:rsidRPr="00174975">
        <w:rPr>
          <w:rFonts w:ascii="Verdana" w:hAnsi="Verdana"/>
          <w:sz w:val="16"/>
          <w:szCs w:val="16"/>
        </w:rPr>
        <w:t xml:space="preserve">. </w:t>
      </w:r>
      <w:r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7.</w:t>
      </w:r>
    </w:p>
  </w:footnote>
  <w:footnote w:id="29">
    <w:p w:rsidR="008535EC" w:rsidRPr="00174975" w:rsidRDefault="008535EC" w:rsidP="00174975">
      <w:pPr>
        <w:pStyle w:val="Textonotapie"/>
        <w:tabs>
          <w:tab w:val="left" w:pos="426"/>
        </w:tabs>
        <w:jc w:val="both"/>
        <w:rPr>
          <w:rFonts w:ascii="Verdana" w:hAnsi="Verdana"/>
          <w:i/>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 xml:space="preserve">Cfr. </w:t>
      </w:r>
      <w:r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Considerando 11, y </w:t>
      </w:r>
      <w:r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16</w:t>
      </w:r>
    </w:p>
  </w:footnote>
  <w:footnote w:id="30">
    <w:p w:rsidR="008535EC" w:rsidRPr="001322FE" w:rsidRDefault="008535EC" w:rsidP="00174975">
      <w:pPr>
        <w:pStyle w:val="Textonotapie"/>
        <w:tabs>
          <w:tab w:val="left" w:pos="426"/>
        </w:tabs>
        <w:jc w:val="both"/>
        <w:rPr>
          <w:rFonts w:ascii="Verdana" w:hAnsi="Verdana"/>
          <w:sz w:val="16"/>
          <w:szCs w:val="16"/>
        </w:rPr>
      </w:pPr>
      <w:r w:rsidRPr="001322FE">
        <w:rPr>
          <w:rStyle w:val="Refdenotaalpie"/>
          <w:rFonts w:ascii="Verdana" w:hAnsi="Verdana"/>
          <w:sz w:val="16"/>
          <w:szCs w:val="16"/>
        </w:rPr>
        <w:footnoteRef/>
      </w:r>
      <w:r w:rsidRPr="001322FE">
        <w:rPr>
          <w:rFonts w:ascii="Verdana" w:hAnsi="Verdana"/>
          <w:sz w:val="16"/>
          <w:szCs w:val="16"/>
        </w:rPr>
        <w:t xml:space="preserve"> </w:t>
      </w:r>
      <w:r w:rsidRPr="001322FE">
        <w:rPr>
          <w:rFonts w:ascii="Verdana" w:hAnsi="Verdana"/>
          <w:sz w:val="16"/>
          <w:szCs w:val="16"/>
        </w:rPr>
        <w:tab/>
      </w:r>
      <w:r w:rsidRPr="001322FE">
        <w:rPr>
          <w:rFonts w:ascii="Verdana" w:hAnsi="Verdana"/>
          <w:i/>
          <w:sz w:val="16"/>
          <w:szCs w:val="16"/>
        </w:rPr>
        <w:t xml:space="preserve">Cfr. </w:t>
      </w:r>
      <w:r w:rsidRPr="001322FE">
        <w:rPr>
          <w:rStyle w:val="Textoennegrita"/>
          <w:rFonts w:ascii="Verdana" w:hAnsi="Verdana"/>
          <w:b w:val="0"/>
          <w:i/>
          <w:color w:val="000000"/>
          <w:sz w:val="16"/>
          <w:szCs w:val="16"/>
          <w:shd w:val="clear" w:color="auto" w:fill="FFFFFF"/>
        </w:rPr>
        <w:t xml:space="preserve">Caso 19 Comerciantes Vs. Colombia. Supervisión de Cumplimiento de Sentencia. </w:t>
      </w:r>
      <w:r w:rsidRPr="001322FE">
        <w:rPr>
          <w:rStyle w:val="Textoennegrita"/>
          <w:rFonts w:ascii="Verdana" w:hAnsi="Verdana"/>
          <w:b w:val="0"/>
          <w:color w:val="000000"/>
          <w:sz w:val="16"/>
          <w:szCs w:val="16"/>
          <w:shd w:val="clear" w:color="auto" w:fill="FFFFFF"/>
        </w:rPr>
        <w:t>Resolución de la Corte Interamericana de Derechos Humanos de 8 de julio de 2009, Considerando 12</w:t>
      </w:r>
      <w:r w:rsidR="001322FE">
        <w:rPr>
          <w:rStyle w:val="Textoennegrita"/>
          <w:rFonts w:ascii="Verdana" w:hAnsi="Verdana"/>
          <w:b w:val="0"/>
          <w:color w:val="000000"/>
          <w:sz w:val="16"/>
          <w:szCs w:val="16"/>
          <w:shd w:val="clear" w:color="auto" w:fill="FFFFFF"/>
        </w:rPr>
        <w:t>;</w:t>
      </w:r>
      <w:r w:rsidR="001322FE" w:rsidRPr="001322FE">
        <w:rPr>
          <w:rStyle w:val="Textoennegrita"/>
          <w:rFonts w:ascii="Verdana" w:hAnsi="Verdana"/>
          <w:b w:val="0"/>
          <w:color w:val="000000"/>
          <w:sz w:val="16"/>
          <w:szCs w:val="16"/>
          <w:shd w:val="clear" w:color="auto" w:fill="FFFFFF"/>
        </w:rPr>
        <w:t xml:space="preserve"> </w:t>
      </w:r>
      <w:r w:rsidR="001322FE" w:rsidRPr="001322FE">
        <w:rPr>
          <w:rFonts w:ascii="Verdana" w:hAnsi="Verdana"/>
          <w:i/>
          <w:sz w:val="16"/>
          <w:szCs w:val="16"/>
        </w:rPr>
        <w:t xml:space="preserve">Caso de la Masacre de Pueblo Bello vs. Colombia. </w:t>
      </w:r>
      <w:r w:rsidR="001322FE" w:rsidRPr="001322FE">
        <w:rPr>
          <w:rFonts w:ascii="Verdana" w:hAnsi="Verdana"/>
          <w:sz w:val="16"/>
          <w:szCs w:val="16"/>
        </w:rPr>
        <w:t xml:space="preserve">Supervisión de Cumplimiento. Resolución de la Corte Interamericana de Derechos Humanos de 9 de julio de 2009, Considerando 10, y </w:t>
      </w:r>
      <w:r w:rsidR="001322FE" w:rsidRPr="001322FE">
        <w:rPr>
          <w:rFonts w:ascii="Verdana" w:hAnsi="Verdana"/>
          <w:i/>
          <w:sz w:val="16"/>
          <w:szCs w:val="16"/>
        </w:rPr>
        <w:t>C</w:t>
      </w:r>
      <w:r w:rsidR="001322FE" w:rsidRPr="001322FE">
        <w:rPr>
          <w:rStyle w:val="Textoennegrita"/>
          <w:rFonts w:ascii="Verdana" w:hAnsi="Verdana"/>
          <w:b w:val="0"/>
          <w:i/>
          <w:color w:val="000000"/>
          <w:sz w:val="16"/>
          <w:szCs w:val="16"/>
          <w:shd w:val="clear" w:color="auto" w:fill="FFFFFF"/>
        </w:rPr>
        <w:t xml:space="preserve">aso </w:t>
      </w:r>
      <w:proofErr w:type="spellStart"/>
      <w:r w:rsidR="001322FE" w:rsidRPr="001322FE">
        <w:rPr>
          <w:rStyle w:val="Textoennegrita"/>
          <w:rFonts w:ascii="Verdana" w:hAnsi="Verdana"/>
          <w:b w:val="0"/>
          <w:i/>
          <w:color w:val="000000"/>
          <w:sz w:val="16"/>
          <w:szCs w:val="16"/>
          <w:shd w:val="clear" w:color="auto" w:fill="FFFFFF"/>
        </w:rPr>
        <w:t>Almonacid</w:t>
      </w:r>
      <w:proofErr w:type="spellEnd"/>
      <w:r w:rsidR="001322FE" w:rsidRPr="001322FE">
        <w:rPr>
          <w:rStyle w:val="Textoennegrita"/>
          <w:rFonts w:ascii="Verdana" w:hAnsi="Verdana"/>
          <w:b w:val="0"/>
          <w:i/>
          <w:color w:val="000000"/>
          <w:sz w:val="16"/>
          <w:szCs w:val="16"/>
          <w:shd w:val="clear" w:color="auto" w:fill="FFFFFF"/>
        </w:rPr>
        <w:t xml:space="preserve"> Arellano y otros Vs. Chile. Supervisión de Cumplimiento de Sentencia.</w:t>
      </w:r>
      <w:r w:rsidR="001322FE" w:rsidRPr="001322FE">
        <w:rPr>
          <w:rStyle w:val="Textoennegrita"/>
          <w:rFonts w:ascii="Verdana" w:hAnsi="Verdana"/>
          <w:b w:val="0"/>
          <w:color w:val="000000"/>
          <w:sz w:val="16"/>
          <w:szCs w:val="16"/>
          <w:shd w:val="clear" w:color="auto" w:fill="FFFFFF"/>
        </w:rPr>
        <w:t xml:space="preserve"> Resolución de la Corte Interamericana de Derechos Humanos 18 de noviembre de 2010, Considerando 12</w:t>
      </w:r>
      <w:r w:rsidR="001442A8">
        <w:rPr>
          <w:rStyle w:val="Textoennegrita"/>
          <w:rFonts w:ascii="Verdana" w:hAnsi="Verdana"/>
          <w:b w:val="0"/>
          <w:color w:val="000000"/>
          <w:sz w:val="16"/>
          <w:szCs w:val="16"/>
          <w:shd w:val="clear" w:color="auto" w:fill="FFFFFF"/>
        </w:rPr>
        <w:t>.</w:t>
      </w:r>
    </w:p>
  </w:footnote>
  <w:footnote w:id="31">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 xml:space="preserve">Cfr. </w:t>
      </w:r>
      <w:r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Considerando 9, y </w:t>
      </w:r>
      <w:r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 Considerando 14.</w:t>
      </w:r>
    </w:p>
  </w:footnote>
  <w:footnote w:id="32">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Cfr</w:t>
      </w:r>
      <w:r w:rsidRPr="00174975">
        <w:rPr>
          <w:rFonts w:ascii="Verdana" w:hAnsi="Verdana"/>
          <w:sz w:val="16"/>
          <w:szCs w:val="16"/>
        </w:rPr>
        <w:t xml:space="preserve">. </w:t>
      </w:r>
      <w:r w:rsidR="0038341A" w:rsidRPr="00174975">
        <w:rPr>
          <w:rStyle w:val="Textoennegrita"/>
          <w:rFonts w:ascii="Verdana" w:hAnsi="Verdana"/>
          <w:b w:val="0"/>
          <w:i/>
          <w:color w:val="000000"/>
          <w:sz w:val="16"/>
          <w:szCs w:val="16"/>
          <w:shd w:val="clear" w:color="auto" w:fill="FFFFFF"/>
        </w:rPr>
        <w:t>Caso Zambrano Vélez y otros Vs. Ecuador. Supervisión de Cumplimiento de Sentencia.</w:t>
      </w:r>
      <w:r w:rsidR="0038341A" w:rsidRPr="00174975">
        <w:rPr>
          <w:rStyle w:val="Textoennegrita"/>
          <w:rFonts w:ascii="Verdana" w:hAnsi="Verdana"/>
          <w:b w:val="0"/>
          <w:color w:val="000000"/>
          <w:sz w:val="16"/>
          <w:szCs w:val="16"/>
          <w:shd w:val="clear" w:color="auto" w:fill="FFFFFF"/>
        </w:rPr>
        <w:t xml:space="preserve"> Resolución de la Corte Interamericana de Derechos Humanos de 21 de septiembre de 2009,</w:t>
      </w:r>
      <w:r w:rsidR="005F5A99">
        <w:rPr>
          <w:rStyle w:val="Textoennegrita"/>
          <w:rFonts w:ascii="Verdana" w:hAnsi="Verdana"/>
          <w:b w:val="0"/>
          <w:color w:val="000000"/>
          <w:sz w:val="16"/>
          <w:szCs w:val="16"/>
          <w:shd w:val="clear" w:color="auto" w:fill="FFFFFF"/>
        </w:rPr>
        <w:t xml:space="preserve"> </w:t>
      </w:r>
      <w:r w:rsidRPr="00174975">
        <w:rPr>
          <w:rStyle w:val="Textoennegrita"/>
          <w:rFonts w:ascii="Verdana" w:hAnsi="Verdana"/>
          <w:b w:val="0"/>
          <w:color w:val="000000"/>
          <w:sz w:val="16"/>
          <w:szCs w:val="16"/>
          <w:shd w:val="clear" w:color="auto" w:fill="FFFFFF"/>
        </w:rPr>
        <w:t>Considerandos 63 a 70.</w:t>
      </w:r>
    </w:p>
  </w:footnote>
  <w:footnote w:id="33">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174975">
        <w:rPr>
          <w:rFonts w:ascii="Verdana" w:hAnsi="Verdana"/>
          <w:sz w:val="16"/>
          <w:szCs w:val="16"/>
        </w:rPr>
        <w:t>En</w:t>
      </w:r>
      <w:r w:rsidR="004B6376" w:rsidRPr="00174975">
        <w:rPr>
          <w:rFonts w:ascii="Verdana" w:hAnsi="Verdana"/>
          <w:sz w:val="16"/>
          <w:szCs w:val="16"/>
        </w:rPr>
        <w:t xml:space="preserve"> el </w:t>
      </w:r>
      <w:r w:rsidR="004117A5" w:rsidRPr="00174975">
        <w:rPr>
          <w:rFonts w:ascii="Verdana" w:hAnsi="Verdana" w:cs="Verdana"/>
          <w:sz w:val="16"/>
          <w:szCs w:val="16"/>
        </w:rPr>
        <w:t xml:space="preserve">“Acuerdo de conformidad de pago de intereses moratorios en el [presente] caso”, </w:t>
      </w:r>
      <w:r w:rsidR="004B6376" w:rsidRPr="00174975">
        <w:rPr>
          <w:rFonts w:ascii="Verdana" w:hAnsi="Verdana" w:cs="Verdana"/>
          <w:sz w:val="16"/>
          <w:szCs w:val="16"/>
        </w:rPr>
        <w:t>las</w:t>
      </w:r>
      <w:r w:rsidR="004117A5" w:rsidRPr="00174975">
        <w:rPr>
          <w:rFonts w:ascii="Verdana" w:hAnsi="Verdana" w:cs="Verdana"/>
          <w:sz w:val="16"/>
          <w:szCs w:val="16"/>
        </w:rPr>
        <w:t xml:space="preserve"> víctimas aceptaron el monto total que el </w:t>
      </w:r>
      <w:r w:rsidR="004B6376" w:rsidRPr="00174975">
        <w:rPr>
          <w:rFonts w:ascii="Verdana" w:hAnsi="Verdana" w:cs="Verdana"/>
          <w:sz w:val="16"/>
          <w:szCs w:val="16"/>
        </w:rPr>
        <w:t>Estado debía entregar a su favor</w:t>
      </w:r>
      <w:r w:rsidR="00C37626" w:rsidRPr="00174975">
        <w:rPr>
          <w:rFonts w:ascii="Verdana" w:hAnsi="Verdana" w:cs="Verdana"/>
          <w:sz w:val="16"/>
          <w:szCs w:val="16"/>
        </w:rPr>
        <w:t xml:space="preserve"> por concepto de intereses moratorios</w:t>
      </w:r>
      <w:r w:rsidR="004B6376" w:rsidRPr="00174975">
        <w:rPr>
          <w:rFonts w:ascii="Verdana" w:hAnsi="Verdana" w:cs="Verdana"/>
          <w:sz w:val="16"/>
          <w:szCs w:val="16"/>
        </w:rPr>
        <w:t xml:space="preserve">. En dicho acuerdo se consigna que “para calcular el pago de los intereses se tomó en cuenta el atraso de 31 días incurrido por el Estado en el pago de las indemnizaciones y el 9.19% de interés moratorio vigente a la fecha, de acuerdo a las tasas oficiales del Banco Central”. </w:t>
      </w:r>
      <w:r w:rsidR="00174975">
        <w:rPr>
          <w:rFonts w:ascii="Verdana" w:hAnsi="Verdana" w:cs="Verdana"/>
          <w:sz w:val="16"/>
          <w:szCs w:val="16"/>
        </w:rPr>
        <w:t>T</w:t>
      </w:r>
      <w:r w:rsidR="004B6376" w:rsidRPr="00174975">
        <w:rPr>
          <w:rFonts w:ascii="Verdana" w:hAnsi="Verdana" w:cs="Verdana"/>
          <w:sz w:val="16"/>
          <w:szCs w:val="16"/>
        </w:rPr>
        <w:t xml:space="preserve">ambién se indica el monto exacto a pagar a cada uno de los familiares de las víctimas según lo dispuesto en la Sentencia en relación con su parentesco con las víctimas.  </w:t>
      </w:r>
      <w:r w:rsidRPr="00174975">
        <w:rPr>
          <w:rFonts w:ascii="Verdana" w:hAnsi="Verdana"/>
          <w:i/>
          <w:sz w:val="16"/>
          <w:szCs w:val="16"/>
        </w:rPr>
        <w:t>Cfr</w:t>
      </w:r>
      <w:r w:rsidRPr="00174975">
        <w:rPr>
          <w:rFonts w:ascii="Verdana" w:hAnsi="Verdana"/>
          <w:sz w:val="16"/>
          <w:szCs w:val="16"/>
        </w:rPr>
        <w:t xml:space="preserve">. </w:t>
      </w:r>
      <w:r w:rsidR="00350D75"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00350D75"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w:t>
      </w:r>
      <w:r w:rsidRPr="00174975">
        <w:rPr>
          <w:rStyle w:val="Textoennegrita"/>
          <w:rFonts w:ascii="Verdana" w:hAnsi="Verdana"/>
          <w:b w:val="0"/>
          <w:color w:val="000000"/>
          <w:sz w:val="16"/>
          <w:szCs w:val="16"/>
          <w:shd w:val="clear" w:color="auto" w:fill="FFFFFF"/>
        </w:rPr>
        <w:t>Considerandos 12 a 17</w:t>
      </w:r>
      <w:r w:rsidR="00C37626" w:rsidRPr="00174975">
        <w:rPr>
          <w:rStyle w:val="Textoennegrita"/>
          <w:rFonts w:ascii="Verdana" w:hAnsi="Verdana"/>
          <w:b w:val="0"/>
          <w:color w:val="000000"/>
          <w:sz w:val="16"/>
          <w:szCs w:val="16"/>
          <w:shd w:val="clear" w:color="auto" w:fill="FFFFFF"/>
        </w:rPr>
        <w:t>,</w:t>
      </w:r>
      <w:r w:rsidR="004B6376" w:rsidRPr="00174975">
        <w:rPr>
          <w:rStyle w:val="Textoennegrita"/>
          <w:rFonts w:ascii="Verdana" w:hAnsi="Verdana"/>
          <w:b w:val="0"/>
          <w:color w:val="000000"/>
          <w:sz w:val="16"/>
          <w:szCs w:val="16"/>
          <w:shd w:val="clear" w:color="auto" w:fill="FFFFFF"/>
        </w:rPr>
        <w:t xml:space="preserve"> y </w:t>
      </w:r>
      <w:r w:rsidR="004B6376" w:rsidRPr="00174975">
        <w:rPr>
          <w:rFonts w:ascii="Verdana" w:hAnsi="Verdana" w:cs="Verdana"/>
          <w:sz w:val="16"/>
          <w:szCs w:val="16"/>
        </w:rPr>
        <w:t>“Acuerdo de conformidad de pago de intereses moratorios en el [presente] caso” (anexo al informe del Estado de 21 de julio de 2010)</w:t>
      </w:r>
      <w:r w:rsidRPr="00174975">
        <w:rPr>
          <w:rStyle w:val="Textoennegrita"/>
          <w:rFonts w:ascii="Verdana" w:hAnsi="Verdana"/>
          <w:b w:val="0"/>
          <w:color w:val="000000"/>
          <w:sz w:val="16"/>
          <w:szCs w:val="16"/>
          <w:shd w:val="clear" w:color="auto" w:fill="FFFFFF"/>
        </w:rPr>
        <w:t>.</w:t>
      </w:r>
    </w:p>
  </w:footnote>
  <w:footnote w:id="34">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t xml:space="preserve">Según el </w:t>
      </w:r>
      <w:r w:rsidR="00350D75" w:rsidRPr="00174975">
        <w:rPr>
          <w:rFonts w:ascii="Verdana" w:hAnsi="Verdana"/>
          <w:sz w:val="16"/>
          <w:szCs w:val="16"/>
        </w:rPr>
        <w:t xml:space="preserve">referido </w:t>
      </w:r>
      <w:r w:rsidRPr="00174975">
        <w:rPr>
          <w:rFonts w:ascii="Verdana" w:hAnsi="Verdana"/>
          <w:sz w:val="16"/>
          <w:szCs w:val="16"/>
        </w:rPr>
        <w:t xml:space="preserve">acuerdo se determinó que, por concepto de intereses moratorios, “le correspondió recibir a cada uno de los hijos e hijas de las víctimas US$138.32 (ciento treinta y ocho dólares con treinta y dos centavos de los Estados Unidos de América) y a cada una de las compañeras US$1.062,42 (mil sesenta y dos dólares con cuarenta y dos centavos de los Estados Unidos de América)”. </w:t>
      </w:r>
      <w:r w:rsidRPr="00174975">
        <w:rPr>
          <w:rFonts w:ascii="Verdana" w:hAnsi="Verdana"/>
          <w:i/>
          <w:sz w:val="16"/>
          <w:szCs w:val="16"/>
        </w:rPr>
        <w:t>Cfr</w:t>
      </w:r>
      <w:r w:rsidRPr="00174975">
        <w:rPr>
          <w:rFonts w:ascii="Verdana" w:hAnsi="Verdana"/>
          <w:sz w:val="16"/>
          <w:szCs w:val="16"/>
        </w:rPr>
        <w:t xml:space="preserve">. </w:t>
      </w:r>
      <w:r w:rsidR="00350D75" w:rsidRPr="00174975">
        <w:rPr>
          <w:rStyle w:val="Textoennegrita"/>
          <w:rFonts w:ascii="Verdana" w:hAnsi="Verdana"/>
          <w:b w:val="0"/>
          <w:i/>
          <w:color w:val="000000"/>
          <w:sz w:val="16"/>
          <w:szCs w:val="16"/>
          <w:shd w:val="clear" w:color="auto" w:fill="FFFFFF"/>
        </w:rPr>
        <w:t xml:space="preserve">Caso Zambrano Vélez y otros Vs. Ecuador. Supervisión de Cumplimiento de Sentencia. </w:t>
      </w:r>
      <w:r w:rsidR="00350D75" w:rsidRPr="00174975">
        <w:rPr>
          <w:rStyle w:val="Textoennegrita"/>
          <w:rFonts w:ascii="Verdana" w:hAnsi="Verdana"/>
          <w:b w:val="0"/>
          <w:color w:val="000000"/>
          <w:sz w:val="16"/>
          <w:szCs w:val="16"/>
          <w:shd w:val="clear" w:color="auto" w:fill="FFFFFF"/>
        </w:rPr>
        <w:t xml:space="preserve">Resolución de la Corte Interamericana de Derechos Humanos 23 de noviembre de 2010, </w:t>
      </w:r>
      <w:r w:rsidRPr="00174975">
        <w:rPr>
          <w:rStyle w:val="Textoennegrita"/>
          <w:rFonts w:ascii="Verdana" w:hAnsi="Verdana"/>
          <w:b w:val="0"/>
          <w:sz w:val="16"/>
          <w:szCs w:val="16"/>
          <w:shd w:val="clear" w:color="auto" w:fill="FFFFFF"/>
        </w:rPr>
        <w:t>Considerando 13.</w:t>
      </w:r>
    </w:p>
  </w:footnote>
  <w:footnote w:id="35">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174975">
        <w:rPr>
          <w:rFonts w:ascii="Verdana" w:hAnsi="Verdana"/>
          <w:sz w:val="16"/>
          <w:szCs w:val="16"/>
        </w:rPr>
        <w:t>S</w:t>
      </w:r>
      <w:r w:rsidRPr="00174975">
        <w:rPr>
          <w:rFonts w:ascii="Verdana" w:hAnsi="Verdana"/>
          <w:sz w:val="16"/>
          <w:szCs w:val="16"/>
        </w:rPr>
        <w:t xml:space="preserve">ostuvo que el “14 de mayo de 2010 se pagaron [a los familiares de las víctimas] los intereses generados por concepto de </w:t>
      </w:r>
      <w:proofErr w:type="gramStart"/>
      <w:r w:rsidRPr="00174975">
        <w:rPr>
          <w:rFonts w:ascii="Verdana" w:hAnsi="Verdana"/>
          <w:sz w:val="16"/>
          <w:szCs w:val="16"/>
        </w:rPr>
        <w:t>mora[</w:t>
      </w:r>
      <w:proofErr w:type="gramEnd"/>
      <w:r w:rsidRPr="00174975">
        <w:rPr>
          <w:rFonts w:ascii="Verdana" w:hAnsi="Verdana"/>
          <w:sz w:val="16"/>
          <w:szCs w:val="16"/>
        </w:rPr>
        <w:t xml:space="preserve">,] calculados en base al interés bancario moratorio en Ecuador”, con lo cual consideró que “ha cumplido a cabalidad con lo dispuesto en el Acuerdo de Conformidad de Pago de Intereses Moratorios”. </w:t>
      </w:r>
      <w:r w:rsidR="00174975">
        <w:rPr>
          <w:rFonts w:ascii="Verdana" w:hAnsi="Verdana"/>
          <w:sz w:val="16"/>
          <w:szCs w:val="16"/>
        </w:rPr>
        <w:t>También</w:t>
      </w:r>
      <w:r w:rsidRPr="00174975">
        <w:rPr>
          <w:rFonts w:ascii="Verdana" w:hAnsi="Verdana"/>
          <w:sz w:val="16"/>
          <w:szCs w:val="16"/>
        </w:rPr>
        <w:t xml:space="preserve"> “</w:t>
      </w:r>
      <w:proofErr w:type="spellStart"/>
      <w:r w:rsidRPr="00174975">
        <w:rPr>
          <w:rFonts w:ascii="Verdana" w:hAnsi="Verdana"/>
          <w:sz w:val="16"/>
          <w:szCs w:val="16"/>
        </w:rPr>
        <w:t>adjunt</w:t>
      </w:r>
      <w:proofErr w:type="spellEnd"/>
      <w:r w:rsidRPr="00174975">
        <w:rPr>
          <w:rFonts w:ascii="Verdana" w:hAnsi="Verdana"/>
          <w:sz w:val="16"/>
          <w:szCs w:val="16"/>
        </w:rPr>
        <w:t>[</w:t>
      </w:r>
      <w:proofErr w:type="spellStart"/>
      <w:r w:rsidRPr="00174975">
        <w:rPr>
          <w:rFonts w:ascii="Verdana" w:hAnsi="Verdana"/>
          <w:sz w:val="16"/>
          <w:szCs w:val="16"/>
        </w:rPr>
        <w:t>ó</w:t>
      </w:r>
      <w:proofErr w:type="spellEnd"/>
      <w:r w:rsidRPr="00174975">
        <w:rPr>
          <w:rFonts w:ascii="Verdana" w:hAnsi="Verdana"/>
          <w:sz w:val="16"/>
          <w:szCs w:val="16"/>
        </w:rPr>
        <w:t xml:space="preserve">] las copias de todas las transferencias realizadas a los beneficiarios” por los pagos de los intereses moratorios adeudados, e indicó los montos pagados a los familiares, dependiendo de si eran cónyuges o compañeras, hijos o hijas de las víctimas. </w:t>
      </w:r>
      <w:r w:rsidR="00174975">
        <w:rPr>
          <w:rFonts w:ascii="Verdana" w:hAnsi="Verdana"/>
          <w:sz w:val="16"/>
          <w:szCs w:val="16"/>
        </w:rPr>
        <w:t>Además,</w:t>
      </w:r>
      <w:r w:rsidRPr="00174975">
        <w:rPr>
          <w:rFonts w:ascii="Verdana" w:hAnsi="Verdana"/>
          <w:sz w:val="16"/>
          <w:szCs w:val="16"/>
        </w:rPr>
        <w:t xml:space="preserve"> explicó que “al señor </w:t>
      </w:r>
      <w:proofErr w:type="spellStart"/>
      <w:r w:rsidRPr="00174975">
        <w:rPr>
          <w:rFonts w:ascii="Verdana" w:hAnsi="Verdana"/>
          <w:sz w:val="16"/>
          <w:szCs w:val="16"/>
        </w:rPr>
        <w:t>Vanner</w:t>
      </w:r>
      <w:proofErr w:type="spellEnd"/>
      <w:r w:rsidRPr="00174975">
        <w:rPr>
          <w:rFonts w:ascii="Verdana" w:hAnsi="Verdana"/>
          <w:sz w:val="16"/>
          <w:szCs w:val="16"/>
        </w:rPr>
        <w:t xml:space="preserve"> Omar Caicedo Mací</w:t>
      </w:r>
      <w:r w:rsidR="00350D75" w:rsidRPr="00174975">
        <w:rPr>
          <w:rFonts w:ascii="Verdana" w:hAnsi="Verdana"/>
          <w:sz w:val="16"/>
          <w:szCs w:val="16"/>
        </w:rPr>
        <w:t>a</w:t>
      </w:r>
      <w:r w:rsidRPr="00174975">
        <w:rPr>
          <w:rFonts w:ascii="Verdana" w:hAnsi="Verdana"/>
          <w:sz w:val="16"/>
          <w:szCs w:val="16"/>
        </w:rPr>
        <w:t>s (hijo de Segundo O. Caicedo) recibió [su] transferencia y [la] de la señora Silvia Liza Mací</w:t>
      </w:r>
      <w:r w:rsidR="00350D75" w:rsidRPr="00174975">
        <w:rPr>
          <w:rFonts w:ascii="Verdana" w:hAnsi="Verdana"/>
          <w:sz w:val="16"/>
          <w:szCs w:val="16"/>
        </w:rPr>
        <w:t>a</w:t>
      </w:r>
      <w:r w:rsidRPr="00174975">
        <w:rPr>
          <w:rFonts w:ascii="Verdana" w:hAnsi="Verdana"/>
          <w:sz w:val="16"/>
          <w:szCs w:val="16"/>
        </w:rPr>
        <w:t xml:space="preserve">s Costa”, y que “la señora </w:t>
      </w:r>
      <w:proofErr w:type="spellStart"/>
      <w:r w:rsidRPr="00174975">
        <w:rPr>
          <w:rFonts w:ascii="Verdana" w:hAnsi="Verdana"/>
          <w:sz w:val="16"/>
          <w:szCs w:val="16"/>
        </w:rPr>
        <w:t>Marjuri</w:t>
      </w:r>
      <w:proofErr w:type="spellEnd"/>
      <w:r w:rsidRPr="00174975">
        <w:rPr>
          <w:rFonts w:ascii="Verdana" w:hAnsi="Verdana"/>
          <w:sz w:val="16"/>
          <w:szCs w:val="16"/>
        </w:rPr>
        <w:t xml:space="preserve"> Narcisa Caicedo (hija de Segundo O. Caicedo), recibió los valores correspondientes a los beneficiarios Gardenia Marianela Caicedo Rodríguez y </w:t>
      </w:r>
      <w:proofErr w:type="spellStart"/>
      <w:r w:rsidRPr="00174975">
        <w:rPr>
          <w:rFonts w:ascii="Verdana" w:hAnsi="Verdana"/>
          <w:sz w:val="16"/>
          <w:szCs w:val="16"/>
        </w:rPr>
        <w:t>Elkis</w:t>
      </w:r>
      <w:proofErr w:type="spellEnd"/>
      <w:r w:rsidRPr="00174975">
        <w:rPr>
          <w:rFonts w:ascii="Verdana" w:hAnsi="Verdana"/>
          <w:sz w:val="16"/>
          <w:szCs w:val="16"/>
        </w:rPr>
        <w:t xml:space="preserve"> Mariela Caicedo Rodríguez (hijas del señor Segundo O. Caicedo)”.</w:t>
      </w:r>
    </w:p>
  </w:footnote>
  <w:footnote w:id="36">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Pr="00174975">
        <w:rPr>
          <w:rFonts w:ascii="Verdana" w:hAnsi="Verdana"/>
          <w:i/>
          <w:sz w:val="16"/>
          <w:szCs w:val="16"/>
        </w:rPr>
        <w:t>Cfr.</w:t>
      </w:r>
      <w:r w:rsidRPr="00174975">
        <w:rPr>
          <w:rFonts w:ascii="Verdana" w:hAnsi="Verdana"/>
          <w:sz w:val="16"/>
          <w:szCs w:val="16"/>
        </w:rPr>
        <w:t xml:space="preserve"> “Informe[s] de Ruta Crítica del CUR Contable” en relación con los pagos por concepto de intereses moratorios realizados a </w:t>
      </w:r>
      <w:proofErr w:type="spellStart"/>
      <w:r w:rsidRPr="00174975">
        <w:rPr>
          <w:rFonts w:ascii="Verdana" w:hAnsi="Verdana"/>
          <w:sz w:val="16"/>
          <w:szCs w:val="16"/>
        </w:rPr>
        <w:t>Vanner</w:t>
      </w:r>
      <w:proofErr w:type="spellEnd"/>
      <w:r w:rsidRPr="00174975">
        <w:rPr>
          <w:rFonts w:ascii="Verdana" w:hAnsi="Verdana"/>
          <w:sz w:val="16"/>
          <w:szCs w:val="16"/>
        </w:rPr>
        <w:t xml:space="preserve"> Omar Caicedo Masías (No. </w:t>
      </w:r>
      <w:proofErr w:type="spellStart"/>
      <w:r w:rsidRPr="00174975">
        <w:rPr>
          <w:rFonts w:ascii="Verdana" w:hAnsi="Verdana"/>
          <w:sz w:val="16"/>
          <w:szCs w:val="16"/>
        </w:rPr>
        <w:t>Cur</w:t>
      </w:r>
      <w:proofErr w:type="spellEnd"/>
      <w:r w:rsidRPr="00174975">
        <w:rPr>
          <w:rFonts w:ascii="Verdana" w:hAnsi="Verdana"/>
          <w:sz w:val="16"/>
          <w:szCs w:val="16"/>
        </w:rPr>
        <w:t xml:space="preserve"> 14125030), </w:t>
      </w:r>
      <w:proofErr w:type="spellStart"/>
      <w:r w:rsidRPr="00174975">
        <w:rPr>
          <w:rFonts w:ascii="Verdana" w:hAnsi="Verdana"/>
          <w:sz w:val="16"/>
          <w:szCs w:val="16"/>
        </w:rPr>
        <w:t>Ma</w:t>
      </w:r>
      <w:r w:rsidR="005F5A99">
        <w:rPr>
          <w:rFonts w:ascii="Verdana" w:hAnsi="Verdana"/>
          <w:sz w:val="16"/>
          <w:szCs w:val="16"/>
        </w:rPr>
        <w:t>rjuri</w:t>
      </w:r>
      <w:proofErr w:type="spellEnd"/>
      <w:r w:rsidR="005F5A99">
        <w:rPr>
          <w:rFonts w:ascii="Verdana" w:hAnsi="Verdana"/>
          <w:sz w:val="16"/>
          <w:szCs w:val="16"/>
        </w:rPr>
        <w:t xml:space="preserve"> Narcisa Caicedo Rodríguez</w:t>
      </w:r>
      <w:r w:rsidRPr="00174975">
        <w:rPr>
          <w:rFonts w:ascii="Verdana" w:hAnsi="Verdana"/>
          <w:sz w:val="16"/>
          <w:szCs w:val="16"/>
        </w:rPr>
        <w:t xml:space="preserve"> (No. </w:t>
      </w:r>
      <w:proofErr w:type="spellStart"/>
      <w:r w:rsidRPr="00174975">
        <w:rPr>
          <w:rFonts w:ascii="Verdana" w:hAnsi="Verdana"/>
          <w:sz w:val="16"/>
          <w:szCs w:val="16"/>
        </w:rPr>
        <w:t>Cur</w:t>
      </w:r>
      <w:proofErr w:type="spellEnd"/>
      <w:r w:rsidRPr="00174975">
        <w:rPr>
          <w:rFonts w:ascii="Verdana" w:hAnsi="Verdana"/>
          <w:sz w:val="16"/>
          <w:szCs w:val="16"/>
        </w:rPr>
        <w:t xml:space="preserve"> 14119068)</w:t>
      </w:r>
      <w:r w:rsidR="005F5A99">
        <w:rPr>
          <w:rFonts w:ascii="Verdana" w:hAnsi="Verdana"/>
          <w:sz w:val="16"/>
          <w:szCs w:val="16"/>
        </w:rPr>
        <w:t>,</w:t>
      </w:r>
      <w:r w:rsidRPr="00174975">
        <w:rPr>
          <w:rFonts w:ascii="Verdana" w:hAnsi="Verdana"/>
          <w:sz w:val="16"/>
          <w:szCs w:val="16"/>
        </w:rPr>
        <w:t xml:space="preserve"> Alicia Marlene Rodríguez Villegas (No. </w:t>
      </w:r>
      <w:proofErr w:type="spellStart"/>
      <w:r w:rsidRPr="00174975">
        <w:rPr>
          <w:rFonts w:ascii="Verdana" w:hAnsi="Verdana"/>
          <w:sz w:val="16"/>
          <w:szCs w:val="16"/>
        </w:rPr>
        <w:t>Cur</w:t>
      </w:r>
      <w:proofErr w:type="spellEnd"/>
      <w:r w:rsidRPr="00174975">
        <w:rPr>
          <w:rFonts w:ascii="Verdana" w:hAnsi="Verdana"/>
          <w:sz w:val="16"/>
          <w:szCs w:val="16"/>
        </w:rPr>
        <w:t xml:space="preserve"> 14126120), Teresa María Susana Cedeño (No. </w:t>
      </w:r>
      <w:proofErr w:type="spellStart"/>
      <w:r w:rsidRPr="00174975">
        <w:rPr>
          <w:rFonts w:ascii="Verdana" w:hAnsi="Verdana"/>
          <w:sz w:val="16"/>
          <w:szCs w:val="16"/>
        </w:rPr>
        <w:t>Cur</w:t>
      </w:r>
      <w:proofErr w:type="spellEnd"/>
      <w:r w:rsidRPr="00174975">
        <w:rPr>
          <w:rFonts w:ascii="Verdana" w:hAnsi="Verdana"/>
          <w:sz w:val="16"/>
          <w:szCs w:val="16"/>
        </w:rPr>
        <w:t xml:space="preserve"> 14108248), Gina </w:t>
      </w:r>
      <w:proofErr w:type="spellStart"/>
      <w:r w:rsidRPr="00174975">
        <w:rPr>
          <w:rFonts w:ascii="Verdana" w:hAnsi="Verdana"/>
          <w:sz w:val="16"/>
          <w:szCs w:val="16"/>
        </w:rPr>
        <w:t>Loyobrigida</w:t>
      </w:r>
      <w:proofErr w:type="spellEnd"/>
      <w:r w:rsidRPr="00174975">
        <w:rPr>
          <w:rFonts w:ascii="Verdana" w:hAnsi="Verdana"/>
          <w:sz w:val="16"/>
          <w:szCs w:val="16"/>
        </w:rPr>
        <w:t xml:space="preserve"> Caicedo Ponce (No. </w:t>
      </w:r>
      <w:proofErr w:type="spellStart"/>
      <w:r w:rsidRPr="00174975">
        <w:rPr>
          <w:rFonts w:ascii="Verdana" w:hAnsi="Verdana"/>
          <w:sz w:val="16"/>
          <w:szCs w:val="16"/>
        </w:rPr>
        <w:t>Cur</w:t>
      </w:r>
      <w:proofErr w:type="spellEnd"/>
      <w:r w:rsidRPr="00174975">
        <w:rPr>
          <w:rFonts w:ascii="Verdana" w:hAnsi="Verdana"/>
          <w:sz w:val="16"/>
          <w:szCs w:val="16"/>
        </w:rPr>
        <w:t xml:space="preserve"> 14124608), </w:t>
      </w:r>
      <w:proofErr w:type="spellStart"/>
      <w:r w:rsidRPr="00174975">
        <w:rPr>
          <w:rFonts w:ascii="Verdana" w:hAnsi="Verdana"/>
          <w:sz w:val="16"/>
          <w:szCs w:val="16"/>
        </w:rPr>
        <w:t>Cira</w:t>
      </w:r>
      <w:proofErr w:type="spellEnd"/>
      <w:r w:rsidRPr="00174975">
        <w:rPr>
          <w:rFonts w:ascii="Verdana" w:hAnsi="Verdana"/>
          <w:sz w:val="16"/>
          <w:szCs w:val="16"/>
        </w:rPr>
        <w:t xml:space="preserve"> </w:t>
      </w:r>
      <w:proofErr w:type="spellStart"/>
      <w:r w:rsidRPr="00174975">
        <w:rPr>
          <w:rFonts w:ascii="Verdana" w:hAnsi="Verdana"/>
          <w:sz w:val="16"/>
          <w:szCs w:val="16"/>
        </w:rPr>
        <w:t>Seneida</w:t>
      </w:r>
      <w:proofErr w:type="spellEnd"/>
      <w:r w:rsidRPr="00174975">
        <w:rPr>
          <w:rFonts w:ascii="Verdana" w:hAnsi="Verdana"/>
          <w:sz w:val="16"/>
          <w:szCs w:val="16"/>
        </w:rPr>
        <w:t xml:space="preserve"> Caicedo Ponce (No. </w:t>
      </w:r>
      <w:proofErr w:type="spellStart"/>
      <w:r w:rsidRPr="00174975">
        <w:rPr>
          <w:rFonts w:ascii="Verdana" w:hAnsi="Verdana"/>
          <w:sz w:val="16"/>
          <w:szCs w:val="16"/>
        </w:rPr>
        <w:t>Cur</w:t>
      </w:r>
      <w:proofErr w:type="spellEnd"/>
      <w:r w:rsidRPr="00174975">
        <w:rPr>
          <w:rFonts w:ascii="Verdana" w:hAnsi="Verdana"/>
          <w:sz w:val="16"/>
          <w:szCs w:val="16"/>
        </w:rPr>
        <w:t xml:space="preserve"> 14124135), José Caicedo Ponce (No. </w:t>
      </w:r>
      <w:proofErr w:type="spellStart"/>
      <w:r w:rsidRPr="00174975">
        <w:rPr>
          <w:rFonts w:ascii="Verdana" w:hAnsi="Verdana"/>
          <w:sz w:val="16"/>
          <w:szCs w:val="16"/>
        </w:rPr>
        <w:t>Cur</w:t>
      </w:r>
      <w:proofErr w:type="spellEnd"/>
      <w:r w:rsidRPr="00174975">
        <w:rPr>
          <w:rFonts w:ascii="Verdana" w:hAnsi="Verdana"/>
          <w:sz w:val="16"/>
          <w:szCs w:val="16"/>
        </w:rPr>
        <w:t xml:space="preserve"> 14123878), </w:t>
      </w:r>
      <w:proofErr w:type="spellStart"/>
      <w:r w:rsidRPr="00174975">
        <w:rPr>
          <w:rFonts w:ascii="Verdana" w:hAnsi="Verdana"/>
          <w:sz w:val="16"/>
          <w:szCs w:val="16"/>
        </w:rPr>
        <w:t>Mariuxi</w:t>
      </w:r>
      <w:proofErr w:type="spellEnd"/>
      <w:r w:rsidRPr="00174975">
        <w:rPr>
          <w:rFonts w:ascii="Verdana" w:hAnsi="Verdana"/>
          <w:sz w:val="16"/>
          <w:szCs w:val="16"/>
        </w:rPr>
        <w:t xml:space="preserve"> Mariela Caicedo Ponce (No. </w:t>
      </w:r>
      <w:proofErr w:type="spellStart"/>
      <w:r w:rsidRPr="00174975">
        <w:rPr>
          <w:rFonts w:ascii="Verdana" w:hAnsi="Verdana"/>
          <w:sz w:val="16"/>
          <w:szCs w:val="16"/>
        </w:rPr>
        <w:t>Cur</w:t>
      </w:r>
      <w:proofErr w:type="spellEnd"/>
      <w:r w:rsidRPr="00174975">
        <w:rPr>
          <w:rFonts w:ascii="Verdana" w:hAnsi="Verdana"/>
          <w:sz w:val="16"/>
          <w:szCs w:val="16"/>
        </w:rPr>
        <w:t xml:space="preserve"> 14208115), </w:t>
      </w:r>
      <w:proofErr w:type="spellStart"/>
      <w:r w:rsidRPr="00174975">
        <w:rPr>
          <w:rFonts w:ascii="Verdana" w:hAnsi="Verdana"/>
          <w:sz w:val="16"/>
          <w:szCs w:val="16"/>
        </w:rPr>
        <w:t>Kleber</w:t>
      </w:r>
      <w:proofErr w:type="spellEnd"/>
      <w:r w:rsidRPr="00174975">
        <w:rPr>
          <w:rFonts w:ascii="Verdana" w:hAnsi="Verdana"/>
          <w:sz w:val="16"/>
          <w:szCs w:val="16"/>
        </w:rPr>
        <w:t xml:space="preserve"> Miguel Caicedo Ponce (No. </w:t>
      </w:r>
      <w:proofErr w:type="spellStart"/>
      <w:r w:rsidRPr="00174975">
        <w:rPr>
          <w:rFonts w:ascii="Verdana" w:hAnsi="Verdana"/>
          <w:sz w:val="16"/>
          <w:szCs w:val="16"/>
        </w:rPr>
        <w:t>Cur</w:t>
      </w:r>
      <w:proofErr w:type="spellEnd"/>
      <w:r w:rsidRPr="00174975">
        <w:rPr>
          <w:rFonts w:ascii="Verdana" w:hAnsi="Verdana"/>
          <w:sz w:val="16"/>
          <w:szCs w:val="16"/>
        </w:rPr>
        <w:t xml:space="preserve"> 14126585), </w:t>
      </w:r>
      <w:proofErr w:type="spellStart"/>
      <w:r w:rsidRPr="00174975">
        <w:rPr>
          <w:rFonts w:ascii="Verdana" w:hAnsi="Verdana"/>
          <w:sz w:val="16"/>
          <w:szCs w:val="16"/>
        </w:rPr>
        <w:t>Brimer</w:t>
      </w:r>
      <w:proofErr w:type="spellEnd"/>
      <w:r w:rsidRPr="00174975">
        <w:rPr>
          <w:rFonts w:ascii="Verdana" w:hAnsi="Verdana"/>
          <w:sz w:val="16"/>
          <w:szCs w:val="16"/>
        </w:rPr>
        <w:t xml:space="preserve"> Ramón Vera Cedeño (No. </w:t>
      </w:r>
      <w:proofErr w:type="spellStart"/>
      <w:r w:rsidRPr="00174975">
        <w:rPr>
          <w:rFonts w:ascii="Verdana" w:hAnsi="Verdana"/>
          <w:sz w:val="16"/>
          <w:szCs w:val="16"/>
        </w:rPr>
        <w:t>Cur</w:t>
      </w:r>
      <w:proofErr w:type="spellEnd"/>
      <w:r w:rsidRPr="00174975">
        <w:rPr>
          <w:rFonts w:ascii="Verdana" w:hAnsi="Verdana"/>
          <w:sz w:val="16"/>
          <w:szCs w:val="16"/>
        </w:rPr>
        <w:t xml:space="preserve"> 14029788), Manuel Abelardo Vera Cedeño (No. </w:t>
      </w:r>
      <w:proofErr w:type="spellStart"/>
      <w:r w:rsidRPr="00174975">
        <w:rPr>
          <w:rFonts w:ascii="Verdana" w:hAnsi="Verdana"/>
          <w:sz w:val="16"/>
          <w:szCs w:val="16"/>
        </w:rPr>
        <w:t>Cur</w:t>
      </w:r>
      <w:proofErr w:type="spellEnd"/>
      <w:r w:rsidRPr="00174975">
        <w:rPr>
          <w:rFonts w:ascii="Verdana" w:hAnsi="Verdana"/>
          <w:sz w:val="16"/>
          <w:szCs w:val="16"/>
        </w:rPr>
        <w:t xml:space="preserve"> 14121830), Jessica </w:t>
      </w:r>
      <w:r w:rsidR="007419DD" w:rsidRPr="00174975">
        <w:rPr>
          <w:rFonts w:ascii="Verdana" w:hAnsi="Verdana"/>
          <w:sz w:val="16"/>
          <w:szCs w:val="16"/>
        </w:rPr>
        <w:t>Soraya Vera Cedeño</w:t>
      </w:r>
      <w:r w:rsidRPr="00174975">
        <w:rPr>
          <w:rFonts w:ascii="Verdana" w:hAnsi="Verdana"/>
          <w:sz w:val="16"/>
          <w:szCs w:val="16"/>
        </w:rPr>
        <w:t xml:space="preserve"> (No. </w:t>
      </w:r>
      <w:proofErr w:type="spellStart"/>
      <w:r w:rsidRPr="00174975">
        <w:rPr>
          <w:rFonts w:ascii="Verdana" w:hAnsi="Verdana"/>
          <w:sz w:val="16"/>
          <w:szCs w:val="16"/>
        </w:rPr>
        <w:t>Cur</w:t>
      </w:r>
      <w:proofErr w:type="spellEnd"/>
      <w:r w:rsidRPr="00174975">
        <w:rPr>
          <w:rFonts w:ascii="Verdana" w:hAnsi="Verdana"/>
          <w:sz w:val="16"/>
          <w:szCs w:val="16"/>
        </w:rPr>
        <w:t xml:space="preserve"> 14030622), María Magdalena Caicedo Cedeño (No. </w:t>
      </w:r>
      <w:proofErr w:type="spellStart"/>
      <w:r w:rsidRPr="00174975">
        <w:rPr>
          <w:rFonts w:ascii="Verdana" w:hAnsi="Verdana"/>
          <w:sz w:val="16"/>
          <w:szCs w:val="16"/>
        </w:rPr>
        <w:t>Cur</w:t>
      </w:r>
      <w:proofErr w:type="spellEnd"/>
      <w:r w:rsidRPr="00174975">
        <w:rPr>
          <w:rFonts w:ascii="Verdana" w:hAnsi="Verdana"/>
          <w:sz w:val="16"/>
          <w:szCs w:val="16"/>
        </w:rPr>
        <w:t xml:space="preserve"> 14127451), </w:t>
      </w:r>
      <w:proofErr w:type="spellStart"/>
      <w:r w:rsidRPr="00174975">
        <w:rPr>
          <w:rFonts w:ascii="Verdana" w:hAnsi="Verdana"/>
          <w:sz w:val="16"/>
          <w:szCs w:val="16"/>
        </w:rPr>
        <w:t>Mayerli</w:t>
      </w:r>
      <w:proofErr w:type="spellEnd"/>
      <w:r w:rsidRPr="00174975">
        <w:rPr>
          <w:rFonts w:ascii="Verdana" w:hAnsi="Verdana"/>
          <w:sz w:val="16"/>
          <w:szCs w:val="16"/>
        </w:rPr>
        <w:t xml:space="preserve"> Chamorro (No. </w:t>
      </w:r>
      <w:proofErr w:type="spellStart"/>
      <w:r w:rsidRPr="00174975">
        <w:rPr>
          <w:rFonts w:ascii="Verdana" w:hAnsi="Verdana"/>
          <w:sz w:val="16"/>
          <w:szCs w:val="16"/>
        </w:rPr>
        <w:t>Cur</w:t>
      </w:r>
      <w:proofErr w:type="spellEnd"/>
      <w:r w:rsidRPr="00174975">
        <w:rPr>
          <w:rFonts w:ascii="Verdana" w:hAnsi="Verdana"/>
          <w:sz w:val="16"/>
          <w:szCs w:val="16"/>
        </w:rPr>
        <w:t xml:space="preserve"> 14127547), Iris Estrella Caicedo Chamorro (No. </w:t>
      </w:r>
      <w:proofErr w:type="spellStart"/>
      <w:r w:rsidRPr="00174975">
        <w:rPr>
          <w:rFonts w:ascii="Verdana" w:hAnsi="Verdana"/>
          <w:sz w:val="16"/>
          <w:szCs w:val="16"/>
        </w:rPr>
        <w:t>Cur</w:t>
      </w:r>
      <w:proofErr w:type="spellEnd"/>
      <w:r w:rsidRPr="00174975">
        <w:rPr>
          <w:rFonts w:ascii="Verdana" w:hAnsi="Verdana"/>
          <w:sz w:val="16"/>
          <w:szCs w:val="16"/>
        </w:rPr>
        <w:t xml:space="preserve"> 14127625), Richard Olmedo Caicedo Rodríguez (No. </w:t>
      </w:r>
      <w:proofErr w:type="spellStart"/>
      <w:r w:rsidRPr="00174975">
        <w:rPr>
          <w:rFonts w:ascii="Verdana" w:hAnsi="Verdana"/>
          <w:sz w:val="16"/>
          <w:szCs w:val="16"/>
        </w:rPr>
        <w:t>Cur</w:t>
      </w:r>
      <w:proofErr w:type="spellEnd"/>
      <w:r w:rsidRPr="00174975">
        <w:rPr>
          <w:rFonts w:ascii="Verdana" w:hAnsi="Verdana"/>
          <w:sz w:val="16"/>
          <w:szCs w:val="16"/>
        </w:rPr>
        <w:t xml:space="preserve"> 14109740), Olmedo German Caicedo Masías (No. </w:t>
      </w:r>
      <w:proofErr w:type="spellStart"/>
      <w:r w:rsidRPr="00174975">
        <w:rPr>
          <w:rFonts w:ascii="Verdana" w:hAnsi="Verdana"/>
          <w:sz w:val="16"/>
          <w:szCs w:val="16"/>
        </w:rPr>
        <w:t>Cur</w:t>
      </w:r>
      <w:proofErr w:type="spellEnd"/>
      <w:r w:rsidRPr="00174975">
        <w:rPr>
          <w:rFonts w:ascii="Verdana" w:hAnsi="Verdana"/>
          <w:sz w:val="16"/>
          <w:szCs w:val="16"/>
        </w:rPr>
        <w:t xml:space="preserve"> 14118796), Christian Eduardo Zambrano </w:t>
      </w:r>
      <w:proofErr w:type="spellStart"/>
      <w:r w:rsidRPr="00174975">
        <w:rPr>
          <w:rFonts w:ascii="Verdana" w:hAnsi="Verdana"/>
          <w:sz w:val="16"/>
          <w:szCs w:val="16"/>
        </w:rPr>
        <w:t>Ruales</w:t>
      </w:r>
      <w:proofErr w:type="spellEnd"/>
      <w:r w:rsidRPr="00174975">
        <w:rPr>
          <w:rFonts w:ascii="Verdana" w:hAnsi="Verdana"/>
          <w:sz w:val="16"/>
          <w:szCs w:val="16"/>
        </w:rPr>
        <w:t xml:space="preserve"> (No. </w:t>
      </w:r>
      <w:proofErr w:type="spellStart"/>
      <w:r w:rsidRPr="00174975">
        <w:rPr>
          <w:rFonts w:ascii="Verdana" w:hAnsi="Verdana"/>
          <w:sz w:val="16"/>
          <w:szCs w:val="16"/>
        </w:rPr>
        <w:t>Cur</w:t>
      </w:r>
      <w:proofErr w:type="spellEnd"/>
      <w:r w:rsidRPr="00174975">
        <w:rPr>
          <w:rFonts w:ascii="Verdana" w:hAnsi="Verdana"/>
          <w:sz w:val="16"/>
          <w:szCs w:val="16"/>
        </w:rPr>
        <w:t xml:space="preserve"> 14121472), Jessica Marlene Baque Rodríguez (No. </w:t>
      </w:r>
      <w:proofErr w:type="spellStart"/>
      <w:r w:rsidRPr="00174975">
        <w:rPr>
          <w:rFonts w:ascii="Verdana" w:hAnsi="Verdana"/>
          <w:sz w:val="16"/>
          <w:szCs w:val="16"/>
        </w:rPr>
        <w:t>Cur</w:t>
      </w:r>
      <w:proofErr w:type="spellEnd"/>
      <w:r w:rsidRPr="00174975">
        <w:rPr>
          <w:rFonts w:ascii="Verdana" w:hAnsi="Verdana"/>
          <w:sz w:val="16"/>
          <w:szCs w:val="16"/>
        </w:rPr>
        <w:t xml:space="preserve"> 14121670), Angel Homero Zambrano Abad (No. </w:t>
      </w:r>
      <w:proofErr w:type="spellStart"/>
      <w:r w:rsidRPr="00174975">
        <w:rPr>
          <w:rFonts w:ascii="Verdana" w:hAnsi="Verdana"/>
          <w:sz w:val="16"/>
          <w:szCs w:val="16"/>
        </w:rPr>
        <w:t>Cur</w:t>
      </w:r>
      <w:proofErr w:type="spellEnd"/>
      <w:r w:rsidRPr="00174975">
        <w:rPr>
          <w:rFonts w:ascii="Verdana" w:hAnsi="Verdana"/>
          <w:sz w:val="16"/>
          <w:szCs w:val="16"/>
        </w:rPr>
        <w:t xml:space="preserve"> 13983857), Johana Elizabeth Zambrano Abad (No. </w:t>
      </w:r>
      <w:proofErr w:type="spellStart"/>
      <w:r w:rsidRPr="00174975">
        <w:rPr>
          <w:rFonts w:ascii="Verdana" w:hAnsi="Verdana"/>
          <w:sz w:val="16"/>
          <w:szCs w:val="16"/>
        </w:rPr>
        <w:t>Cur</w:t>
      </w:r>
      <w:proofErr w:type="spellEnd"/>
      <w:r w:rsidRPr="00174975">
        <w:rPr>
          <w:rFonts w:ascii="Verdana" w:hAnsi="Verdana"/>
          <w:sz w:val="16"/>
          <w:szCs w:val="16"/>
        </w:rPr>
        <w:t xml:space="preserve"> 14125224), Jennifer Karina Zambrano Abad (No. </w:t>
      </w:r>
      <w:proofErr w:type="spellStart"/>
      <w:r w:rsidRPr="00174975">
        <w:rPr>
          <w:rFonts w:ascii="Verdana" w:hAnsi="Verdana"/>
          <w:sz w:val="16"/>
          <w:szCs w:val="16"/>
        </w:rPr>
        <w:t>Cur</w:t>
      </w:r>
      <w:proofErr w:type="spellEnd"/>
      <w:r w:rsidRPr="00174975">
        <w:rPr>
          <w:rFonts w:ascii="Verdana" w:hAnsi="Verdana"/>
          <w:sz w:val="16"/>
          <w:szCs w:val="16"/>
        </w:rPr>
        <w:t xml:space="preserve"> 14208071 y 14697174), y Karen </w:t>
      </w:r>
      <w:proofErr w:type="spellStart"/>
      <w:r w:rsidRPr="00174975">
        <w:rPr>
          <w:rFonts w:ascii="Verdana" w:hAnsi="Verdana"/>
          <w:sz w:val="16"/>
          <w:szCs w:val="16"/>
        </w:rPr>
        <w:t>Lisette</w:t>
      </w:r>
      <w:proofErr w:type="spellEnd"/>
      <w:r w:rsidRPr="00174975">
        <w:rPr>
          <w:rFonts w:ascii="Verdana" w:hAnsi="Verdana"/>
          <w:sz w:val="16"/>
          <w:szCs w:val="16"/>
        </w:rPr>
        <w:t xml:space="preserve"> Zambrano Rodríguez (No. </w:t>
      </w:r>
      <w:proofErr w:type="spellStart"/>
      <w:r w:rsidRPr="00174975">
        <w:rPr>
          <w:rFonts w:ascii="Verdana" w:hAnsi="Verdana"/>
          <w:sz w:val="16"/>
          <w:szCs w:val="16"/>
        </w:rPr>
        <w:t>Cur</w:t>
      </w:r>
      <w:proofErr w:type="spellEnd"/>
      <w:r w:rsidRPr="00174975">
        <w:rPr>
          <w:rFonts w:ascii="Verdana" w:hAnsi="Verdana"/>
          <w:sz w:val="16"/>
          <w:szCs w:val="16"/>
        </w:rPr>
        <w:t xml:space="preserve"> 14125916) (anexos al informe del Estado de 25 de noviembre de 2015)</w:t>
      </w:r>
      <w:r w:rsidR="00CE3D31" w:rsidRPr="00174975">
        <w:rPr>
          <w:rFonts w:ascii="Verdana" w:hAnsi="Verdana"/>
          <w:sz w:val="16"/>
          <w:szCs w:val="16"/>
        </w:rPr>
        <w:t>.</w:t>
      </w:r>
      <w:r w:rsidRPr="00174975">
        <w:rPr>
          <w:rFonts w:ascii="Verdana" w:hAnsi="Verdana"/>
          <w:sz w:val="16"/>
          <w:szCs w:val="16"/>
        </w:rPr>
        <w:t xml:space="preserve"> </w:t>
      </w:r>
    </w:p>
  </w:footnote>
  <w:footnote w:id="37">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174975">
        <w:rPr>
          <w:rFonts w:ascii="Verdana" w:hAnsi="Verdana"/>
          <w:sz w:val="16"/>
          <w:szCs w:val="16"/>
        </w:rPr>
        <w:t>I</w:t>
      </w:r>
      <w:r w:rsidRPr="00174975">
        <w:rPr>
          <w:rFonts w:ascii="Verdana" w:hAnsi="Verdana"/>
          <w:sz w:val="16"/>
          <w:szCs w:val="16"/>
        </w:rPr>
        <w:t>ndicaron que “se encuentra cumpli</w:t>
      </w:r>
      <w:r w:rsidR="006B1D2C" w:rsidRPr="00174975">
        <w:rPr>
          <w:rFonts w:ascii="Verdana" w:hAnsi="Verdana"/>
          <w:sz w:val="16"/>
          <w:szCs w:val="16"/>
        </w:rPr>
        <w:t>d</w:t>
      </w:r>
      <w:r w:rsidRPr="00174975">
        <w:rPr>
          <w:rFonts w:ascii="Verdana" w:hAnsi="Verdana"/>
          <w:sz w:val="16"/>
          <w:szCs w:val="16"/>
        </w:rPr>
        <w:t>a [la] obligación” relativa “al pago de intereses moratorios a favor de los [familiares de las víctimas]”, y que los documentos aportados por el Estado “demostrarían el pago efectuado”. Además</w:t>
      </w:r>
      <w:r w:rsidR="006B1D2C" w:rsidRPr="00174975">
        <w:rPr>
          <w:rFonts w:ascii="Verdana" w:hAnsi="Verdana"/>
          <w:sz w:val="16"/>
          <w:szCs w:val="16"/>
        </w:rPr>
        <w:t>,</w:t>
      </w:r>
      <w:r w:rsidRPr="00174975">
        <w:rPr>
          <w:rFonts w:ascii="Verdana" w:hAnsi="Verdana"/>
          <w:sz w:val="16"/>
          <w:szCs w:val="16"/>
        </w:rPr>
        <w:t xml:space="preserve"> en su escrito de febrero de 2016</w:t>
      </w:r>
      <w:r w:rsidR="006B1D2C" w:rsidRPr="00174975">
        <w:rPr>
          <w:rFonts w:ascii="Verdana" w:hAnsi="Verdana"/>
          <w:sz w:val="16"/>
          <w:szCs w:val="16"/>
        </w:rPr>
        <w:t>, añadieron</w:t>
      </w:r>
      <w:r w:rsidRPr="00174975">
        <w:rPr>
          <w:rFonts w:ascii="Verdana" w:hAnsi="Verdana"/>
          <w:sz w:val="16"/>
          <w:szCs w:val="16"/>
        </w:rPr>
        <w:t xml:space="preserve"> que “los familiares de las víctimas a [esa] fecha no se han quejado de la falta de pagos por valores pendientes en concepto de intereses, por lo cual </w:t>
      </w:r>
      <w:proofErr w:type="gramStart"/>
      <w:r w:rsidRPr="00174975">
        <w:rPr>
          <w:rFonts w:ascii="Verdana" w:hAnsi="Verdana"/>
          <w:sz w:val="16"/>
          <w:szCs w:val="16"/>
        </w:rPr>
        <w:t>p[</w:t>
      </w:r>
      <w:proofErr w:type="spellStart"/>
      <w:proofErr w:type="gramEnd"/>
      <w:r w:rsidRPr="00174975">
        <w:rPr>
          <w:rFonts w:ascii="Verdana" w:hAnsi="Verdana"/>
          <w:sz w:val="16"/>
          <w:szCs w:val="16"/>
        </w:rPr>
        <w:t>ueden</w:t>
      </w:r>
      <w:proofErr w:type="spellEnd"/>
      <w:r w:rsidRPr="00174975">
        <w:rPr>
          <w:rFonts w:ascii="Verdana" w:hAnsi="Verdana"/>
          <w:sz w:val="16"/>
          <w:szCs w:val="16"/>
        </w:rPr>
        <w:t xml:space="preserve">] manifestar que […] estaría cumplida la obligación contenida en el punto resolutivo décimo primero” de la Sentencia. </w:t>
      </w:r>
    </w:p>
  </w:footnote>
  <w:footnote w:id="38">
    <w:p w:rsidR="008535EC" w:rsidRPr="00174975" w:rsidRDefault="008535EC" w:rsidP="00174975">
      <w:pPr>
        <w:pStyle w:val="Textonotapie"/>
        <w:tabs>
          <w:tab w:val="left" w:pos="426"/>
        </w:tabs>
        <w:jc w:val="both"/>
        <w:rPr>
          <w:rFonts w:ascii="Verdana" w:hAnsi="Verdana"/>
          <w:sz w:val="16"/>
          <w:szCs w:val="16"/>
        </w:rPr>
      </w:pPr>
      <w:r w:rsidRPr="00174975">
        <w:rPr>
          <w:rStyle w:val="Refdenotaalpie"/>
          <w:rFonts w:ascii="Verdana" w:hAnsi="Verdana"/>
          <w:sz w:val="16"/>
          <w:szCs w:val="16"/>
        </w:rPr>
        <w:footnoteRef/>
      </w:r>
      <w:r w:rsidRPr="00174975">
        <w:rPr>
          <w:rFonts w:ascii="Verdana" w:hAnsi="Verdana"/>
          <w:sz w:val="16"/>
          <w:szCs w:val="16"/>
        </w:rPr>
        <w:t xml:space="preserve"> </w:t>
      </w:r>
      <w:r w:rsidRPr="00174975">
        <w:rPr>
          <w:rFonts w:ascii="Verdana" w:hAnsi="Verdana"/>
          <w:sz w:val="16"/>
          <w:szCs w:val="16"/>
        </w:rPr>
        <w:tab/>
      </w:r>
      <w:r w:rsidR="00174975">
        <w:rPr>
          <w:rFonts w:ascii="Verdana" w:hAnsi="Verdana"/>
          <w:sz w:val="16"/>
          <w:szCs w:val="16"/>
        </w:rPr>
        <w:t>O</w:t>
      </w:r>
      <w:r w:rsidRPr="00174975">
        <w:rPr>
          <w:rFonts w:ascii="Verdana" w:hAnsi="Verdana"/>
          <w:sz w:val="16"/>
          <w:szCs w:val="16"/>
        </w:rPr>
        <w:t>bservó que</w:t>
      </w:r>
      <w:r w:rsidR="006B1D2C" w:rsidRPr="00174975">
        <w:rPr>
          <w:rFonts w:ascii="Verdana" w:hAnsi="Verdana"/>
          <w:sz w:val="16"/>
          <w:szCs w:val="16"/>
        </w:rPr>
        <w:t>,</w:t>
      </w:r>
      <w:r w:rsidRPr="00174975">
        <w:rPr>
          <w:rFonts w:ascii="Verdana" w:hAnsi="Verdana"/>
          <w:sz w:val="16"/>
          <w:szCs w:val="16"/>
        </w:rPr>
        <w:t xml:space="preserve"> conforme a la documentación presentada por el Estado y lo señalado por los representantes</w:t>
      </w:r>
      <w:r w:rsidR="006B1D2C" w:rsidRPr="00174975">
        <w:rPr>
          <w:rFonts w:ascii="Verdana" w:hAnsi="Verdana"/>
          <w:sz w:val="16"/>
          <w:szCs w:val="16"/>
        </w:rPr>
        <w:t>,</w:t>
      </w:r>
      <w:r w:rsidRPr="00174975">
        <w:rPr>
          <w:rFonts w:ascii="Verdana" w:hAnsi="Verdana"/>
          <w:sz w:val="16"/>
          <w:szCs w:val="16"/>
        </w:rPr>
        <w:t xml:space="preserve"> “[el] pago fue </w:t>
      </w:r>
      <w:proofErr w:type="gramStart"/>
      <w:r w:rsidRPr="00174975">
        <w:rPr>
          <w:rFonts w:ascii="Verdana" w:hAnsi="Verdana"/>
          <w:sz w:val="16"/>
          <w:szCs w:val="16"/>
        </w:rPr>
        <w:t>efectuado[</w:t>
      </w:r>
      <w:proofErr w:type="gramEnd"/>
      <w:r w:rsidRPr="00174975">
        <w:rPr>
          <w:rFonts w:ascii="Verdana" w:hAnsi="Verdana"/>
          <w:sz w:val="16"/>
          <w:szCs w:val="16"/>
        </w:rPr>
        <w:t>,] por lo que este punto habría sido cumplido”.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49D" w:rsidRDefault="00D2749D">
    <w:pPr>
      <w:pStyle w:val="Encabezado"/>
      <w:jc w:val="center"/>
    </w:pPr>
  </w:p>
  <w:p w:rsidR="00D2749D" w:rsidRDefault="00D2749D" w:rsidP="00D2749D">
    <w:pPr>
      <w:pStyle w:val="Encabezado"/>
      <w:jc w:val="center"/>
    </w:pPr>
    <w:r w:rsidRPr="00D2749D">
      <w:rPr>
        <w:rFonts w:ascii="Verdana" w:hAnsi="Verdana"/>
        <w:sz w:val="20"/>
      </w:rPr>
      <w:t>-</w:t>
    </w:r>
    <w:r w:rsidRPr="00D2749D">
      <w:rPr>
        <w:rFonts w:ascii="Verdana" w:hAnsi="Verdana"/>
        <w:sz w:val="20"/>
      </w:rPr>
      <w:fldChar w:fldCharType="begin"/>
    </w:r>
    <w:r w:rsidRPr="00D2749D">
      <w:rPr>
        <w:rFonts w:ascii="Verdana" w:hAnsi="Verdana"/>
        <w:sz w:val="20"/>
      </w:rPr>
      <w:instrText>PAGE   \* MERGEFORMAT</w:instrText>
    </w:r>
    <w:r w:rsidRPr="00D2749D">
      <w:rPr>
        <w:rFonts w:ascii="Verdana" w:hAnsi="Verdana"/>
        <w:sz w:val="20"/>
      </w:rPr>
      <w:fldChar w:fldCharType="separate"/>
    </w:r>
    <w:r w:rsidR="00B03BAC" w:rsidRPr="00B03BAC">
      <w:rPr>
        <w:rFonts w:ascii="Verdana" w:hAnsi="Verdana"/>
        <w:noProof/>
        <w:sz w:val="20"/>
        <w:lang w:val="es-ES"/>
      </w:rPr>
      <w:t>10</w:t>
    </w:r>
    <w:r w:rsidRPr="00D2749D">
      <w:rPr>
        <w:rFonts w:ascii="Verdana" w:hAnsi="Verdana"/>
        <w:sz w:val="20"/>
      </w:rPr>
      <w:fldChar w:fldCharType="end"/>
    </w:r>
    <w:r w:rsidRPr="00D2749D">
      <w:rPr>
        <w:rFonts w:ascii="Verdana" w:hAnsi="Verdana"/>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056DA"/>
    <w:multiLevelType w:val="hybridMultilevel"/>
    <w:tmpl w:val="70D28062"/>
    <w:lvl w:ilvl="0" w:tplc="140A0015">
      <w:start w:val="1"/>
      <w:numFmt w:val="upp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nsid w:val="0CB76B2C"/>
    <w:multiLevelType w:val="hybridMultilevel"/>
    <w:tmpl w:val="49E440BE"/>
    <w:lvl w:ilvl="0" w:tplc="50FA003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57B14D3"/>
    <w:multiLevelType w:val="hybridMultilevel"/>
    <w:tmpl w:val="F0CAFF10"/>
    <w:lvl w:ilvl="0" w:tplc="66AC5D3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nsid w:val="3F445DCE"/>
    <w:multiLevelType w:val="hybridMultilevel"/>
    <w:tmpl w:val="633EC0C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6B9B6D07"/>
    <w:multiLevelType w:val="hybridMultilevel"/>
    <w:tmpl w:val="FF46A4FC"/>
    <w:lvl w:ilvl="0" w:tplc="06263900">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6DE40FAB"/>
    <w:multiLevelType w:val="hybridMultilevel"/>
    <w:tmpl w:val="DAF0E750"/>
    <w:lvl w:ilvl="0" w:tplc="7EAE4038">
      <w:start w:val="1"/>
      <w:numFmt w:val="decimal"/>
      <w:lvlText w:val="%1."/>
      <w:lvlJc w:val="left"/>
      <w:pPr>
        <w:ind w:left="1494"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57A12A2"/>
    <w:multiLevelType w:val="hybridMultilevel"/>
    <w:tmpl w:val="4664C6AC"/>
    <w:lvl w:ilvl="0" w:tplc="97D2B9D2">
      <w:start w:val="1"/>
      <w:numFmt w:val="decimal"/>
      <w:lvlText w:val="%1."/>
      <w:lvlJc w:val="left"/>
      <w:pPr>
        <w:ind w:left="1065" w:hanging="705"/>
      </w:pPr>
      <w:rPr>
        <w:b w:val="0"/>
        <w:i w:val="0"/>
        <w:color w:val="auto"/>
        <w:sz w:val="20"/>
        <w:szCs w:val="20"/>
      </w:rPr>
    </w:lvl>
    <w:lvl w:ilvl="1" w:tplc="140A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E5314E4"/>
    <w:multiLevelType w:val="hybridMultilevel"/>
    <w:tmpl w:val="1096954C"/>
    <w:lvl w:ilvl="0" w:tplc="C6203790">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nsid w:val="7E6D61DF"/>
    <w:multiLevelType w:val="hybridMultilevel"/>
    <w:tmpl w:val="B636B514"/>
    <w:lvl w:ilvl="0" w:tplc="500435DE">
      <w:start w:val="1"/>
      <w:numFmt w:val="decimal"/>
      <w:lvlText w:val="%1."/>
      <w:lvlJc w:val="left"/>
      <w:pPr>
        <w:ind w:left="1080" w:hanging="720"/>
      </w:pPr>
      <w:rPr>
        <w:rFonts w:cs="Times New Roman"/>
        <w:b w:val="0"/>
        <w:i w:val="0"/>
        <w:color w:val="auto"/>
        <w:sz w:val="20"/>
        <w:szCs w:val="20"/>
      </w:rPr>
    </w:lvl>
    <w:lvl w:ilvl="1" w:tplc="04090019">
      <w:start w:val="1"/>
      <w:numFmt w:val="lowerLetter"/>
      <w:lvlText w:val="%2)"/>
      <w:lvlJc w:val="left"/>
      <w:pPr>
        <w:ind w:left="1455" w:hanging="375"/>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4"/>
  </w:num>
  <w:num w:numId="3">
    <w:abstractNumId w:val="7"/>
  </w:num>
  <w:num w:numId="4">
    <w:abstractNumId w:val="5"/>
  </w:num>
  <w:num w:numId="5">
    <w:abstractNumId w:val="3"/>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28C3"/>
    <w:rsid w:val="000171B5"/>
    <w:rsid w:val="000347CB"/>
    <w:rsid w:val="00041881"/>
    <w:rsid w:val="000803E4"/>
    <w:rsid w:val="00081256"/>
    <w:rsid w:val="00082996"/>
    <w:rsid w:val="00095435"/>
    <w:rsid w:val="00095752"/>
    <w:rsid w:val="00096C21"/>
    <w:rsid w:val="000974E1"/>
    <w:rsid w:val="000B4762"/>
    <w:rsid w:val="000C4724"/>
    <w:rsid w:val="000D50CF"/>
    <w:rsid w:val="000D6B3B"/>
    <w:rsid w:val="000E1219"/>
    <w:rsid w:val="000E2A6C"/>
    <w:rsid w:val="000E5764"/>
    <w:rsid w:val="000E6942"/>
    <w:rsid w:val="00101833"/>
    <w:rsid w:val="00102F5E"/>
    <w:rsid w:val="0012218A"/>
    <w:rsid w:val="00124459"/>
    <w:rsid w:val="00125AA0"/>
    <w:rsid w:val="001322FE"/>
    <w:rsid w:val="001414A9"/>
    <w:rsid w:val="001442A8"/>
    <w:rsid w:val="00146F9B"/>
    <w:rsid w:val="00150056"/>
    <w:rsid w:val="00164556"/>
    <w:rsid w:val="00174975"/>
    <w:rsid w:val="001765D4"/>
    <w:rsid w:val="001843D7"/>
    <w:rsid w:val="00192436"/>
    <w:rsid w:val="001B4900"/>
    <w:rsid w:val="001B4F51"/>
    <w:rsid w:val="001B5F4E"/>
    <w:rsid w:val="001F4F08"/>
    <w:rsid w:val="001F7B08"/>
    <w:rsid w:val="0020293A"/>
    <w:rsid w:val="0020592D"/>
    <w:rsid w:val="00213263"/>
    <w:rsid w:val="00217AD0"/>
    <w:rsid w:val="002217B1"/>
    <w:rsid w:val="00225390"/>
    <w:rsid w:val="00230037"/>
    <w:rsid w:val="00231011"/>
    <w:rsid w:val="0024524A"/>
    <w:rsid w:val="002474EE"/>
    <w:rsid w:val="002504E5"/>
    <w:rsid w:val="002538B6"/>
    <w:rsid w:val="002727CE"/>
    <w:rsid w:val="00277E03"/>
    <w:rsid w:val="00281D32"/>
    <w:rsid w:val="002828B5"/>
    <w:rsid w:val="002B1FA4"/>
    <w:rsid w:val="002B5351"/>
    <w:rsid w:val="002C6D05"/>
    <w:rsid w:val="002E636F"/>
    <w:rsid w:val="002F0BE8"/>
    <w:rsid w:val="002F150F"/>
    <w:rsid w:val="0030077C"/>
    <w:rsid w:val="00311B4B"/>
    <w:rsid w:val="00315DAC"/>
    <w:rsid w:val="00326493"/>
    <w:rsid w:val="0033097D"/>
    <w:rsid w:val="00333B15"/>
    <w:rsid w:val="00334A0B"/>
    <w:rsid w:val="003472D2"/>
    <w:rsid w:val="00350D75"/>
    <w:rsid w:val="0035209A"/>
    <w:rsid w:val="00377CDE"/>
    <w:rsid w:val="0038341A"/>
    <w:rsid w:val="003857F8"/>
    <w:rsid w:val="003A4C46"/>
    <w:rsid w:val="003A59A0"/>
    <w:rsid w:val="003B508B"/>
    <w:rsid w:val="003B7375"/>
    <w:rsid w:val="003C240E"/>
    <w:rsid w:val="003C3F9F"/>
    <w:rsid w:val="003E03E9"/>
    <w:rsid w:val="003F6328"/>
    <w:rsid w:val="004117A5"/>
    <w:rsid w:val="00411B18"/>
    <w:rsid w:val="0041755F"/>
    <w:rsid w:val="00425728"/>
    <w:rsid w:val="00432257"/>
    <w:rsid w:val="00437C08"/>
    <w:rsid w:val="00445A42"/>
    <w:rsid w:val="004476EE"/>
    <w:rsid w:val="00461CC5"/>
    <w:rsid w:val="004739AF"/>
    <w:rsid w:val="00482756"/>
    <w:rsid w:val="004A6D85"/>
    <w:rsid w:val="004B1B70"/>
    <w:rsid w:val="004B2438"/>
    <w:rsid w:val="004B6376"/>
    <w:rsid w:val="004D231F"/>
    <w:rsid w:val="004D28EF"/>
    <w:rsid w:val="004D7BFC"/>
    <w:rsid w:val="004E4288"/>
    <w:rsid w:val="00512702"/>
    <w:rsid w:val="00514FFA"/>
    <w:rsid w:val="00532ADF"/>
    <w:rsid w:val="00534925"/>
    <w:rsid w:val="005409FF"/>
    <w:rsid w:val="00547A1A"/>
    <w:rsid w:val="00572BC8"/>
    <w:rsid w:val="005842F8"/>
    <w:rsid w:val="00592F0F"/>
    <w:rsid w:val="005A1337"/>
    <w:rsid w:val="005A72F0"/>
    <w:rsid w:val="005C2594"/>
    <w:rsid w:val="005C4672"/>
    <w:rsid w:val="005D36A0"/>
    <w:rsid w:val="005D4676"/>
    <w:rsid w:val="005E424D"/>
    <w:rsid w:val="005E4791"/>
    <w:rsid w:val="005F3763"/>
    <w:rsid w:val="005F5A99"/>
    <w:rsid w:val="00606C37"/>
    <w:rsid w:val="00611EC9"/>
    <w:rsid w:val="0063519F"/>
    <w:rsid w:val="006440FE"/>
    <w:rsid w:val="00644F37"/>
    <w:rsid w:val="006534C8"/>
    <w:rsid w:val="006831DD"/>
    <w:rsid w:val="00683EA0"/>
    <w:rsid w:val="00685EF6"/>
    <w:rsid w:val="006A6B27"/>
    <w:rsid w:val="006B1D2C"/>
    <w:rsid w:val="006B74A5"/>
    <w:rsid w:val="006C2AA6"/>
    <w:rsid w:val="006C64E4"/>
    <w:rsid w:val="00710B68"/>
    <w:rsid w:val="00711537"/>
    <w:rsid w:val="0071167B"/>
    <w:rsid w:val="0071315E"/>
    <w:rsid w:val="00717030"/>
    <w:rsid w:val="00725630"/>
    <w:rsid w:val="00726114"/>
    <w:rsid w:val="0072764E"/>
    <w:rsid w:val="007419DD"/>
    <w:rsid w:val="007559FB"/>
    <w:rsid w:val="00757F1C"/>
    <w:rsid w:val="00760FB2"/>
    <w:rsid w:val="00766423"/>
    <w:rsid w:val="00767C2A"/>
    <w:rsid w:val="007703F0"/>
    <w:rsid w:val="007924F8"/>
    <w:rsid w:val="00793154"/>
    <w:rsid w:val="0079340B"/>
    <w:rsid w:val="007A57B5"/>
    <w:rsid w:val="007B63C0"/>
    <w:rsid w:val="007B7418"/>
    <w:rsid w:val="007C28C0"/>
    <w:rsid w:val="007D5450"/>
    <w:rsid w:val="007D663E"/>
    <w:rsid w:val="007F0868"/>
    <w:rsid w:val="007F37BF"/>
    <w:rsid w:val="007F4C29"/>
    <w:rsid w:val="00800C07"/>
    <w:rsid w:val="00812C89"/>
    <w:rsid w:val="00816C8A"/>
    <w:rsid w:val="008535EC"/>
    <w:rsid w:val="008549B0"/>
    <w:rsid w:val="00864ACF"/>
    <w:rsid w:val="00873E5E"/>
    <w:rsid w:val="00881CC3"/>
    <w:rsid w:val="008969F7"/>
    <w:rsid w:val="00897850"/>
    <w:rsid w:val="008E04AC"/>
    <w:rsid w:val="008E52E3"/>
    <w:rsid w:val="008F0E7F"/>
    <w:rsid w:val="00905F9B"/>
    <w:rsid w:val="00911D2A"/>
    <w:rsid w:val="00912FFE"/>
    <w:rsid w:val="0091467B"/>
    <w:rsid w:val="00926D17"/>
    <w:rsid w:val="00930AB2"/>
    <w:rsid w:val="00940352"/>
    <w:rsid w:val="00940D7E"/>
    <w:rsid w:val="00951743"/>
    <w:rsid w:val="00963AB6"/>
    <w:rsid w:val="009670A2"/>
    <w:rsid w:val="00967DB1"/>
    <w:rsid w:val="00986EA7"/>
    <w:rsid w:val="009B2C87"/>
    <w:rsid w:val="009D0541"/>
    <w:rsid w:val="009E34FF"/>
    <w:rsid w:val="009F09BE"/>
    <w:rsid w:val="009F7162"/>
    <w:rsid w:val="00A129D1"/>
    <w:rsid w:val="00A1480C"/>
    <w:rsid w:val="00A241E8"/>
    <w:rsid w:val="00A2546E"/>
    <w:rsid w:val="00A37133"/>
    <w:rsid w:val="00A379FB"/>
    <w:rsid w:val="00A41947"/>
    <w:rsid w:val="00A43EA8"/>
    <w:rsid w:val="00A75779"/>
    <w:rsid w:val="00A7698D"/>
    <w:rsid w:val="00A81B59"/>
    <w:rsid w:val="00A86648"/>
    <w:rsid w:val="00A9386B"/>
    <w:rsid w:val="00AA2EB2"/>
    <w:rsid w:val="00AB1188"/>
    <w:rsid w:val="00AE20B0"/>
    <w:rsid w:val="00AE7F2B"/>
    <w:rsid w:val="00B00DC0"/>
    <w:rsid w:val="00B03BAC"/>
    <w:rsid w:val="00B1378F"/>
    <w:rsid w:val="00B20647"/>
    <w:rsid w:val="00B32D89"/>
    <w:rsid w:val="00B52C76"/>
    <w:rsid w:val="00B61358"/>
    <w:rsid w:val="00B67BFF"/>
    <w:rsid w:val="00B90CB2"/>
    <w:rsid w:val="00B929CA"/>
    <w:rsid w:val="00BA3586"/>
    <w:rsid w:val="00BA3FBA"/>
    <w:rsid w:val="00BA78B4"/>
    <w:rsid w:val="00BC179E"/>
    <w:rsid w:val="00BD7BC6"/>
    <w:rsid w:val="00BD7C3F"/>
    <w:rsid w:val="00BE16A8"/>
    <w:rsid w:val="00BE5B89"/>
    <w:rsid w:val="00BF7A26"/>
    <w:rsid w:val="00C07B4C"/>
    <w:rsid w:val="00C17AAD"/>
    <w:rsid w:val="00C17F57"/>
    <w:rsid w:val="00C2032C"/>
    <w:rsid w:val="00C228C3"/>
    <w:rsid w:val="00C24C63"/>
    <w:rsid w:val="00C37626"/>
    <w:rsid w:val="00C42C28"/>
    <w:rsid w:val="00C625E7"/>
    <w:rsid w:val="00C63E05"/>
    <w:rsid w:val="00C65BFD"/>
    <w:rsid w:val="00C71BB5"/>
    <w:rsid w:val="00C7693D"/>
    <w:rsid w:val="00C84D6D"/>
    <w:rsid w:val="00CB34AB"/>
    <w:rsid w:val="00CC299A"/>
    <w:rsid w:val="00CD3A5D"/>
    <w:rsid w:val="00CE3D31"/>
    <w:rsid w:val="00CF5ACC"/>
    <w:rsid w:val="00D0347A"/>
    <w:rsid w:val="00D22757"/>
    <w:rsid w:val="00D2538C"/>
    <w:rsid w:val="00D2749D"/>
    <w:rsid w:val="00D455C7"/>
    <w:rsid w:val="00D46041"/>
    <w:rsid w:val="00D54B83"/>
    <w:rsid w:val="00D840C2"/>
    <w:rsid w:val="00D95929"/>
    <w:rsid w:val="00DA3BB6"/>
    <w:rsid w:val="00DA6EF2"/>
    <w:rsid w:val="00DC29A0"/>
    <w:rsid w:val="00DC54E3"/>
    <w:rsid w:val="00DE018E"/>
    <w:rsid w:val="00DF51D9"/>
    <w:rsid w:val="00E10390"/>
    <w:rsid w:val="00E11B71"/>
    <w:rsid w:val="00E17F2C"/>
    <w:rsid w:val="00E24EE0"/>
    <w:rsid w:val="00E34EFE"/>
    <w:rsid w:val="00E374D3"/>
    <w:rsid w:val="00E470E0"/>
    <w:rsid w:val="00E53026"/>
    <w:rsid w:val="00E5616F"/>
    <w:rsid w:val="00E61276"/>
    <w:rsid w:val="00E63871"/>
    <w:rsid w:val="00E70BC2"/>
    <w:rsid w:val="00E770E6"/>
    <w:rsid w:val="00E8472C"/>
    <w:rsid w:val="00E9599A"/>
    <w:rsid w:val="00E97409"/>
    <w:rsid w:val="00EA2C7A"/>
    <w:rsid w:val="00EB44D4"/>
    <w:rsid w:val="00EB5C3C"/>
    <w:rsid w:val="00EB63D6"/>
    <w:rsid w:val="00ED3720"/>
    <w:rsid w:val="00EE0B46"/>
    <w:rsid w:val="00F01FD1"/>
    <w:rsid w:val="00F12187"/>
    <w:rsid w:val="00F133DC"/>
    <w:rsid w:val="00F15E30"/>
    <w:rsid w:val="00F17964"/>
    <w:rsid w:val="00F21963"/>
    <w:rsid w:val="00F221A0"/>
    <w:rsid w:val="00F3195C"/>
    <w:rsid w:val="00F33BFC"/>
    <w:rsid w:val="00F35346"/>
    <w:rsid w:val="00F44CF7"/>
    <w:rsid w:val="00F47912"/>
    <w:rsid w:val="00F8590E"/>
    <w:rsid w:val="00F9275E"/>
    <w:rsid w:val="00FA3C6C"/>
    <w:rsid w:val="00FC2769"/>
    <w:rsid w:val="00FC4A53"/>
    <w:rsid w:val="00FD36E3"/>
    <w:rsid w:val="00FE1D8B"/>
    <w:rsid w:val="00FF12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B929CA"/>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C228C3"/>
    <w:rPr>
      <w:b/>
      <w:bCs/>
    </w:rPr>
  </w:style>
  <w:style w:type="paragraph" w:styleId="Prrafodelista">
    <w:name w:val="List Paragraph"/>
    <w:aliases w:val="Footnote"/>
    <w:basedOn w:val="Normal"/>
    <w:link w:val="PrrafodelistaCar"/>
    <w:uiPriority w:val="34"/>
    <w:qFormat/>
    <w:rsid w:val="00C228C3"/>
    <w:pPr>
      <w:ind w:left="720"/>
      <w:contextualSpacing/>
    </w:pPr>
    <w:rPr>
      <w:rFonts w:eastAsia="MS Mincho"/>
      <w:lang w:val="es-CR" w:eastAsia="es-CR"/>
    </w:rPr>
  </w:style>
  <w:style w:type="character" w:customStyle="1" w:styleId="PrrafodelistaCar">
    <w:name w:val="Párrafo de lista Car"/>
    <w:aliases w:val="Footnote Car"/>
    <w:link w:val="Prrafodelista"/>
    <w:uiPriority w:val="34"/>
    <w:rsid w:val="00C228C3"/>
    <w:rPr>
      <w:rFonts w:eastAsia="MS Mincho"/>
      <w:lang w:val="es-CR"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C228C3"/>
    <w:pPr>
      <w:spacing w:after="0" w:line="240" w:lineRule="auto"/>
    </w:pPr>
    <w:rPr>
      <w:rFonts w:eastAsia="MS Mincho"/>
      <w:sz w:val="20"/>
      <w:szCs w:val="20"/>
      <w:lang w:val="es-CR"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C228C3"/>
    <w:rPr>
      <w:rFonts w:eastAsia="MS Mincho"/>
      <w:sz w:val="20"/>
      <w:szCs w:val="20"/>
      <w:lang w:val="es-CR" w:eastAsia="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C228C3"/>
    <w:rPr>
      <w:vertAlign w:val="superscript"/>
    </w:rPr>
  </w:style>
  <w:style w:type="character" w:styleId="Refdecomentario">
    <w:name w:val="annotation reference"/>
    <w:uiPriority w:val="99"/>
    <w:semiHidden/>
    <w:unhideWhenUsed/>
    <w:rsid w:val="00C228C3"/>
    <w:rPr>
      <w:sz w:val="16"/>
      <w:szCs w:val="16"/>
    </w:rPr>
  </w:style>
  <w:style w:type="paragraph" w:styleId="Textocomentario">
    <w:name w:val="annotation text"/>
    <w:basedOn w:val="Normal"/>
    <w:link w:val="TextocomentarioCar"/>
    <w:uiPriority w:val="99"/>
    <w:unhideWhenUsed/>
    <w:rsid w:val="00C228C3"/>
    <w:pPr>
      <w:spacing w:line="240" w:lineRule="auto"/>
    </w:pPr>
    <w:rPr>
      <w:rFonts w:eastAsia="MS Mincho"/>
      <w:sz w:val="20"/>
      <w:szCs w:val="20"/>
      <w:lang w:val="es-CR" w:eastAsia="es-CR"/>
    </w:rPr>
  </w:style>
  <w:style w:type="character" w:customStyle="1" w:styleId="TextocomentarioCar">
    <w:name w:val="Texto comentario Car"/>
    <w:link w:val="Textocomentario"/>
    <w:uiPriority w:val="99"/>
    <w:rsid w:val="00C228C3"/>
    <w:rPr>
      <w:rFonts w:eastAsia="MS Mincho"/>
      <w:sz w:val="20"/>
      <w:szCs w:val="20"/>
      <w:lang w:val="es-CR" w:eastAsia="es-CR"/>
    </w:rPr>
  </w:style>
  <w:style w:type="character" w:styleId="Hipervnculo">
    <w:name w:val="Hyperlink"/>
    <w:uiPriority w:val="99"/>
    <w:unhideWhenUsed/>
    <w:rsid w:val="00C228C3"/>
    <w:rPr>
      <w:color w:val="0000FF"/>
      <w:u w:val="single"/>
    </w:rPr>
  </w:style>
  <w:style w:type="paragraph" w:styleId="Textodeglobo">
    <w:name w:val="Balloon Text"/>
    <w:basedOn w:val="Normal"/>
    <w:link w:val="TextodegloboCar"/>
    <w:uiPriority w:val="99"/>
    <w:semiHidden/>
    <w:unhideWhenUsed/>
    <w:rsid w:val="00C228C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228C3"/>
    <w:rPr>
      <w:rFonts w:ascii="Tahoma" w:hAnsi="Tahoma" w:cs="Tahoma"/>
      <w:sz w:val="16"/>
      <w:szCs w:val="16"/>
    </w:rPr>
  </w:style>
  <w:style w:type="paragraph" w:customStyle="1" w:styleId="Default">
    <w:name w:val="Default"/>
    <w:rsid w:val="00C228C3"/>
    <w:pPr>
      <w:autoSpaceDE w:val="0"/>
      <w:autoSpaceDN w:val="0"/>
      <w:adjustRightInd w:val="0"/>
    </w:pPr>
    <w:rPr>
      <w:rFonts w:ascii="Verdana" w:eastAsia="MS Mincho" w:hAnsi="Verdana" w:cs="Verdana"/>
      <w:color w:val="000000"/>
      <w:sz w:val="24"/>
      <w:szCs w:val="24"/>
      <w:lang w:val="es-CR" w:eastAsia="es-CR"/>
    </w:rPr>
  </w:style>
  <w:style w:type="table" w:styleId="Tablaconcuadrcula">
    <w:name w:val="Table Grid"/>
    <w:basedOn w:val="Tablanormal"/>
    <w:uiPriority w:val="59"/>
    <w:rsid w:val="00CD3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F7A26"/>
    <w:rPr>
      <w:rFonts w:eastAsia="Calibri"/>
      <w:b/>
      <w:bCs/>
      <w:lang w:val="en-US" w:eastAsia="en-US"/>
    </w:rPr>
  </w:style>
  <w:style w:type="character" w:customStyle="1" w:styleId="AsuntodelcomentarioCar">
    <w:name w:val="Asunto del comentario Car"/>
    <w:link w:val="Asuntodelcomentario"/>
    <w:uiPriority w:val="99"/>
    <w:semiHidden/>
    <w:rsid w:val="00BF7A26"/>
    <w:rPr>
      <w:rFonts w:eastAsia="MS Mincho"/>
      <w:b/>
      <w:bCs/>
      <w:sz w:val="20"/>
      <w:szCs w:val="20"/>
      <w:lang w:val="es-CR" w:eastAsia="es-CR"/>
    </w:rPr>
  </w:style>
  <w:style w:type="paragraph" w:styleId="Encabezado">
    <w:name w:val="header"/>
    <w:basedOn w:val="Normal"/>
    <w:link w:val="EncabezadoCar"/>
    <w:uiPriority w:val="99"/>
    <w:unhideWhenUsed/>
    <w:rsid w:val="001018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833"/>
  </w:style>
  <w:style w:type="paragraph" w:styleId="Piedepgina">
    <w:name w:val="footer"/>
    <w:basedOn w:val="Normal"/>
    <w:link w:val="PiedepginaCar"/>
    <w:uiPriority w:val="99"/>
    <w:unhideWhenUsed/>
    <w:rsid w:val="001018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833"/>
  </w:style>
  <w:style w:type="paragraph" w:styleId="Revisin">
    <w:name w:val="Revision"/>
    <w:hidden/>
    <w:uiPriority w:val="99"/>
    <w:semiHidden/>
    <w:rsid w:val="007F4C29"/>
    <w:rPr>
      <w:sz w:val="22"/>
      <w:szCs w:val="22"/>
      <w:lang w:val="en-US" w:eastAsia="en-US"/>
    </w:rPr>
  </w:style>
  <w:style w:type="character" w:customStyle="1" w:styleId="Ttulo1Car">
    <w:name w:val="Título 1 Car"/>
    <w:link w:val="Ttulo1"/>
    <w:uiPriority w:val="9"/>
    <w:rsid w:val="00B929CA"/>
    <w:rPr>
      <w:rFonts w:ascii="Cambria" w:eastAsia="MS Gothic" w:hAnsi="Cambria" w:cs="Times New Roman"/>
      <w:b/>
      <w:bCs/>
      <w:color w:val="365F91"/>
      <w:sz w:val="28"/>
      <w:szCs w:val="28"/>
    </w:rPr>
  </w:style>
  <w:style w:type="paragraph" w:styleId="TtulodeTDC">
    <w:name w:val="TOC Heading"/>
    <w:basedOn w:val="Ttulo1"/>
    <w:next w:val="Normal"/>
    <w:uiPriority w:val="39"/>
    <w:semiHidden/>
    <w:unhideWhenUsed/>
    <w:qFormat/>
    <w:rsid w:val="00B929CA"/>
    <w:pPr>
      <w:outlineLvl w:val="9"/>
    </w:pPr>
    <w:rPr>
      <w:lang w:val="es-CR" w:eastAsia="es-CR"/>
    </w:rPr>
  </w:style>
  <w:style w:type="paragraph" w:styleId="TDC1">
    <w:name w:val="toc 1"/>
    <w:basedOn w:val="Normal"/>
    <w:next w:val="Normal"/>
    <w:autoRedefine/>
    <w:uiPriority w:val="39"/>
    <w:unhideWhenUsed/>
    <w:rsid w:val="00B929C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957">
      <w:bodyDiv w:val="1"/>
      <w:marLeft w:val="0"/>
      <w:marRight w:val="0"/>
      <w:marTop w:val="0"/>
      <w:marBottom w:val="0"/>
      <w:divBdr>
        <w:top w:val="none" w:sz="0" w:space="0" w:color="auto"/>
        <w:left w:val="none" w:sz="0" w:space="0" w:color="auto"/>
        <w:bottom w:val="none" w:sz="0" w:space="0" w:color="auto"/>
        <w:right w:val="none" w:sz="0" w:space="0" w:color="auto"/>
      </w:divBdr>
    </w:div>
    <w:div w:id="116532971">
      <w:bodyDiv w:val="1"/>
      <w:marLeft w:val="0"/>
      <w:marRight w:val="0"/>
      <w:marTop w:val="0"/>
      <w:marBottom w:val="0"/>
      <w:divBdr>
        <w:top w:val="none" w:sz="0" w:space="0" w:color="auto"/>
        <w:left w:val="none" w:sz="0" w:space="0" w:color="auto"/>
        <w:bottom w:val="none" w:sz="0" w:space="0" w:color="auto"/>
        <w:right w:val="none" w:sz="0" w:space="0" w:color="auto"/>
      </w:divBdr>
    </w:div>
    <w:div w:id="155995037">
      <w:bodyDiv w:val="1"/>
      <w:marLeft w:val="0"/>
      <w:marRight w:val="0"/>
      <w:marTop w:val="0"/>
      <w:marBottom w:val="0"/>
      <w:divBdr>
        <w:top w:val="none" w:sz="0" w:space="0" w:color="auto"/>
        <w:left w:val="none" w:sz="0" w:space="0" w:color="auto"/>
        <w:bottom w:val="none" w:sz="0" w:space="0" w:color="auto"/>
        <w:right w:val="none" w:sz="0" w:space="0" w:color="auto"/>
      </w:divBdr>
    </w:div>
    <w:div w:id="684013907">
      <w:bodyDiv w:val="1"/>
      <w:marLeft w:val="0"/>
      <w:marRight w:val="0"/>
      <w:marTop w:val="0"/>
      <w:marBottom w:val="0"/>
      <w:divBdr>
        <w:top w:val="none" w:sz="0" w:space="0" w:color="auto"/>
        <w:left w:val="none" w:sz="0" w:space="0" w:color="auto"/>
        <w:bottom w:val="none" w:sz="0" w:space="0" w:color="auto"/>
        <w:right w:val="none" w:sz="0" w:space="0" w:color="auto"/>
      </w:divBdr>
    </w:div>
    <w:div w:id="686637190">
      <w:bodyDiv w:val="1"/>
      <w:marLeft w:val="0"/>
      <w:marRight w:val="0"/>
      <w:marTop w:val="0"/>
      <w:marBottom w:val="0"/>
      <w:divBdr>
        <w:top w:val="none" w:sz="0" w:space="0" w:color="auto"/>
        <w:left w:val="none" w:sz="0" w:space="0" w:color="auto"/>
        <w:bottom w:val="none" w:sz="0" w:space="0" w:color="auto"/>
        <w:right w:val="none" w:sz="0" w:space="0" w:color="auto"/>
      </w:divBdr>
    </w:div>
    <w:div w:id="1263104704">
      <w:bodyDiv w:val="1"/>
      <w:marLeft w:val="0"/>
      <w:marRight w:val="0"/>
      <w:marTop w:val="0"/>
      <w:marBottom w:val="0"/>
      <w:divBdr>
        <w:top w:val="none" w:sz="0" w:space="0" w:color="auto"/>
        <w:left w:val="none" w:sz="0" w:space="0" w:color="auto"/>
        <w:bottom w:val="none" w:sz="0" w:space="0" w:color="auto"/>
        <w:right w:val="none" w:sz="0" w:space="0" w:color="auto"/>
      </w:divBdr>
    </w:div>
    <w:div w:id="1339886325">
      <w:bodyDiv w:val="1"/>
      <w:marLeft w:val="0"/>
      <w:marRight w:val="0"/>
      <w:marTop w:val="0"/>
      <w:marBottom w:val="0"/>
      <w:divBdr>
        <w:top w:val="none" w:sz="0" w:space="0" w:color="auto"/>
        <w:left w:val="none" w:sz="0" w:space="0" w:color="auto"/>
        <w:bottom w:val="none" w:sz="0" w:space="0" w:color="auto"/>
        <w:right w:val="none" w:sz="0" w:space="0" w:color="auto"/>
      </w:divBdr>
    </w:div>
    <w:div w:id="1350061882">
      <w:bodyDiv w:val="1"/>
      <w:marLeft w:val="0"/>
      <w:marRight w:val="0"/>
      <w:marTop w:val="0"/>
      <w:marBottom w:val="0"/>
      <w:divBdr>
        <w:top w:val="none" w:sz="0" w:space="0" w:color="auto"/>
        <w:left w:val="none" w:sz="0" w:space="0" w:color="auto"/>
        <w:bottom w:val="none" w:sz="0" w:space="0" w:color="auto"/>
        <w:right w:val="none" w:sz="0" w:space="0" w:color="auto"/>
      </w:divBdr>
    </w:div>
    <w:div w:id="15777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zambrano_23_11_10.pdf" TargetMode="External"/><Relationship Id="rId2" Type="http://schemas.openxmlformats.org/officeDocument/2006/relationships/hyperlink" Target="http://www.corteidh.or.cr/docs/supervisiones/zambrano_21_09_09.pdf" TargetMode="External"/><Relationship Id="rId1" Type="http://schemas.openxmlformats.org/officeDocument/2006/relationships/hyperlink" Target="http://www.corteidh.or.cr/docs/casos/articulos/seriec_166_esp1.pdf" TargetMode="External"/><Relationship Id="rId4" Type="http://schemas.openxmlformats.org/officeDocument/2006/relationships/hyperlink" Target="http://www.corteidh.or.cr/docs/supervisiones/zambrano_22_05_0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CE6D-C99E-40F0-9B9E-EA0A8F13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3406</Words>
  <Characters>18738</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22100</CharactersWithSpaces>
  <SharedDoc>false</SharedDoc>
  <HLinks>
    <vt:vector size="24" baseType="variant">
      <vt:variant>
        <vt:i4>8192078</vt:i4>
      </vt:variant>
      <vt:variant>
        <vt:i4>9</vt:i4>
      </vt:variant>
      <vt:variant>
        <vt:i4>0</vt:i4>
      </vt:variant>
      <vt:variant>
        <vt:i4>5</vt:i4>
      </vt:variant>
      <vt:variant>
        <vt:lpwstr>http://www.corteidh.or.cr/docs/supervisiones/zambrano_22_05_09.pdf</vt:lpwstr>
      </vt:variant>
      <vt:variant>
        <vt:lpwstr/>
      </vt:variant>
      <vt:variant>
        <vt:i4>7602251</vt:i4>
      </vt:variant>
      <vt:variant>
        <vt:i4>6</vt:i4>
      </vt:variant>
      <vt:variant>
        <vt:i4>0</vt:i4>
      </vt:variant>
      <vt:variant>
        <vt:i4>5</vt:i4>
      </vt:variant>
      <vt:variant>
        <vt:lpwstr>http://www.corteidh.or.cr/docs/supervisiones/zambrano_23_11_10.pdf</vt:lpwstr>
      </vt:variant>
      <vt:variant>
        <vt:lpwstr/>
      </vt:variant>
      <vt:variant>
        <vt:i4>8257602</vt:i4>
      </vt:variant>
      <vt:variant>
        <vt:i4>3</vt:i4>
      </vt:variant>
      <vt:variant>
        <vt:i4>0</vt:i4>
      </vt:variant>
      <vt:variant>
        <vt:i4>5</vt:i4>
      </vt:variant>
      <vt:variant>
        <vt:lpwstr>http://www.corteidh.or.cr/docs/supervisiones/zambrano_21_09_09.pdf</vt:lpwstr>
      </vt:variant>
      <vt:variant>
        <vt:lpwstr/>
      </vt:variant>
      <vt:variant>
        <vt:i4>3866729</vt:i4>
      </vt:variant>
      <vt:variant>
        <vt:i4>0</vt:i4>
      </vt:variant>
      <vt:variant>
        <vt:i4>0</vt:i4>
      </vt:variant>
      <vt:variant>
        <vt:i4>5</vt:i4>
      </vt:variant>
      <vt:variant>
        <vt:lpwstr>http://www.corteidh.or.cr/docs/casos/articulos/seriec_166_esp1.pdf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2017-07-28T20:56:00Z</cp:lastPrinted>
  <dcterms:created xsi:type="dcterms:W3CDTF">2017-07-28T20:55:00Z</dcterms:created>
  <dcterms:modified xsi:type="dcterms:W3CDTF">2017-07-28T20:56:00Z</dcterms:modified>
</cp:coreProperties>
</file>