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704" w:rsidRDefault="00D11704" w:rsidP="00855A3F">
      <w:pPr>
        <w:tabs>
          <w:tab w:val="left" w:pos="567"/>
        </w:tabs>
        <w:spacing w:after="0" w:line="240" w:lineRule="auto"/>
        <w:jc w:val="center"/>
        <w:rPr>
          <w:rFonts w:ascii="Verdana" w:eastAsia="Times New Roman" w:hAnsi="Verdana" w:cs="Verdana"/>
          <w:b/>
          <w:bCs/>
          <w:caps/>
          <w:snapToGrid w:val="0"/>
          <w:sz w:val="20"/>
          <w:szCs w:val="20"/>
          <w:lang w:eastAsia="es-ES"/>
        </w:rPr>
      </w:pPr>
    </w:p>
    <w:p w:rsidR="0075315F" w:rsidRPr="006A22BE" w:rsidRDefault="0075315F" w:rsidP="00855A3F">
      <w:pPr>
        <w:tabs>
          <w:tab w:val="left" w:pos="567"/>
        </w:tabs>
        <w:spacing w:after="0" w:line="240" w:lineRule="auto"/>
        <w:jc w:val="center"/>
        <w:rPr>
          <w:rFonts w:ascii="Verdana" w:eastAsia="Times New Roman" w:hAnsi="Verdana" w:cs="Verdana"/>
          <w:b/>
          <w:bCs/>
          <w:caps/>
          <w:snapToGrid w:val="0"/>
          <w:sz w:val="20"/>
          <w:szCs w:val="20"/>
          <w:lang w:eastAsia="es-ES"/>
        </w:rPr>
      </w:pPr>
      <w:r w:rsidRPr="006A22BE">
        <w:rPr>
          <w:rFonts w:ascii="Verdana" w:eastAsia="Times New Roman" w:hAnsi="Verdana" w:cs="Verdana"/>
          <w:b/>
          <w:bCs/>
          <w:caps/>
          <w:snapToGrid w:val="0"/>
          <w:sz w:val="20"/>
          <w:szCs w:val="20"/>
          <w:lang w:eastAsia="es-ES"/>
        </w:rPr>
        <w:t>Corte Interamericana de Derechos Humanos</w:t>
      </w:r>
    </w:p>
    <w:p w:rsidR="008879AA" w:rsidRDefault="008879AA" w:rsidP="00855A3F">
      <w:pPr>
        <w:tabs>
          <w:tab w:val="left" w:pos="567"/>
        </w:tabs>
        <w:spacing w:after="0" w:line="240" w:lineRule="auto"/>
        <w:jc w:val="center"/>
        <w:rPr>
          <w:rFonts w:ascii="Verdana" w:eastAsia="Times New Roman" w:hAnsi="Verdana" w:cs="Verdana"/>
          <w:b/>
          <w:bCs/>
          <w:caps/>
          <w:snapToGrid w:val="0"/>
          <w:sz w:val="20"/>
          <w:szCs w:val="20"/>
          <w:lang w:eastAsia="es-ES"/>
        </w:rPr>
      </w:pPr>
    </w:p>
    <w:p w:rsidR="008879AA" w:rsidRDefault="008879AA" w:rsidP="00855A3F">
      <w:pPr>
        <w:tabs>
          <w:tab w:val="left" w:pos="567"/>
        </w:tabs>
        <w:spacing w:after="0" w:line="240" w:lineRule="auto"/>
        <w:jc w:val="center"/>
        <w:rPr>
          <w:rFonts w:ascii="Verdana" w:eastAsia="Times New Roman" w:hAnsi="Verdana" w:cs="Verdana"/>
          <w:b/>
          <w:bCs/>
          <w:caps/>
          <w:snapToGrid w:val="0"/>
          <w:sz w:val="20"/>
          <w:szCs w:val="20"/>
          <w:lang w:eastAsia="es-ES"/>
        </w:rPr>
      </w:pPr>
    </w:p>
    <w:p w:rsidR="00D253AC" w:rsidRPr="006F5C9F" w:rsidRDefault="00D253AC" w:rsidP="00D253AC">
      <w:pPr>
        <w:jc w:val="center"/>
        <w:rPr>
          <w:rFonts w:ascii="Verdana" w:hAnsi="Verdana"/>
          <w:b/>
          <w:smallCaps/>
          <w:sz w:val="20"/>
        </w:rPr>
      </w:pPr>
      <w:r w:rsidRPr="006F5C9F">
        <w:rPr>
          <w:rFonts w:ascii="Verdana" w:hAnsi="Verdana"/>
          <w:b/>
          <w:smallCaps/>
          <w:sz w:val="20"/>
        </w:rPr>
        <w:t xml:space="preserve">CASO DE LA CORTE SUPREMA DE JUSTICIA (QUINTANA COELLO Y OTROS) </w:t>
      </w:r>
      <w:r w:rsidRPr="006F5C9F">
        <w:rPr>
          <w:rFonts w:ascii="Verdana" w:hAnsi="Verdana"/>
          <w:b/>
          <w:i/>
          <w:smallCaps/>
          <w:sz w:val="20"/>
        </w:rPr>
        <w:t>VS.</w:t>
      </w:r>
      <w:r w:rsidRPr="006F5C9F">
        <w:rPr>
          <w:rFonts w:ascii="Verdana" w:hAnsi="Verdana"/>
          <w:b/>
          <w:smallCaps/>
          <w:sz w:val="20"/>
        </w:rPr>
        <w:t xml:space="preserve"> ECUADOR</w:t>
      </w:r>
    </w:p>
    <w:p w:rsidR="008879AA" w:rsidRDefault="008879AA" w:rsidP="00855A3F">
      <w:pPr>
        <w:tabs>
          <w:tab w:val="left" w:pos="0"/>
          <w:tab w:val="left" w:pos="567"/>
        </w:tabs>
        <w:spacing w:after="0" w:line="240" w:lineRule="auto"/>
        <w:jc w:val="center"/>
        <w:rPr>
          <w:rFonts w:ascii="Verdana" w:eastAsia="Times New Roman" w:hAnsi="Verdana" w:cs="Verdana"/>
          <w:b/>
          <w:bCs/>
          <w:snapToGrid w:val="0"/>
          <w:sz w:val="20"/>
          <w:szCs w:val="20"/>
          <w:lang w:eastAsia="es-ES"/>
        </w:rPr>
      </w:pPr>
    </w:p>
    <w:p w:rsidR="00935358" w:rsidRPr="006A22BE" w:rsidRDefault="00935358" w:rsidP="00855A3F">
      <w:pPr>
        <w:tabs>
          <w:tab w:val="left" w:pos="0"/>
          <w:tab w:val="left" w:pos="567"/>
        </w:tabs>
        <w:spacing w:after="0" w:line="240" w:lineRule="auto"/>
        <w:jc w:val="center"/>
        <w:rPr>
          <w:rFonts w:ascii="Verdana" w:eastAsia="Times New Roman" w:hAnsi="Verdana"/>
          <w:b/>
          <w:bCs/>
          <w:caps/>
          <w:snapToGrid w:val="0"/>
          <w:sz w:val="20"/>
          <w:szCs w:val="20"/>
          <w:lang w:eastAsia="es-ES"/>
        </w:rPr>
      </w:pPr>
      <w:r w:rsidRPr="006A22BE">
        <w:rPr>
          <w:rFonts w:ascii="Verdana" w:eastAsia="Times New Roman" w:hAnsi="Verdana" w:cs="Verdana"/>
          <w:b/>
          <w:bCs/>
          <w:snapToGrid w:val="0"/>
          <w:sz w:val="20"/>
          <w:szCs w:val="20"/>
          <w:lang w:eastAsia="es-ES"/>
        </w:rPr>
        <w:t xml:space="preserve">SENTENCIA DE </w:t>
      </w:r>
      <w:r w:rsidR="00EA4966">
        <w:rPr>
          <w:rFonts w:ascii="Verdana" w:eastAsia="Times New Roman" w:hAnsi="Verdana" w:cs="Verdana"/>
          <w:b/>
          <w:bCs/>
          <w:snapToGrid w:val="0"/>
          <w:sz w:val="20"/>
          <w:szCs w:val="20"/>
          <w:lang w:eastAsia="es-ES"/>
        </w:rPr>
        <w:t>21</w:t>
      </w:r>
      <w:r w:rsidRPr="006A22BE">
        <w:rPr>
          <w:rFonts w:ascii="Verdana" w:eastAsia="Times New Roman" w:hAnsi="Verdana" w:cs="Verdana"/>
          <w:b/>
          <w:bCs/>
          <w:snapToGrid w:val="0"/>
          <w:sz w:val="20"/>
          <w:szCs w:val="20"/>
          <w:lang w:eastAsia="es-ES"/>
        </w:rPr>
        <w:t xml:space="preserve"> DE AGOSTO DE 201</w:t>
      </w:r>
      <w:r w:rsidR="00D253AC">
        <w:rPr>
          <w:rFonts w:ascii="Verdana" w:eastAsia="Times New Roman" w:hAnsi="Verdana" w:cs="Verdana"/>
          <w:b/>
          <w:bCs/>
          <w:snapToGrid w:val="0"/>
          <w:sz w:val="20"/>
          <w:szCs w:val="20"/>
          <w:lang w:eastAsia="es-ES"/>
        </w:rPr>
        <w:t>4</w:t>
      </w:r>
    </w:p>
    <w:p w:rsidR="00D253AC" w:rsidRPr="00D253AC" w:rsidRDefault="00935358" w:rsidP="00D253AC">
      <w:pPr>
        <w:tabs>
          <w:tab w:val="left" w:pos="567"/>
        </w:tabs>
        <w:spacing w:after="0" w:line="240" w:lineRule="auto"/>
        <w:jc w:val="center"/>
        <w:rPr>
          <w:rFonts w:ascii="Verdana" w:eastAsia="Times New Roman" w:hAnsi="Verdana"/>
          <w:sz w:val="20"/>
          <w:szCs w:val="20"/>
        </w:rPr>
      </w:pPr>
      <w:r w:rsidRPr="00D253AC">
        <w:rPr>
          <w:rFonts w:ascii="Verdana" w:eastAsia="Times New Roman" w:hAnsi="Verdana" w:cs="Verdana"/>
          <w:b/>
          <w:bCs/>
          <w:i/>
          <w:iCs/>
          <w:snapToGrid w:val="0"/>
          <w:sz w:val="20"/>
          <w:szCs w:val="20"/>
          <w:lang w:eastAsia="es-ES"/>
        </w:rPr>
        <w:t>(</w:t>
      </w:r>
      <w:r w:rsidR="00C97C53" w:rsidRPr="00D253AC">
        <w:rPr>
          <w:rFonts w:ascii="Verdana" w:eastAsia="Times New Roman" w:hAnsi="Verdana" w:cs="Verdana"/>
          <w:b/>
          <w:bCs/>
          <w:i/>
          <w:iCs/>
          <w:snapToGrid w:val="0"/>
          <w:sz w:val="20"/>
          <w:szCs w:val="20"/>
          <w:lang w:eastAsia="es-ES"/>
        </w:rPr>
        <w:t xml:space="preserve">Interpretación de la Sentencia </w:t>
      </w:r>
      <w:r w:rsidR="00D253AC" w:rsidRPr="00D253AC">
        <w:rPr>
          <w:rFonts w:ascii="Verdana" w:eastAsia="Times New Roman" w:hAnsi="Verdana" w:cs="Verdana"/>
          <w:b/>
          <w:bCs/>
          <w:i/>
          <w:iCs/>
          <w:snapToGrid w:val="0"/>
          <w:sz w:val="20"/>
          <w:szCs w:val="20"/>
          <w:lang w:eastAsia="es-ES"/>
        </w:rPr>
        <w:t xml:space="preserve">de </w:t>
      </w:r>
      <w:r w:rsidR="00D253AC" w:rsidRPr="00D253AC">
        <w:rPr>
          <w:rFonts w:ascii="Verdana" w:hAnsi="Verdana"/>
          <w:b/>
          <w:i/>
          <w:snapToGrid w:val="0"/>
          <w:sz w:val="20"/>
          <w:szCs w:val="20"/>
        </w:rPr>
        <w:t>Excepción Preliminar, Fondo, Reparaciones y Costas</w:t>
      </w:r>
      <w:r w:rsidR="00D253AC" w:rsidRPr="00D253AC">
        <w:rPr>
          <w:rFonts w:ascii="Verdana" w:hAnsi="Verdana"/>
          <w:b/>
          <w:i/>
          <w:caps/>
          <w:snapToGrid w:val="0"/>
          <w:sz w:val="20"/>
          <w:szCs w:val="20"/>
        </w:rPr>
        <w:t>)</w:t>
      </w:r>
    </w:p>
    <w:p w:rsidR="00F9710A" w:rsidRPr="006A22BE" w:rsidRDefault="00F9710A" w:rsidP="00855A3F">
      <w:pPr>
        <w:tabs>
          <w:tab w:val="left" w:pos="567"/>
          <w:tab w:val="left" w:pos="720"/>
        </w:tabs>
        <w:spacing w:after="0" w:line="240" w:lineRule="auto"/>
        <w:jc w:val="both"/>
        <w:rPr>
          <w:rFonts w:ascii="Verdana" w:eastAsia="Times New Roman" w:hAnsi="Verdana"/>
          <w:sz w:val="20"/>
          <w:szCs w:val="20"/>
        </w:rPr>
      </w:pPr>
    </w:p>
    <w:p w:rsidR="003C67B7" w:rsidRPr="003C67B7" w:rsidRDefault="003C67B7" w:rsidP="003C67B7">
      <w:pPr>
        <w:spacing w:after="0" w:line="240" w:lineRule="auto"/>
        <w:rPr>
          <w:rFonts w:ascii="Verdana" w:hAnsi="Verdana"/>
          <w:sz w:val="20"/>
          <w:szCs w:val="20"/>
          <w:highlight w:val="yellow"/>
        </w:rPr>
      </w:pPr>
    </w:p>
    <w:p w:rsidR="003C67B7" w:rsidRPr="003C67B7" w:rsidRDefault="003C67B7" w:rsidP="003C67B7">
      <w:pPr>
        <w:spacing w:after="0" w:line="240" w:lineRule="auto"/>
        <w:rPr>
          <w:rFonts w:ascii="Verdana" w:hAnsi="Verdana"/>
          <w:sz w:val="20"/>
          <w:szCs w:val="20"/>
        </w:rPr>
      </w:pPr>
      <w:r w:rsidRPr="003C67B7">
        <w:rPr>
          <w:rFonts w:ascii="Verdana" w:hAnsi="Verdana"/>
          <w:sz w:val="20"/>
          <w:szCs w:val="20"/>
        </w:rPr>
        <w:t xml:space="preserve">En el caso </w:t>
      </w:r>
      <w:r w:rsidR="00172A95">
        <w:rPr>
          <w:rFonts w:ascii="Verdana" w:hAnsi="Verdana"/>
          <w:sz w:val="20"/>
          <w:szCs w:val="20"/>
        </w:rPr>
        <w:t xml:space="preserve">de la </w:t>
      </w:r>
      <w:r w:rsidRPr="003C67B7">
        <w:rPr>
          <w:rFonts w:ascii="Verdana" w:hAnsi="Verdana"/>
          <w:i/>
          <w:sz w:val="20"/>
          <w:szCs w:val="20"/>
        </w:rPr>
        <w:t>Corte Suprema de Justicia (Quintana Coello y otros)</w:t>
      </w:r>
      <w:r w:rsidRPr="003C67B7">
        <w:rPr>
          <w:rFonts w:ascii="Verdana" w:hAnsi="Verdana"/>
          <w:sz w:val="20"/>
          <w:szCs w:val="20"/>
        </w:rPr>
        <w:t>,</w:t>
      </w:r>
      <w:r w:rsidRPr="003C67B7">
        <w:rPr>
          <w:rFonts w:ascii="Verdana" w:hAnsi="Verdana"/>
          <w:sz w:val="20"/>
          <w:szCs w:val="20"/>
        </w:rPr>
        <w:tab/>
      </w:r>
    </w:p>
    <w:p w:rsidR="003C67B7" w:rsidRPr="003C67B7" w:rsidRDefault="003C67B7" w:rsidP="003C67B7">
      <w:pPr>
        <w:tabs>
          <w:tab w:val="left" w:pos="851"/>
        </w:tabs>
        <w:spacing w:after="0" w:line="240" w:lineRule="auto"/>
        <w:rPr>
          <w:rFonts w:ascii="Verdana" w:hAnsi="Verdana"/>
          <w:sz w:val="20"/>
          <w:szCs w:val="20"/>
        </w:rPr>
      </w:pPr>
    </w:p>
    <w:p w:rsidR="003C67B7" w:rsidRPr="003C67B7" w:rsidRDefault="003C67B7" w:rsidP="003C67B7">
      <w:pPr>
        <w:tabs>
          <w:tab w:val="left" w:pos="851"/>
        </w:tabs>
        <w:spacing w:after="0" w:line="240" w:lineRule="auto"/>
        <w:rPr>
          <w:rFonts w:ascii="Verdana" w:hAnsi="Verdana"/>
          <w:sz w:val="20"/>
          <w:szCs w:val="20"/>
        </w:rPr>
      </w:pPr>
      <w:proofErr w:type="gramStart"/>
      <w:r w:rsidRPr="003C67B7">
        <w:rPr>
          <w:rFonts w:ascii="Verdana" w:hAnsi="Verdana"/>
          <w:sz w:val="20"/>
          <w:szCs w:val="20"/>
        </w:rPr>
        <w:t>la</w:t>
      </w:r>
      <w:proofErr w:type="gramEnd"/>
      <w:r w:rsidRPr="003C67B7">
        <w:rPr>
          <w:rFonts w:ascii="Verdana" w:hAnsi="Verdana"/>
          <w:sz w:val="20"/>
          <w:szCs w:val="20"/>
        </w:rPr>
        <w:t xml:space="preserve"> Corte Interamericana de Derechos Humanos (en adelante “la Corte Interamericana”, “la Corte” o “el Tribunal”), integrada por los siguientes jueces</w:t>
      </w:r>
      <w:r w:rsidR="00E761FE">
        <w:rPr>
          <w:rStyle w:val="Refdenotaalpie"/>
          <w:rFonts w:ascii="Verdana" w:hAnsi="Verdana"/>
          <w:sz w:val="20"/>
          <w:szCs w:val="20"/>
        </w:rPr>
        <w:footnoteReference w:id="1"/>
      </w:r>
      <w:r w:rsidRPr="003C67B7">
        <w:rPr>
          <w:rFonts w:ascii="Verdana" w:hAnsi="Verdana"/>
          <w:sz w:val="20"/>
          <w:szCs w:val="20"/>
        </w:rPr>
        <w:t>:</w:t>
      </w:r>
    </w:p>
    <w:p w:rsidR="003C67B7" w:rsidRPr="003C67B7" w:rsidRDefault="003C67B7" w:rsidP="003C67B7">
      <w:pPr>
        <w:tabs>
          <w:tab w:val="left" w:pos="851"/>
        </w:tabs>
        <w:spacing w:after="0" w:line="240" w:lineRule="auto"/>
        <w:rPr>
          <w:rFonts w:ascii="Verdana" w:hAnsi="Verdana"/>
          <w:sz w:val="20"/>
          <w:szCs w:val="20"/>
        </w:rPr>
      </w:pPr>
    </w:p>
    <w:p w:rsidR="00E761FE" w:rsidRPr="00E761FE" w:rsidRDefault="00E761FE" w:rsidP="00E761FE">
      <w:pPr>
        <w:spacing w:after="0" w:line="240" w:lineRule="auto"/>
        <w:ind w:firstLine="720"/>
        <w:jc w:val="both"/>
        <w:rPr>
          <w:rFonts w:ascii="Verdana" w:hAnsi="Verdana" w:cs="Verdana"/>
          <w:sz w:val="20"/>
          <w:szCs w:val="20"/>
          <w:lang w:val="es-AR"/>
        </w:rPr>
      </w:pPr>
      <w:r w:rsidRPr="00E761FE">
        <w:rPr>
          <w:rFonts w:ascii="Verdana" w:hAnsi="Verdana" w:cs="Verdana"/>
          <w:sz w:val="20"/>
          <w:szCs w:val="20"/>
          <w:lang w:val="es-AR"/>
        </w:rPr>
        <w:t>Humberto Antonio Sierra Porto, Presidente;</w:t>
      </w:r>
    </w:p>
    <w:p w:rsidR="00E761FE" w:rsidRPr="00E761FE" w:rsidRDefault="00E761FE" w:rsidP="00E761FE">
      <w:pPr>
        <w:spacing w:after="0" w:line="240" w:lineRule="auto"/>
        <w:ind w:firstLine="720"/>
        <w:jc w:val="both"/>
        <w:rPr>
          <w:rFonts w:ascii="Verdana" w:hAnsi="Verdana" w:cs="Verdana"/>
          <w:sz w:val="20"/>
          <w:szCs w:val="20"/>
          <w:lang w:val="es-AR"/>
        </w:rPr>
      </w:pPr>
      <w:r w:rsidRPr="00E761FE">
        <w:rPr>
          <w:rFonts w:ascii="Verdana" w:hAnsi="Verdana" w:cs="Verdana"/>
          <w:sz w:val="20"/>
          <w:szCs w:val="20"/>
          <w:lang w:val="es-AR"/>
        </w:rPr>
        <w:t>Roberto F. Caldas, Vicepresidente;</w:t>
      </w:r>
    </w:p>
    <w:p w:rsidR="00E761FE" w:rsidRPr="00E761FE" w:rsidRDefault="00E761FE" w:rsidP="00E761FE">
      <w:pPr>
        <w:spacing w:after="0" w:line="240" w:lineRule="auto"/>
        <w:ind w:firstLine="720"/>
        <w:jc w:val="both"/>
        <w:rPr>
          <w:rFonts w:ascii="Verdana" w:hAnsi="Verdana" w:cs="Verdana"/>
          <w:sz w:val="20"/>
          <w:szCs w:val="20"/>
          <w:lang w:val="es-AR"/>
        </w:rPr>
      </w:pPr>
      <w:r w:rsidRPr="00E761FE">
        <w:rPr>
          <w:rFonts w:ascii="Verdana" w:hAnsi="Verdana" w:cs="Verdana"/>
          <w:sz w:val="20"/>
          <w:szCs w:val="20"/>
          <w:lang w:val="es-AR"/>
        </w:rPr>
        <w:t>Manuel E. Ventura Robles, Juez;</w:t>
      </w:r>
    </w:p>
    <w:p w:rsidR="00E761FE" w:rsidRPr="00E761FE" w:rsidRDefault="008879AA" w:rsidP="00E761FE">
      <w:pPr>
        <w:spacing w:after="0" w:line="240" w:lineRule="auto"/>
        <w:ind w:firstLine="720"/>
        <w:jc w:val="both"/>
        <w:rPr>
          <w:rFonts w:ascii="Verdana" w:hAnsi="Verdana" w:cs="Verdana"/>
          <w:sz w:val="20"/>
          <w:szCs w:val="20"/>
        </w:rPr>
      </w:pPr>
      <w:r>
        <w:rPr>
          <w:rFonts w:ascii="Verdana" w:hAnsi="Verdana" w:cs="Verdana"/>
          <w:sz w:val="20"/>
          <w:szCs w:val="20"/>
        </w:rPr>
        <w:t>Eduardo Vio Grossi, Juez,</w:t>
      </w:r>
      <w:r w:rsidR="00E761FE" w:rsidRPr="00E761FE">
        <w:rPr>
          <w:rFonts w:ascii="Verdana" w:hAnsi="Verdana" w:cs="Verdana"/>
          <w:sz w:val="20"/>
          <w:szCs w:val="20"/>
        </w:rPr>
        <w:t xml:space="preserve"> y</w:t>
      </w:r>
    </w:p>
    <w:p w:rsidR="00E761FE" w:rsidRPr="00E761FE" w:rsidRDefault="00E761FE" w:rsidP="00E761FE">
      <w:pPr>
        <w:spacing w:after="0" w:line="240" w:lineRule="auto"/>
        <w:ind w:firstLine="720"/>
        <w:jc w:val="both"/>
        <w:rPr>
          <w:rFonts w:ascii="Verdana" w:hAnsi="Verdana" w:cs="Verdana"/>
          <w:i/>
          <w:sz w:val="20"/>
          <w:szCs w:val="20"/>
          <w:lang w:val="pt-BR"/>
        </w:rPr>
      </w:pPr>
      <w:r w:rsidRPr="00E761FE">
        <w:rPr>
          <w:rFonts w:ascii="Verdana" w:hAnsi="Verdana" w:cs="Verdana"/>
          <w:sz w:val="20"/>
          <w:szCs w:val="20"/>
          <w:lang w:val="pt-BR"/>
        </w:rPr>
        <w:t>Eduardo Ferrer Mac-Gregor Poisot, Juez;</w:t>
      </w:r>
    </w:p>
    <w:p w:rsidR="003C67B7" w:rsidRPr="002E43BB" w:rsidRDefault="003C67B7" w:rsidP="003C67B7">
      <w:pPr>
        <w:tabs>
          <w:tab w:val="left" w:pos="851"/>
        </w:tabs>
        <w:spacing w:after="0" w:line="240" w:lineRule="auto"/>
        <w:rPr>
          <w:rFonts w:ascii="Verdana" w:hAnsi="Verdana"/>
          <w:sz w:val="20"/>
          <w:szCs w:val="20"/>
        </w:rPr>
      </w:pPr>
    </w:p>
    <w:p w:rsidR="003C67B7" w:rsidRPr="003C67B7" w:rsidRDefault="003C67B7" w:rsidP="003C67B7">
      <w:pPr>
        <w:tabs>
          <w:tab w:val="left" w:pos="851"/>
        </w:tabs>
        <w:spacing w:after="0" w:line="240" w:lineRule="auto"/>
        <w:rPr>
          <w:rFonts w:ascii="Verdana" w:hAnsi="Verdana"/>
          <w:sz w:val="20"/>
          <w:szCs w:val="20"/>
        </w:rPr>
      </w:pPr>
      <w:proofErr w:type="gramStart"/>
      <w:r w:rsidRPr="003C67B7">
        <w:rPr>
          <w:rFonts w:ascii="Verdana" w:hAnsi="Verdana"/>
          <w:sz w:val="20"/>
          <w:szCs w:val="20"/>
        </w:rPr>
        <w:t>presentes</w:t>
      </w:r>
      <w:proofErr w:type="gramEnd"/>
      <w:r w:rsidRPr="003C67B7">
        <w:rPr>
          <w:rFonts w:ascii="Verdana" w:hAnsi="Verdana"/>
          <w:sz w:val="20"/>
          <w:szCs w:val="20"/>
        </w:rPr>
        <w:t xml:space="preserve"> además, </w:t>
      </w:r>
    </w:p>
    <w:p w:rsidR="003C67B7" w:rsidRPr="003C67B7" w:rsidRDefault="003C67B7" w:rsidP="003C67B7">
      <w:pPr>
        <w:tabs>
          <w:tab w:val="left" w:pos="851"/>
        </w:tabs>
        <w:spacing w:after="0" w:line="240" w:lineRule="auto"/>
        <w:rPr>
          <w:rFonts w:ascii="Verdana" w:hAnsi="Verdana"/>
          <w:sz w:val="20"/>
          <w:szCs w:val="20"/>
        </w:rPr>
      </w:pPr>
    </w:p>
    <w:p w:rsidR="003C67B7" w:rsidRPr="003C67B7" w:rsidRDefault="003C67B7" w:rsidP="008879AA">
      <w:pPr>
        <w:spacing w:after="0" w:line="240" w:lineRule="auto"/>
        <w:rPr>
          <w:rFonts w:ascii="Verdana" w:hAnsi="Verdana"/>
          <w:sz w:val="20"/>
          <w:szCs w:val="20"/>
        </w:rPr>
      </w:pPr>
      <w:r w:rsidRPr="003C67B7">
        <w:rPr>
          <w:rFonts w:ascii="Verdana" w:hAnsi="Verdana"/>
          <w:sz w:val="20"/>
          <w:szCs w:val="20"/>
        </w:rPr>
        <w:t>Pablo Saavedra Alessandri, Secretario, y</w:t>
      </w:r>
    </w:p>
    <w:p w:rsidR="003C67B7" w:rsidRPr="003C67B7" w:rsidRDefault="003C67B7" w:rsidP="008879AA">
      <w:pPr>
        <w:tabs>
          <w:tab w:val="left" w:pos="720"/>
          <w:tab w:val="left" w:pos="851"/>
        </w:tabs>
        <w:spacing w:after="0" w:line="240" w:lineRule="auto"/>
        <w:rPr>
          <w:rFonts w:ascii="Verdana" w:hAnsi="Verdana"/>
          <w:sz w:val="20"/>
          <w:szCs w:val="20"/>
        </w:rPr>
      </w:pPr>
      <w:r w:rsidRPr="003C67B7">
        <w:rPr>
          <w:rFonts w:ascii="Verdana" w:hAnsi="Verdana"/>
          <w:sz w:val="20"/>
          <w:szCs w:val="20"/>
        </w:rPr>
        <w:t>Emilia Segares Rodríguez, Secretaria Adjunta,</w:t>
      </w:r>
    </w:p>
    <w:p w:rsidR="00B157A2" w:rsidRPr="006A22BE" w:rsidRDefault="00B157A2" w:rsidP="00855A3F">
      <w:pPr>
        <w:tabs>
          <w:tab w:val="left" w:pos="567"/>
        </w:tabs>
        <w:spacing w:after="0" w:line="240" w:lineRule="auto"/>
        <w:jc w:val="center"/>
        <w:rPr>
          <w:rFonts w:ascii="Verdana" w:eastAsia="Times New Roman" w:hAnsi="Verdana" w:cs="Verdana"/>
          <w:b/>
          <w:bCs/>
          <w:caps/>
          <w:snapToGrid w:val="0"/>
          <w:sz w:val="20"/>
          <w:szCs w:val="20"/>
          <w:lang w:eastAsia="es-ES"/>
        </w:rPr>
      </w:pPr>
    </w:p>
    <w:p w:rsidR="00B157A2" w:rsidRDefault="00B157A2" w:rsidP="00855A3F">
      <w:pPr>
        <w:tabs>
          <w:tab w:val="left" w:pos="567"/>
        </w:tabs>
        <w:autoSpaceDE w:val="0"/>
        <w:autoSpaceDN w:val="0"/>
        <w:adjustRightInd w:val="0"/>
        <w:spacing w:after="0" w:line="240" w:lineRule="auto"/>
        <w:jc w:val="both"/>
        <w:rPr>
          <w:rFonts w:ascii="Verdana" w:hAnsi="Verdana" w:cs="Verdana"/>
          <w:sz w:val="20"/>
          <w:szCs w:val="20"/>
        </w:rPr>
      </w:pPr>
      <w:r w:rsidRPr="006A22BE">
        <w:rPr>
          <w:rFonts w:ascii="Verdana" w:hAnsi="Verdana" w:cs="Verdana"/>
          <w:sz w:val="20"/>
          <w:szCs w:val="20"/>
        </w:rPr>
        <w:t>de conformidad con el artículo 67 de la Convención Americana sobre Derechos Humanos (en adelante también “la Convención Americana” o “la Convención”) y el artículo 68 del Reglamento de la Corte</w:t>
      </w:r>
      <w:r w:rsidRPr="006A22BE">
        <w:rPr>
          <w:rFonts w:ascii="Verdana" w:hAnsi="Verdana" w:cs="Verdana"/>
          <w:sz w:val="13"/>
          <w:szCs w:val="13"/>
        </w:rPr>
        <w:t xml:space="preserve"> </w:t>
      </w:r>
      <w:r w:rsidRPr="006A22BE">
        <w:rPr>
          <w:rFonts w:ascii="Verdana" w:hAnsi="Verdana" w:cs="Verdana"/>
          <w:sz w:val="20"/>
          <w:szCs w:val="20"/>
        </w:rPr>
        <w:t xml:space="preserve">(en adelante “el Reglamento”), resuelve la solicitud de interpretación de la Sentencia de fondo, reparaciones y costas emitida por este Tribunal el </w:t>
      </w:r>
      <w:r w:rsidR="00705C2B">
        <w:rPr>
          <w:rFonts w:ascii="Verdana" w:hAnsi="Verdana" w:cs="Verdana"/>
          <w:sz w:val="20"/>
          <w:szCs w:val="20"/>
        </w:rPr>
        <w:t>23 de agosto de 2013</w:t>
      </w:r>
      <w:r w:rsidRPr="006A22BE">
        <w:rPr>
          <w:rFonts w:ascii="Verdana" w:hAnsi="Verdana" w:cs="Verdana"/>
          <w:sz w:val="20"/>
          <w:szCs w:val="20"/>
        </w:rPr>
        <w:t xml:space="preserve"> en el presente caso (en adelante también “la Sentencia”), interpuesta el </w:t>
      </w:r>
      <w:r w:rsidR="00705C2B">
        <w:rPr>
          <w:rFonts w:ascii="Verdana" w:hAnsi="Verdana" w:cs="Verdana"/>
          <w:sz w:val="20"/>
          <w:szCs w:val="20"/>
        </w:rPr>
        <w:t>29 de enero de 2014 por lo</w:t>
      </w:r>
      <w:r w:rsidRPr="006A22BE">
        <w:rPr>
          <w:rFonts w:ascii="Verdana" w:hAnsi="Verdana" w:cs="Verdana"/>
          <w:sz w:val="20"/>
          <w:szCs w:val="20"/>
        </w:rPr>
        <w:t xml:space="preserve">s representantes de las víctimas </w:t>
      </w:r>
      <w:r w:rsidR="00705C2B">
        <w:rPr>
          <w:rFonts w:ascii="Verdana" w:eastAsia="Times" w:hAnsi="Verdana"/>
          <w:bCs/>
          <w:sz w:val="20"/>
          <w:szCs w:val="20"/>
        </w:rPr>
        <w:t>(en adelante “lo</w:t>
      </w:r>
      <w:r w:rsidRPr="006A22BE">
        <w:rPr>
          <w:rFonts w:ascii="Verdana" w:eastAsia="Times" w:hAnsi="Verdana"/>
          <w:bCs/>
          <w:sz w:val="20"/>
          <w:szCs w:val="20"/>
        </w:rPr>
        <w:t>s representantes”)</w:t>
      </w:r>
      <w:r w:rsidRPr="006A22BE">
        <w:rPr>
          <w:rFonts w:ascii="Verdana" w:hAnsi="Verdana" w:cs="Verdana"/>
          <w:sz w:val="20"/>
          <w:szCs w:val="20"/>
        </w:rPr>
        <w:t>.</w:t>
      </w:r>
    </w:p>
    <w:p w:rsidR="00B157A2" w:rsidRPr="008C1169" w:rsidRDefault="00B157A2" w:rsidP="00855A3F">
      <w:pPr>
        <w:tabs>
          <w:tab w:val="left" w:pos="567"/>
        </w:tabs>
        <w:autoSpaceDE w:val="0"/>
        <w:autoSpaceDN w:val="0"/>
        <w:adjustRightInd w:val="0"/>
        <w:spacing w:after="0" w:line="240" w:lineRule="auto"/>
        <w:jc w:val="both"/>
        <w:rPr>
          <w:rFonts w:ascii="Verdana" w:hAnsi="Verdana" w:cs="Verdana"/>
          <w:sz w:val="20"/>
          <w:szCs w:val="20"/>
        </w:rPr>
      </w:pPr>
    </w:p>
    <w:p w:rsidR="00B157A2" w:rsidRPr="006A22BE" w:rsidRDefault="00B157A2" w:rsidP="00855A3F">
      <w:pPr>
        <w:keepNext/>
        <w:tabs>
          <w:tab w:val="left" w:pos="567"/>
        </w:tabs>
        <w:spacing w:after="0" w:line="240" w:lineRule="auto"/>
        <w:jc w:val="center"/>
        <w:outlineLvl w:val="1"/>
        <w:rPr>
          <w:rFonts w:ascii="Verdana" w:eastAsia="Times New Roman" w:hAnsi="Verdana" w:cs="Verdana"/>
          <w:b/>
          <w:bCs/>
          <w:iCs/>
          <w:caps/>
          <w:snapToGrid w:val="0"/>
          <w:sz w:val="20"/>
          <w:szCs w:val="20"/>
          <w:lang w:eastAsia="es-ES"/>
        </w:rPr>
      </w:pPr>
      <w:r w:rsidRPr="006A22BE">
        <w:rPr>
          <w:rFonts w:ascii="Verdana" w:eastAsia="Times New Roman" w:hAnsi="Verdana" w:cs="Verdana"/>
          <w:b/>
          <w:bCs/>
          <w:iCs/>
          <w:caps/>
          <w:snapToGrid w:val="0"/>
          <w:sz w:val="20"/>
          <w:szCs w:val="20"/>
          <w:lang w:eastAsia="es-ES"/>
        </w:rPr>
        <w:t>I</w:t>
      </w:r>
    </w:p>
    <w:p w:rsidR="00B157A2" w:rsidRPr="006A22BE" w:rsidRDefault="00B157A2" w:rsidP="00855A3F">
      <w:pPr>
        <w:tabs>
          <w:tab w:val="left" w:pos="567"/>
        </w:tabs>
        <w:autoSpaceDE w:val="0"/>
        <w:autoSpaceDN w:val="0"/>
        <w:adjustRightInd w:val="0"/>
        <w:spacing w:after="0" w:line="240" w:lineRule="auto"/>
        <w:jc w:val="center"/>
        <w:rPr>
          <w:rFonts w:ascii="Verdana" w:hAnsi="Verdana" w:cs="Verdana"/>
          <w:b/>
          <w:bCs/>
          <w:sz w:val="20"/>
          <w:szCs w:val="20"/>
        </w:rPr>
      </w:pPr>
      <w:r w:rsidRPr="006A22BE">
        <w:rPr>
          <w:rFonts w:ascii="Verdana" w:hAnsi="Verdana" w:cs="Verdana"/>
          <w:b/>
          <w:bCs/>
          <w:sz w:val="20"/>
          <w:szCs w:val="20"/>
        </w:rPr>
        <w:t>SOLICITUD DE INTERPRETACIÓN</w:t>
      </w:r>
    </w:p>
    <w:p w:rsidR="00B157A2" w:rsidRPr="006A22BE" w:rsidRDefault="00B157A2" w:rsidP="002B2280">
      <w:pPr>
        <w:tabs>
          <w:tab w:val="left" w:pos="567"/>
        </w:tabs>
        <w:spacing w:before="100" w:after="0" w:line="240" w:lineRule="auto"/>
        <w:jc w:val="center"/>
        <w:rPr>
          <w:rFonts w:ascii="Verdana" w:eastAsia="Times" w:hAnsi="Verdana"/>
          <w:sz w:val="20"/>
          <w:szCs w:val="20"/>
          <w:lang w:eastAsia="es-ES"/>
        </w:rPr>
      </w:pPr>
      <w:r w:rsidRPr="006A22BE">
        <w:rPr>
          <w:rFonts w:ascii="Verdana" w:hAnsi="Verdana" w:cs="Verdana"/>
          <w:b/>
          <w:bCs/>
          <w:sz w:val="20"/>
          <w:szCs w:val="20"/>
        </w:rPr>
        <w:t>Y PROCEDIMIENTO ANTE LA CORTE</w:t>
      </w:r>
    </w:p>
    <w:p w:rsidR="00B157A2" w:rsidRPr="006A22BE" w:rsidRDefault="00B157A2" w:rsidP="002B2280">
      <w:pPr>
        <w:tabs>
          <w:tab w:val="left" w:pos="567"/>
        </w:tabs>
        <w:spacing w:before="100" w:after="0" w:line="240" w:lineRule="auto"/>
        <w:jc w:val="both"/>
        <w:rPr>
          <w:rFonts w:ascii="Verdana" w:eastAsia="Times" w:hAnsi="Verdana"/>
          <w:sz w:val="20"/>
          <w:szCs w:val="20"/>
        </w:rPr>
      </w:pPr>
    </w:p>
    <w:p w:rsidR="00B157A2" w:rsidRPr="006A22BE" w:rsidRDefault="00B157A2" w:rsidP="002B2280">
      <w:pPr>
        <w:numPr>
          <w:ilvl w:val="0"/>
          <w:numId w:val="1"/>
        </w:numPr>
        <w:tabs>
          <w:tab w:val="left" w:pos="567"/>
          <w:tab w:val="num" w:pos="720"/>
        </w:tabs>
        <w:autoSpaceDE w:val="0"/>
        <w:autoSpaceDN w:val="0"/>
        <w:adjustRightInd w:val="0"/>
        <w:spacing w:before="100" w:after="0" w:line="240" w:lineRule="auto"/>
        <w:jc w:val="both"/>
        <w:rPr>
          <w:rFonts w:ascii="Verdana" w:hAnsi="Verdana" w:cs="Verdana"/>
          <w:sz w:val="20"/>
          <w:szCs w:val="20"/>
        </w:rPr>
      </w:pPr>
      <w:r w:rsidRPr="006A22BE">
        <w:rPr>
          <w:rFonts w:ascii="Verdana" w:hAnsi="Verdana" w:cs="Verdana"/>
          <w:sz w:val="20"/>
          <w:szCs w:val="20"/>
        </w:rPr>
        <w:t xml:space="preserve">El </w:t>
      </w:r>
      <w:r w:rsidR="00705C2B">
        <w:rPr>
          <w:rFonts w:ascii="Verdana" w:hAnsi="Verdana" w:cs="Verdana"/>
          <w:sz w:val="20"/>
          <w:szCs w:val="20"/>
        </w:rPr>
        <w:t>23 de agosto de 2013</w:t>
      </w:r>
      <w:r w:rsidRPr="006A22BE">
        <w:rPr>
          <w:rFonts w:ascii="Verdana" w:eastAsia="Times" w:hAnsi="Verdana"/>
          <w:sz w:val="20"/>
          <w:szCs w:val="20"/>
          <w:lang w:val="es-ES_tradnl"/>
        </w:rPr>
        <w:t xml:space="preserve"> la Corte emitió la Sentencia, la cual fue notificada a las partes y a la Comisión Interamericana de </w:t>
      </w:r>
      <w:r w:rsidRPr="006A22BE">
        <w:rPr>
          <w:rFonts w:ascii="Verdana" w:hAnsi="Verdana" w:cs="Verdana"/>
          <w:sz w:val="20"/>
          <w:szCs w:val="20"/>
        </w:rPr>
        <w:t xml:space="preserve">Derechos Humanos (en adelante “la Comisión Interamericana” o “la Comisión”) </w:t>
      </w:r>
      <w:r w:rsidRPr="006A22BE">
        <w:rPr>
          <w:rFonts w:ascii="Verdana" w:eastAsia="Times" w:hAnsi="Verdana"/>
          <w:sz w:val="20"/>
          <w:szCs w:val="20"/>
          <w:lang w:val="es-ES_tradnl"/>
        </w:rPr>
        <w:t xml:space="preserve">el </w:t>
      </w:r>
      <w:r w:rsidR="00705C2B">
        <w:rPr>
          <w:rFonts w:ascii="Verdana" w:eastAsia="Times" w:hAnsi="Verdana"/>
          <w:sz w:val="20"/>
          <w:szCs w:val="20"/>
          <w:lang w:val="es-ES_tradnl"/>
        </w:rPr>
        <w:t xml:space="preserve">4 de noviembre </w:t>
      </w:r>
      <w:r w:rsidRPr="006A22BE">
        <w:rPr>
          <w:rFonts w:ascii="Verdana" w:eastAsia="Times" w:hAnsi="Verdana"/>
          <w:sz w:val="20"/>
          <w:szCs w:val="20"/>
          <w:lang w:val="es-ES_tradnl"/>
        </w:rPr>
        <w:t>del mismo año.</w:t>
      </w:r>
    </w:p>
    <w:p w:rsidR="00B157A2" w:rsidRPr="006A22BE" w:rsidRDefault="00B157A2" w:rsidP="002B2280">
      <w:pPr>
        <w:tabs>
          <w:tab w:val="left" w:pos="567"/>
        </w:tabs>
        <w:autoSpaceDE w:val="0"/>
        <w:autoSpaceDN w:val="0"/>
        <w:adjustRightInd w:val="0"/>
        <w:spacing w:before="100" w:after="0" w:line="240" w:lineRule="auto"/>
        <w:jc w:val="both"/>
        <w:rPr>
          <w:rFonts w:ascii="Verdana" w:hAnsi="Verdana" w:cs="Verdana"/>
          <w:sz w:val="20"/>
          <w:szCs w:val="20"/>
        </w:rPr>
      </w:pPr>
    </w:p>
    <w:p w:rsidR="00B157A2" w:rsidRPr="00153F10" w:rsidRDefault="006E17CF" w:rsidP="002B2280">
      <w:pPr>
        <w:numPr>
          <w:ilvl w:val="0"/>
          <w:numId w:val="1"/>
        </w:numPr>
        <w:tabs>
          <w:tab w:val="left" w:pos="567"/>
          <w:tab w:val="num" w:pos="720"/>
        </w:tabs>
        <w:autoSpaceDE w:val="0"/>
        <w:autoSpaceDN w:val="0"/>
        <w:adjustRightInd w:val="0"/>
        <w:spacing w:before="100" w:after="0" w:line="240" w:lineRule="auto"/>
        <w:jc w:val="both"/>
        <w:rPr>
          <w:rFonts w:ascii="Verdana" w:hAnsi="Verdana" w:cs="Verdana"/>
          <w:sz w:val="20"/>
          <w:szCs w:val="20"/>
          <w:u w:val="single"/>
        </w:rPr>
      </w:pPr>
      <w:r w:rsidRPr="00CE583B">
        <w:rPr>
          <w:rFonts w:ascii="Verdana" w:hAnsi="Verdana" w:cs="Verdana"/>
          <w:sz w:val="20"/>
          <w:szCs w:val="20"/>
        </w:rPr>
        <w:t xml:space="preserve">El 29 de enero de 2014 los representantes presentaron </w:t>
      </w:r>
      <w:bookmarkStart w:id="0" w:name="_Ref363085373"/>
      <w:r w:rsidR="00B157A2" w:rsidRPr="00CE583B">
        <w:rPr>
          <w:rFonts w:ascii="Verdana" w:eastAsia="Times" w:hAnsi="Verdana"/>
          <w:bCs/>
          <w:sz w:val="20"/>
          <w:szCs w:val="20"/>
        </w:rPr>
        <w:t>una solicitud de interpretación de la Sentencia</w:t>
      </w:r>
      <w:r w:rsidRPr="00CE583B">
        <w:rPr>
          <w:rFonts w:ascii="Verdana" w:eastAsia="Times" w:hAnsi="Verdana"/>
          <w:bCs/>
          <w:sz w:val="20"/>
          <w:szCs w:val="20"/>
        </w:rPr>
        <w:t xml:space="preserve"> en relación con el alcance de la indemnización como forma de reparación </w:t>
      </w:r>
      <w:r w:rsidR="00CE583B" w:rsidRPr="00CE583B">
        <w:rPr>
          <w:rFonts w:ascii="Verdana" w:eastAsia="Times" w:hAnsi="Verdana"/>
          <w:bCs/>
          <w:sz w:val="20"/>
          <w:szCs w:val="20"/>
        </w:rPr>
        <w:t xml:space="preserve">y </w:t>
      </w:r>
      <w:r w:rsidR="00CE583B" w:rsidRPr="00CE583B">
        <w:rPr>
          <w:rFonts w:ascii="Verdana" w:eastAsia="Times" w:hAnsi="Verdana"/>
          <w:bCs/>
          <w:sz w:val="20"/>
          <w:szCs w:val="20"/>
        </w:rPr>
        <w:lastRenderedPageBreak/>
        <w:t>su distinción de la remuneració</w:t>
      </w:r>
      <w:r w:rsidR="00CE583B" w:rsidRPr="00153F10">
        <w:rPr>
          <w:rFonts w:ascii="Verdana" w:eastAsia="Times" w:hAnsi="Verdana"/>
          <w:bCs/>
          <w:sz w:val="20"/>
          <w:szCs w:val="20"/>
        </w:rPr>
        <w:t>n obtenida por el ejercicio de un trabajo posterior a la “violatoria destitución que atentó a los derechos” de las víctimas. Dicha solicitud se concentró en el análisis d</w:t>
      </w:r>
      <w:r w:rsidRPr="00153F10">
        <w:rPr>
          <w:rFonts w:ascii="Verdana" w:eastAsia="Times" w:hAnsi="Verdana"/>
          <w:bCs/>
          <w:sz w:val="20"/>
          <w:szCs w:val="20"/>
        </w:rPr>
        <w:t xml:space="preserve">el párrafo 240 de la mencionada Sentencia. </w:t>
      </w:r>
      <w:bookmarkEnd w:id="0"/>
      <w:r w:rsidR="00CE583B" w:rsidRPr="00153F10">
        <w:rPr>
          <w:rFonts w:ascii="Verdana" w:eastAsia="Times" w:hAnsi="Verdana"/>
          <w:bCs/>
          <w:sz w:val="20"/>
          <w:szCs w:val="20"/>
        </w:rPr>
        <w:t>Por otra parte, los representantes solicita</w:t>
      </w:r>
      <w:r w:rsidR="0058128C">
        <w:rPr>
          <w:rFonts w:ascii="Verdana" w:eastAsia="Times" w:hAnsi="Verdana"/>
          <w:bCs/>
          <w:sz w:val="20"/>
          <w:szCs w:val="20"/>
        </w:rPr>
        <w:t>ro</w:t>
      </w:r>
      <w:r w:rsidR="00CE583B" w:rsidRPr="00153F10">
        <w:rPr>
          <w:rFonts w:ascii="Verdana" w:eastAsia="Times" w:hAnsi="Verdana"/>
          <w:bCs/>
          <w:sz w:val="20"/>
          <w:szCs w:val="20"/>
        </w:rPr>
        <w:t xml:space="preserve">n una interpretación respecto a los “criterios </w:t>
      </w:r>
      <w:r w:rsidR="00CE583B" w:rsidRPr="00153F10">
        <w:rPr>
          <w:rFonts w:ascii="Verdana" w:hAnsi="Verdana"/>
          <w:sz w:val="20"/>
          <w:szCs w:val="20"/>
        </w:rPr>
        <w:t xml:space="preserve">de utilidad y necesidad” del artículo 58 del Reglamento de la Corte “cuando las partes no ofrecen prueba de los hechos que alegan”. </w:t>
      </w:r>
    </w:p>
    <w:p w:rsidR="00B157A2" w:rsidRPr="006A22BE" w:rsidRDefault="00B157A2" w:rsidP="002B2280">
      <w:pPr>
        <w:tabs>
          <w:tab w:val="left" w:pos="567"/>
        </w:tabs>
        <w:autoSpaceDE w:val="0"/>
        <w:autoSpaceDN w:val="0"/>
        <w:adjustRightInd w:val="0"/>
        <w:spacing w:before="100" w:after="0" w:line="240" w:lineRule="auto"/>
        <w:jc w:val="both"/>
        <w:rPr>
          <w:rFonts w:ascii="Verdana" w:hAnsi="Verdana" w:cs="Verdana"/>
          <w:sz w:val="20"/>
          <w:szCs w:val="20"/>
          <w:u w:val="single"/>
        </w:rPr>
      </w:pPr>
    </w:p>
    <w:p w:rsidR="00B157A2" w:rsidRPr="006A22BE" w:rsidRDefault="00B157A2" w:rsidP="002B2280">
      <w:pPr>
        <w:numPr>
          <w:ilvl w:val="0"/>
          <w:numId w:val="1"/>
        </w:numPr>
        <w:tabs>
          <w:tab w:val="left" w:pos="567"/>
          <w:tab w:val="num" w:pos="720"/>
        </w:tabs>
        <w:autoSpaceDE w:val="0"/>
        <w:autoSpaceDN w:val="0"/>
        <w:adjustRightInd w:val="0"/>
        <w:spacing w:before="100" w:after="0" w:line="240" w:lineRule="auto"/>
        <w:jc w:val="both"/>
        <w:rPr>
          <w:rFonts w:ascii="Verdana" w:eastAsia="Times" w:hAnsi="Verdana"/>
          <w:bCs/>
          <w:sz w:val="20"/>
          <w:szCs w:val="20"/>
          <w:lang w:val="es-ES_tradnl"/>
        </w:rPr>
      </w:pPr>
      <w:bookmarkStart w:id="1" w:name="_Ref324683819"/>
      <w:bookmarkStart w:id="2" w:name="_Ref364679847"/>
      <w:r w:rsidRPr="006A22BE">
        <w:rPr>
          <w:rFonts w:ascii="Verdana" w:hAnsi="Verdana" w:cs="Verdana"/>
          <w:sz w:val="20"/>
          <w:szCs w:val="20"/>
        </w:rPr>
        <w:t xml:space="preserve">El </w:t>
      </w:r>
      <w:r w:rsidR="00765ABE">
        <w:rPr>
          <w:rFonts w:ascii="Verdana" w:hAnsi="Verdana" w:cs="Verdana"/>
          <w:sz w:val="20"/>
          <w:szCs w:val="20"/>
        </w:rPr>
        <w:t xml:space="preserve">12 y 13 de marzo de 2014 </w:t>
      </w:r>
      <w:r w:rsidRPr="006A22BE">
        <w:rPr>
          <w:rFonts w:ascii="Verdana" w:hAnsi="Verdana" w:cs="Verdana"/>
          <w:sz w:val="20"/>
          <w:szCs w:val="20"/>
        </w:rPr>
        <w:t>la Comisión y el Estado presentaron</w:t>
      </w:r>
      <w:r w:rsidR="00765ABE">
        <w:rPr>
          <w:rFonts w:ascii="Verdana" w:hAnsi="Verdana" w:cs="Verdana"/>
          <w:sz w:val="20"/>
          <w:szCs w:val="20"/>
        </w:rPr>
        <w:t>, respectivamente</w:t>
      </w:r>
      <w:r w:rsidR="0055376B">
        <w:rPr>
          <w:rFonts w:ascii="Verdana" w:hAnsi="Verdana" w:cs="Verdana"/>
          <w:sz w:val="20"/>
          <w:szCs w:val="20"/>
        </w:rPr>
        <w:t>,</w:t>
      </w:r>
      <w:r w:rsidRPr="006A22BE">
        <w:rPr>
          <w:rFonts w:ascii="Verdana" w:hAnsi="Verdana" w:cs="Verdana"/>
          <w:sz w:val="20"/>
          <w:szCs w:val="20"/>
        </w:rPr>
        <w:t xml:space="preserve"> sus alegaciones escritas respecto de la referida solicitud de interpretación.</w:t>
      </w:r>
      <w:bookmarkEnd w:id="1"/>
      <w:r w:rsidRPr="006A22BE">
        <w:rPr>
          <w:rFonts w:ascii="Verdana" w:hAnsi="Verdana" w:cs="Verdana"/>
          <w:sz w:val="20"/>
          <w:szCs w:val="20"/>
        </w:rPr>
        <w:t xml:space="preserve"> </w:t>
      </w:r>
      <w:bookmarkEnd w:id="2"/>
    </w:p>
    <w:p w:rsidR="00B157A2" w:rsidRPr="006A22BE" w:rsidRDefault="00B157A2" w:rsidP="002B2280">
      <w:pPr>
        <w:tabs>
          <w:tab w:val="left" w:pos="567"/>
        </w:tabs>
        <w:autoSpaceDE w:val="0"/>
        <w:autoSpaceDN w:val="0"/>
        <w:adjustRightInd w:val="0"/>
        <w:spacing w:before="100" w:after="0" w:line="240" w:lineRule="auto"/>
        <w:jc w:val="both"/>
        <w:rPr>
          <w:rFonts w:ascii="Verdana" w:hAnsi="Verdana" w:cs="Verdana"/>
          <w:b/>
          <w:color w:val="00B050"/>
          <w:sz w:val="20"/>
          <w:szCs w:val="20"/>
        </w:rPr>
      </w:pPr>
    </w:p>
    <w:p w:rsidR="00B157A2" w:rsidRPr="006A22BE" w:rsidRDefault="00B157A2" w:rsidP="002B2280">
      <w:pPr>
        <w:tabs>
          <w:tab w:val="left" w:pos="567"/>
        </w:tabs>
        <w:spacing w:before="100" w:after="0" w:line="240" w:lineRule="auto"/>
        <w:jc w:val="center"/>
        <w:rPr>
          <w:rFonts w:ascii="Verdana" w:eastAsia="Times" w:hAnsi="Verdana"/>
          <w:b/>
          <w:bCs/>
          <w:sz w:val="20"/>
          <w:szCs w:val="20"/>
        </w:rPr>
      </w:pPr>
      <w:r w:rsidRPr="006A22BE">
        <w:rPr>
          <w:rFonts w:ascii="Verdana" w:eastAsia="Times" w:hAnsi="Verdana"/>
          <w:b/>
          <w:bCs/>
          <w:sz w:val="20"/>
          <w:szCs w:val="20"/>
        </w:rPr>
        <w:t>II</w:t>
      </w:r>
    </w:p>
    <w:p w:rsidR="00B157A2" w:rsidRPr="006A22BE" w:rsidRDefault="00B157A2" w:rsidP="002B2280">
      <w:pPr>
        <w:tabs>
          <w:tab w:val="left" w:pos="567"/>
        </w:tabs>
        <w:spacing w:before="100" w:after="0" w:line="240" w:lineRule="auto"/>
        <w:jc w:val="center"/>
        <w:rPr>
          <w:rFonts w:ascii="Verdana" w:eastAsia="Times" w:hAnsi="Verdana"/>
          <w:b/>
          <w:bCs/>
          <w:sz w:val="20"/>
          <w:szCs w:val="20"/>
        </w:rPr>
      </w:pPr>
      <w:r w:rsidRPr="006A22BE">
        <w:rPr>
          <w:rFonts w:ascii="Verdana" w:eastAsia="Times" w:hAnsi="Verdana"/>
          <w:b/>
          <w:bCs/>
          <w:sz w:val="20"/>
          <w:szCs w:val="20"/>
        </w:rPr>
        <w:t>COMPETENCIA</w:t>
      </w:r>
    </w:p>
    <w:p w:rsidR="00B157A2" w:rsidRPr="006A22BE" w:rsidRDefault="00B157A2" w:rsidP="002B2280">
      <w:pPr>
        <w:tabs>
          <w:tab w:val="left" w:pos="567"/>
        </w:tabs>
        <w:spacing w:before="100" w:after="0" w:line="240" w:lineRule="auto"/>
        <w:ind w:left="720"/>
        <w:jc w:val="both"/>
        <w:rPr>
          <w:rFonts w:ascii="Verdana" w:eastAsia="Batang" w:hAnsi="Verdana"/>
          <w:sz w:val="20"/>
          <w:szCs w:val="24"/>
        </w:rPr>
      </w:pPr>
    </w:p>
    <w:p w:rsidR="00B157A2" w:rsidRPr="006A22BE" w:rsidRDefault="00B157A2" w:rsidP="002B2280">
      <w:pPr>
        <w:numPr>
          <w:ilvl w:val="0"/>
          <w:numId w:val="1"/>
        </w:numPr>
        <w:tabs>
          <w:tab w:val="left" w:pos="567"/>
          <w:tab w:val="num" w:pos="720"/>
        </w:tabs>
        <w:autoSpaceDE w:val="0"/>
        <w:autoSpaceDN w:val="0"/>
        <w:adjustRightInd w:val="0"/>
        <w:spacing w:before="100" w:after="0" w:line="240" w:lineRule="auto"/>
        <w:jc w:val="both"/>
        <w:rPr>
          <w:rFonts w:ascii="Verdana" w:eastAsia="Times" w:hAnsi="Verdana"/>
          <w:bCs/>
          <w:sz w:val="20"/>
          <w:szCs w:val="20"/>
          <w:lang w:val="es-ES_tradnl"/>
        </w:rPr>
      </w:pPr>
      <w:bookmarkStart w:id="3" w:name="_Ref361668910"/>
      <w:r w:rsidRPr="006A22BE">
        <w:rPr>
          <w:rFonts w:ascii="Verdana" w:eastAsia="Times" w:hAnsi="Verdana"/>
          <w:sz w:val="20"/>
          <w:szCs w:val="20"/>
        </w:rPr>
        <w:t>El artículo 67 de la Convención establece que:</w:t>
      </w:r>
      <w:bookmarkEnd w:id="3"/>
    </w:p>
    <w:p w:rsidR="00B157A2" w:rsidRPr="006A22BE" w:rsidRDefault="00B157A2" w:rsidP="002B2280">
      <w:pPr>
        <w:tabs>
          <w:tab w:val="left" w:pos="567"/>
        </w:tabs>
        <w:autoSpaceDE w:val="0"/>
        <w:autoSpaceDN w:val="0"/>
        <w:adjustRightInd w:val="0"/>
        <w:spacing w:before="100" w:after="0" w:line="240" w:lineRule="auto"/>
        <w:jc w:val="both"/>
        <w:rPr>
          <w:rFonts w:ascii="Verdana" w:eastAsia="Times" w:hAnsi="Verdana"/>
          <w:bCs/>
          <w:sz w:val="20"/>
          <w:szCs w:val="20"/>
          <w:lang w:val="es-ES_tradnl"/>
        </w:rPr>
      </w:pPr>
    </w:p>
    <w:p w:rsidR="00B157A2" w:rsidRPr="004B3B4B" w:rsidRDefault="00B157A2" w:rsidP="002B2280">
      <w:pPr>
        <w:tabs>
          <w:tab w:val="left" w:pos="567"/>
        </w:tabs>
        <w:spacing w:before="100" w:after="0" w:line="240" w:lineRule="auto"/>
        <w:ind w:left="567" w:right="639"/>
        <w:jc w:val="both"/>
        <w:rPr>
          <w:rFonts w:ascii="Verdana" w:eastAsia="Times" w:hAnsi="Verdana"/>
          <w:sz w:val="16"/>
          <w:szCs w:val="16"/>
          <w:lang w:val="es-ES_tradnl"/>
        </w:rPr>
      </w:pPr>
      <w:r w:rsidRPr="004B3B4B">
        <w:rPr>
          <w:rFonts w:ascii="Verdana" w:eastAsia="Times" w:hAnsi="Verdana"/>
          <w:sz w:val="16"/>
          <w:szCs w:val="16"/>
          <w:lang w:val="es-ES_tradnl"/>
        </w:rPr>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B157A2" w:rsidRPr="006A22BE" w:rsidRDefault="00B157A2" w:rsidP="002B2280">
      <w:pPr>
        <w:tabs>
          <w:tab w:val="left" w:pos="567"/>
        </w:tabs>
        <w:spacing w:before="100" w:after="0" w:line="240" w:lineRule="auto"/>
        <w:ind w:left="720" w:right="639"/>
        <w:jc w:val="both"/>
        <w:rPr>
          <w:rFonts w:ascii="Verdana" w:eastAsia="Times" w:hAnsi="Verdana"/>
          <w:sz w:val="18"/>
          <w:szCs w:val="18"/>
          <w:lang w:val="es-ES_tradnl"/>
        </w:rPr>
      </w:pPr>
    </w:p>
    <w:p w:rsidR="00B157A2" w:rsidRPr="00D03ED8" w:rsidRDefault="00B157A2" w:rsidP="002B2280">
      <w:pPr>
        <w:numPr>
          <w:ilvl w:val="0"/>
          <w:numId w:val="1"/>
        </w:numPr>
        <w:tabs>
          <w:tab w:val="left" w:pos="567"/>
          <w:tab w:val="num" w:pos="720"/>
        </w:tabs>
        <w:autoSpaceDE w:val="0"/>
        <w:autoSpaceDN w:val="0"/>
        <w:adjustRightInd w:val="0"/>
        <w:spacing w:before="100" w:after="0" w:line="240" w:lineRule="auto"/>
        <w:jc w:val="both"/>
        <w:rPr>
          <w:rFonts w:ascii="Verdana" w:eastAsia="Times" w:hAnsi="Verdana"/>
          <w:bCs/>
          <w:sz w:val="20"/>
          <w:szCs w:val="20"/>
          <w:lang w:val="es-ES_tradnl"/>
        </w:rPr>
      </w:pPr>
      <w:r w:rsidRPr="00D03ED8">
        <w:rPr>
          <w:rFonts w:ascii="Verdana" w:eastAsia="Times" w:hAnsi="Verdana"/>
          <w:sz w:val="20"/>
          <w:szCs w:val="20"/>
        </w:rPr>
        <w:t>De conformidad con el artículo citado, la Corte es competente para interpretar sus fallos. Para realizar el examen de la solicitud de interpretación y resolver lo que a este respecto corresponda, el Tribunal debe tener, si es posible, la misma composición que tenía al dictar la Sentencia respectiva, de acuerdo con el artículo 68.3 del Reglamento. En esta ocasión, la Corte se integra con los jueces que dictaron la Sentencia cuya interpre</w:t>
      </w:r>
      <w:r w:rsidR="00765ABE">
        <w:rPr>
          <w:rFonts w:ascii="Verdana" w:eastAsia="Times" w:hAnsi="Verdana"/>
          <w:sz w:val="20"/>
          <w:szCs w:val="20"/>
        </w:rPr>
        <w:t>tación ha sido solicitada por lo</w:t>
      </w:r>
      <w:r w:rsidRPr="00D03ED8">
        <w:rPr>
          <w:rFonts w:ascii="Verdana" w:eastAsia="Times" w:hAnsi="Verdana"/>
          <w:sz w:val="20"/>
          <w:szCs w:val="20"/>
        </w:rPr>
        <w:t xml:space="preserve">s representantes. </w:t>
      </w:r>
      <w:bookmarkStart w:id="4" w:name="_Ref364680909"/>
    </w:p>
    <w:p w:rsidR="00B157A2" w:rsidRPr="00682756" w:rsidRDefault="00B157A2" w:rsidP="002B2280">
      <w:pPr>
        <w:tabs>
          <w:tab w:val="left" w:pos="567"/>
        </w:tabs>
        <w:autoSpaceDE w:val="0"/>
        <w:autoSpaceDN w:val="0"/>
        <w:adjustRightInd w:val="0"/>
        <w:spacing w:before="100" w:after="0" w:line="240" w:lineRule="auto"/>
        <w:jc w:val="both"/>
        <w:rPr>
          <w:rFonts w:ascii="Verdana" w:eastAsia="Times" w:hAnsi="Verdana"/>
          <w:sz w:val="20"/>
          <w:szCs w:val="20"/>
          <w:lang w:val="es-ES_tradnl"/>
        </w:rPr>
      </w:pPr>
    </w:p>
    <w:bookmarkEnd w:id="4"/>
    <w:p w:rsidR="00B157A2" w:rsidRPr="006A22BE" w:rsidRDefault="00561DD5" w:rsidP="002B2280">
      <w:pPr>
        <w:tabs>
          <w:tab w:val="left" w:pos="567"/>
        </w:tabs>
        <w:autoSpaceDE w:val="0"/>
        <w:autoSpaceDN w:val="0"/>
        <w:adjustRightInd w:val="0"/>
        <w:spacing w:before="100" w:after="0" w:line="240" w:lineRule="auto"/>
        <w:jc w:val="center"/>
        <w:rPr>
          <w:rFonts w:ascii="Verdana" w:hAnsi="Verdana" w:cs="Verdana"/>
          <w:b/>
          <w:sz w:val="20"/>
          <w:szCs w:val="20"/>
        </w:rPr>
      </w:pPr>
      <w:r>
        <w:rPr>
          <w:rFonts w:ascii="Verdana" w:hAnsi="Verdana" w:cs="Verdana"/>
          <w:b/>
          <w:sz w:val="20"/>
          <w:szCs w:val="20"/>
        </w:rPr>
        <w:t>III</w:t>
      </w:r>
    </w:p>
    <w:p w:rsidR="00B157A2" w:rsidRPr="006A22BE" w:rsidRDefault="00B157A2" w:rsidP="002B2280">
      <w:pPr>
        <w:tabs>
          <w:tab w:val="left" w:pos="567"/>
        </w:tabs>
        <w:autoSpaceDE w:val="0"/>
        <w:autoSpaceDN w:val="0"/>
        <w:adjustRightInd w:val="0"/>
        <w:spacing w:before="100" w:after="0" w:line="240" w:lineRule="auto"/>
        <w:jc w:val="center"/>
        <w:rPr>
          <w:rFonts w:ascii="Verdana" w:hAnsi="Verdana" w:cs="Verdana"/>
          <w:b/>
          <w:sz w:val="20"/>
          <w:szCs w:val="20"/>
        </w:rPr>
      </w:pPr>
      <w:r w:rsidRPr="006A22BE">
        <w:rPr>
          <w:rFonts w:ascii="Verdana" w:hAnsi="Verdana" w:cs="Verdana"/>
          <w:b/>
          <w:sz w:val="20"/>
          <w:szCs w:val="20"/>
        </w:rPr>
        <w:t>ADMISIBILIDAD</w:t>
      </w:r>
    </w:p>
    <w:p w:rsidR="00B157A2" w:rsidRPr="006A22BE" w:rsidRDefault="00B157A2" w:rsidP="002B2280">
      <w:pPr>
        <w:tabs>
          <w:tab w:val="left" w:pos="567"/>
        </w:tabs>
        <w:autoSpaceDE w:val="0"/>
        <w:autoSpaceDN w:val="0"/>
        <w:adjustRightInd w:val="0"/>
        <w:spacing w:before="100" w:after="0" w:line="240" w:lineRule="auto"/>
        <w:rPr>
          <w:rFonts w:ascii="Verdana" w:hAnsi="Verdana" w:cs="Verdana"/>
          <w:b/>
          <w:sz w:val="20"/>
          <w:szCs w:val="20"/>
        </w:rPr>
      </w:pPr>
    </w:p>
    <w:p w:rsidR="00B157A2" w:rsidRPr="006A22BE" w:rsidRDefault="00B157A2" w:rsidP="002B2280">
      <w:pPr>
        <w:numPr>
          <w:ilvl w:val="0"/>
          <w:numId w:val="1"/>
        </w:numPr>
        <w:tabs>
          <w:tab w:val="left" w:pos="567"/>
          <w:tab w:val="num" w:pos="720"/>
        </w:tabs>
        <w:autoSpaceDE w:val="0"/>
        <w:autoSpaceDN w:val="0"/>
        <w:adjustRightInd w:val="0"/>
        <w:spacing w:before="100" w:after="0" w:line="240" w:lineRule="auto"/>
        <w:jc w:val="both"/>
        <w:rPr>
          <w:rFonts w:ascii="Verdana" w:hAnsi="Verdana" w:cs="Verdana"/>
          <w:sz w:val="20"/>
          <w:szCs w:val="20"/>
        </w:rPr>
      </w:pPr>
      <w:bookmarkStart w:id="5" w:name="_Ref363125960"/>
      <w:r w:rsidRPr="006A22BE">
        <w:rPr>
          <w:rFonts w:ascii="Verdana" w:eastAsia="Times" w:hAnsi="Verdana"/>
          <w:sz w:val="20"/>
          <w:szCs w:val="20"/>
          <w:lang w:val="es-ES_tradnl"/>
        </w:rPr>
        <w:t>Corresponde a la Corte verificar s</w:t>
      </w:r>
      <w:r w:rsidR="00F31A0E">
        <w:rPr>
          <w:rFonts w:ascii="Verdana" w:eastAsia="Times" w:hAnsi="Verdana"/>
          <w:sz w:val="20"/>
          <w:szCs w:val="20"/>
          <w:lang w:val="es-ES_tradnl"/>
        </w:rPr>
        <w:t>i la solicitud presentada por lo</w:t>
      </w:r>
      <w:r w:rsidRPr="006A22BE">
        <w:rPr>
          <w:rFonts w:ascii="Verdana" w:eastAsia="Times" w:hAnsi="Verdana"/>
          <w:sz w:val="20"/>
          <w:szCs w:val="20"/>
          <w:lang w:val="es-ES_tradnl"/>
        </w:rPr>
        <w:t>s representantes cumple con los requisitos establecidos en las normas aplicables a una solicitud de interpretación de Sentencia, a saber, el artículo 67 de la Convención, anteriormente citado, y el artículo 68 del Reglamento que dispone, en lo pertinente, que:</w:t>
      </w:r>
      <w:bookmarkEnd w:id="5"/>
    </w:p>
    <w:p w:rsidR="00B157A2" w:rsidRPr="006A22BE" w:rsidRDefault="00B157A2" w:rsidP="002B2280">
      <w:pPr>
        <w:tabs>
          <w:tab w:val="left" w:pos="567"/>
        </w:tabs>
        <w:spacing w:before="100" w:after="0" w:line="240" w:lineRule="auto"/>
        <w:rPr>
          <w:rFonts w:ascii="Verdana" w:eastAsia="Times" w:hAnsi="Verdana"/>
          <w:sz w:val="16"/>
          <w:szCs w:val="20"/>
        </w:rPr>
      </w:pPr>
    </w:p>
    <w:p w:rsidR="00B157A2" w:rsidRPr="006A22BE" w:rsidRDefault="00B157A2" w:rsidP="002B2280">
      <w:pPr>
        <w:tabs>
          <w:tab w:val="left" w:pos="567"/>
        </w:tabs>
        <w:spacing w:before="100" w:after="120" w:line="240" w:lineRule="auto"/>
        <w:ind w:left="567" w:right="720"/>
        <w:jc w:val="both"/>
        <w:rPr>
          <w:rFonts w:ascii="Verdana" w:eastAsia="Times" w:hAnsi="Verdana"/>
          <w:sz w:val="16"/>
          <w:szCs w:val="16"/>
          <w:lang w:val="es-ES_tradnl"/>
        </w:rPr>
      </w:pPr>
      <w:r w:rsidRPr="006A22BE">
        <w:rPr>
          <w:rFonts w:ascii="Verdana" w:eastAsia="Times" w:hAnsi="Verdana"/>
          <w:sz w:val="16"/>
          <w:szCs w:val="16"/>
          <w:lang w:val="es-ES_tradnl"/>
        </w:rPr>
        <w:t>1.</w:t>
      </w:r>
      <w:r w:rsidRPr="006A22BE">
        <w:rPr>
          <w:rFonts w:ascii="Verdana" w:eastAsia="Times" w:hAnsi="Verdana"/>
          <w:sz w:val="16"/>
          <w:szCs w:val="16"/>
          <w:lang w:val="es-ES_tradnl"/>
        </w:rPr>
        <w:tab/>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w:t>
      </w:r>
    </w:p>
    <w:p w:rsidR="00B157A2" w:rsidRDefault="00B157A2" w:rsidP="002B2280">
      <w:pPr>
        <w:tabs>
          <w:tab w:val="left" w:pos="567"/>
        </w:tabs>
        <w:spacing w:before="100" w:after="0" w:line="240" w:lineRule="auto"/>
        <w:ind w:left="567" w:right="720"/>
        <w:rPr>
          <w:rFonts w:ascii="Verdana" w:eastAsia="Times" w:hAnsi="Verdana"/>
          <w:sz w:val="16"/>
          <w:szCs w:val="16"/>
          <w:lang w:val="es-ES_tradnl"/>
        </w:rPr>
      </w:pPr>
      <w:r w:rsidRPr="006A22BE">
        <w:rPr>
          <w:rFonts w:ascii="Verdana" w:eastAsia="Times" w:hAnsi="Verdana"/>
          <w:sz w:val="16"/>
          <w:szCs w:val="16"/>
          <w:lang w:val="es-ES_tradnl"/>
        </w:rPr>
        <w:t>[…]</w:t>
      </w:r>
    </w:p>
    <w:p w:rsidR="003B4B99" w:rsidRPr="006A22BE" w:rsidRDefault="003B4B99" w:rsidP="002B2280">
      <w:pPr>
        <w:tabs>
          <w:tab w:val="left" w:pos="567"/>
        </w:tabs>
        <w:spacing w:before="100" w:after="0" w:line="240" w:lineRule="auto"/>
        <w:ind w:left="567" w:right="720"/>
        <w:rPr>
          <w:rFonts w:ascii="Verdana" w:eastAsia="Times" w:hAnsi="Verdana"/>
          <w:sz w:val="16"/>
          <w:szCs w:val="16"/>
          <w:lang w:val="es-ES_tradnl"/>
        </w:rPr>
      </w:pPr>
    </w:p>
    <w:p w:rsidR="00B157A2" w:rsidRPr="006A22BE" w:rsidRDefault="00B157A2" w:rsidP="002B2280">
      <w:pPr>
        <w:tabs>
          <w:tab w:val="left" w:pos="567"/>
        </w:tabs>
        <w:spacing w:before="100" w:after="0" w:line="240" w:lineRule="auto"/>
        <w:ind w:left="567" w:right="720"/>
        <w:jc w:val="both"/>
        <w:rPr>
          <w:rFonts w:ascii="Verdana" w:eastAsia="Times" w:hAnsi="Verdana"/>
          <w:sz w:val="16"/>
          <w:szCs w:val="16"/>
          <w:lang w:val="es-ES_tradnl"/>
        </w:rPr>
      </w:pPr>
      <w:r w:rsidRPr="006A22BE">
        <w:rPr>
          <w:rFonts w:ascii="Verdana" w:eastAsia="Times" w:hAnsi="Verdana"/>
          <w:sz w:val="16"/>
          <w:szCs w:val="16"/>
          <w:lang w:val="es-ES_tradnl"/>
        </w:rPr>
        <w:t>4.</w:t>
      </w:r>
      <w:r w:rsidRPr="006A22BE">
        <w:rPr>
          <w:rFonts w:ascii="Verdana" w:eastAsia="Times" w:hAnsi="Verdana"/>
          <w:sz w:val="16"/>
          <w:szCs w:val="16"/>
          <w:lang w:val="es-ES_tradnl"/>
        </w:rPr>
        <w:tab/>
        <w:t>La solicitud de interpretación no suspenderá la ejecución de la sentencia.</w:t>
      </w:r>
    </w:p>
    <w:p w:rsidR="003B4B99" w:rsidRDefault="003B4B99" w:rsidP="002B2280">
      <w:pPr>
        <w:tabs>
          <w:tab w:val="left" w:pos="567"/>
        </w:tabs>
        <w:spacing w:before="100" w:after="0" w:line="240" w:lineRule="auto"/>
        <w:ind w:left="567" w:right="702"/>
        <w:jc w:val="both"/>
        <w:rPr>
          <w:rFonts w:ascii="Verdana" w:eastAsia="Times" w:hAnsi="Verdana"/>
          <w:sz w:val="16"/>
          <w:szCs w:val="16"/>
          <w:lang w:val="es-ES_tradnl"/>
        </w:rPr>
      </w:pPr>
    </w:p>
    <w:p w:rsidR="00B157A2" w:rsidRPr="006A22BE" w:rsidRDefault="00B157A2" w:rsidP="002B2280">
      <w:pPr>
        <w:tabs>
          <w:tab w:val="left" w:pos="567"/>
        </w:tabs>
        <w:spacing w:before="100" w:after="0" w:line="240" w:lineRule="auto"/>
        <w:ind w:left="567" w:right="702"/>
        <w:jc w:val="both"/>
        <w:rPr>
          <w:rFonts w:ascii="Verdana" w:eastAsia="Times" w:hAnsi="Verdana"/>
          <w:sz w:val="16"/>
          <w:szCs w:val="16"/>
          <w:lang w:val="es-ES_tradnl"/>
        </w:rPr>
      </w:pPr>
      <w:r w:rsidRPr="006A22BE">
        <w:rPr>
          <w:rFonts w:ascii="Verdana" w:eastAsia="Times" w:hAnsi="Verdana"/>
          <w:sz w:val="16"/>
          <w:szCs w:val="16"/>
          <w:lang w:val="es-ES_tradnl"/>
        </w:rPr>
        <w:t>5.</w:t>
      </w:r>
      <w:r w:rsidRPr="006A22BE">
        <w:rPr>
          <w:rFonts w:ascii="Verdana" w:eastAsia="Times" w:hAnsi="Verdana"/>
          <w:sz w:val="16"/>
          <w:szCs w:val="16"/>
          <w:lang w:val="es-ES_tradnl"/>
        </w:rPr>
        <w:tab/>
        <w:t>La Corte determinará el procedimiento que se seguirá y resolverá mediante una sentencia.</w:t>
      </w:r>
      <w:r w:rsidRPr="006A22BE">
        <w:rPr>
          <w:rFonts w:ascii="Verdana" w:eastAsia="Times" w:hAnsi="Verdana"/>
          <w:sz w:val="18"/>
          <w:szCs w:val="18"/>
          <w:lang w:val="es-ES_tradnl"/>
        </w:rPr>
        <w:t xml:space="preserve"> </w:t>
      </w:r>
    </w:p>
    <w:p w:rsidR="0058128C" w:rsidRDefault="0058128C" w:rsidP="002B2280">
      <w:pPr>
        <w:tabs>
          <w:tab w:val="left" w:pos="567"/>
        </w:tabs>
        <w:spacing w:before="100" w:after="0" w:line="240" w:lineRule="auto"/>
        <w:jc w:val="both"/>
        <w:rPr>
          <w:rFonts w:ascii="Verdana" w:eastAsia="Times" w:hAnsi="Verdana"/>
          <w:sz w:val="20"/>
          <w:szCs w:val="20"/>
          <w:lang w:val="es-ES_tradnl"/>
        </w:rPr>
      </w:pPr>
      <w:bookmarkStart w:id="6" w:name="_Ref363125964"/>
    </w:p>
    <w:p w:rsidR="00B157A2" w:rsidRPr="006A22BE" w:rsidRDefault="00B157A2" w:rsidP="002B2280">
      <w:pPr>
        <w:numPr>
          <w:ilvl w:val="0"/>
          <w:numId w:val="1"/>
        </w:numPr>
        <w:tabs>
          <w:tab w:val="left" w:pos="567"/>
          <w:tab w:val="num" w:pos="720"/>
        </w:tabs>
        <w:spacing w:before="100" w:after="0" w:line="240" w:lineRule="auto"/>
        <w:jc w:val="both"/>
        <w:rPr>
          <w:rFonts w:ascii="Verdana" w:eastAsia="Times" w:hAnsi="Verdana"/>
          <w:sz w:val="20"/>
          <w:szCs w:val="20"/>
          <w:lang w:val="es-ES_tradnl"/>
        </w:rPr>
      </w:pPr>
      <w:r w:rsidRPr="006A22BE">
        <w:rPr>
          <w:rFonts w:ascii="Verdana" w:eastAsia="Times" w:hAnsi="Verdana"/>
          <w:sz w:val="20"/>
          <w:szCs w:val="20"/>
          <w:lang w:val="es-ES_tradnl"/>
        </w:rPr>
        <w:t>Asimismo, el artículo 31.3 del Reglamento establece que “[c]ontra las sentencias y resoluciones de la Corte no procede ningún medio de impugnación”.</w:t>
      </w:r>
      <w:bookmarkEnd w:id="6"/>
    </w:p>
    <w:p w:rsidR="00B157A2" w:rsidRPr="006A22BE" w:rsidRDefault="00B157A2" w:rsidP="002B2280">
      <w:pPr>
        <w:tabs>
          <w:tab w:val="left" w:pos="567"/>
        </w:tabs>
        <w:spacing w:before="100" w:after="0" w:line="240" w:lineRule="auto"/>
        <w:ind w:left="720"/>
        <w:jc w:val="both"/>
        <w:rPr>
          <w:rFonts w:ascii="Verdana" w:eastAsia="Batang" w:hAnsi="Verdana"/>
          <w:sz w:val="20"/>
          <w:szCs w:val="24"/>
          <w:lang w:val="es-ES_tradnl"/>
        </w:rPr>
      </w:pPr>
    </w:p>
    <w:p w:rsidR="00B157A2" w:rsidRPr="006A22BE" w:rsidRDefault="00B157A2" w:rsidP="002B2280">
      <w:pPr>
        <w:numPr>
          <w:ilvl w:val="0"/>
          <w:numId w:val="1"/>
        </w:numPr>
        <w:tabs>
          <w:tab w:val="left" w:pos="567"/>
          <w:tab w:val="num" w:pos="720"/>
        </w:tabs>
        <w:spacing w:before="100" w:after="0" w:line="240" w:lineRule="auto"/>
        <w:jc w:val="both"/>
        <w:rPr>
          <w:rFonts w:ascii="Verdana" w:eastAsia="Times" w:hAnsi="Verdana"/>
          <w:sz w:val="20"/>
          <w:szCs w:val="20"/>
          <w:lang w:val="es-ES_tradnl"/>
        </w:rPr>
      </w:pPr>
      <w:r w:rsidRPr="006A22BE">
        <w:rPr>
          <w:rFonts w:ascii="Verdana" w:eastAsia="Times" w:hAnsi="Verdana"/>
          <w:sz w:val="20"/>
          <w:szCs w:val="20"/>
          <w:lang w:val="es-ES_tradnl"/>
        </w:rPr>
        <w:t>La Corte ha constatado que l</w:t>
      </w:r>
      <w:r w:rsidR="00F31A0E">
        <w:rPr>
          <w:rFonts w:ascii="Verdana" w:eastAsia="Times" w:hAnsi="Verdana"/>
          <w:sz w:val="20"/>
          <w:szCs w:val="20"/>
          <w:lang w:val="es-ES_tradnl"/>
        </w:rPr>
        <w:t>o</w:t>
      </w:r>
      <w:r w:rsidRPr="006A22BE">
        <w:rPr>
          <w:rFonts w:ascii="Verdana" w:eastAsia="Times" w:hAnsi="Verdana"/>
          <w:sz w:val="20"/>
          <w:szCs w:val="20"/>
          <w:lang w:val="es-ES_tradnl"/>
        </w:rPr>
        <w:t xml:space="preserve">s representantes remitieron la solicitud de interpretación el </w:t>
      </w:r>
      <w:r w:rsidR="00AE0881">
        <w:rPr>
          <w:rFonts w:ascii="Verdana" w:eastAsia="Times" w:hAnsi="Verdana"/>
          <w:sz w:val="20"/>
          <w:szCs w:val="20"/>
          <w:lang w:val="es-ES_tradnl"/>
        </w:rPr>
        <w:t xml:space="preserve">29 </w:t>
      </w:r>
      <w:r w:rsidRPr="006A22BE">
        <w:rPr>
          <w:rFonts w:ascii="Verdana" w:eastAsia="Times" w:hAnsi="Verdana"/>
          <w:sz w:val="20"/>
          <w:szCs w:val="20"/>
          <w:lang w:val="es-ES_tradnl"/>
        </w:rPr>
        <w:t xml:space="preserve">de </w:t>
      </w:r>
      <w:r w:rsidR="00AE0881">
        <w:rPr>
          <w:rFonts w:ascii="Verdana" w:eastAsia="Times" w:hAnsi="Verdana"/>
          <w:sz w:val="20"/>
          <w:szCs w:val="20"/>
          <w:lang w:val="es-ES_tradnl"/>
        </w:rPr>
        <w:t>enero de 2014</w:t>
      </w:r>
      <w:r w:rsidRPr="006A22BE">
        <w:rPr>
          <w:rFonts w:ascii="Verdana" w:eastAsia="Times" w:hAnsi="Verdana"/>
          <w:sz w:val="20"/>
          <w:szCs w:val="20"/>
          <w:lang w:val="es-ES_tradnl"/>
        </w:rPr>
        <w:t xml:space="preserve">, dentro del plazo establecido en el artículo 67 de la Convención, ya que la misma fue notificada el </w:t>
      </w:r>
      <w:r w:rsidR="007F2553">
        <w:rPr>
          <w:rFonts w:ascii="Verdana" w:eastAsia="Times" w:hAnsi="Verdana"/>
          <w:sz w:val="20"/>
          <w:szCs w:val="20"/>
          <w:lang w:val="es-ES_tradnl"/>
        </w:rPr>
        <w:t>4 de noviembre de 2013</w:t>
      </w:r>
      <w:r w:rsidRPr="006A22BE">
        <w:rPr>
          <w:rFonts w:ascii="Verdana" w:eastAsia="Times" w:hAnsi="Verdana"/>
          <w:sz w:val="20"/>
          <w:szCs w:val="20"/>
          <w:lang w:val="es-ES_tradnl"/>
        </w:rPr>
        <w:t xml:space="preserve">. Por ende, la solicitud resulta admisible en lo que se refiere al plazo de su presentación. </w:t>
      </w:r>
    </w:p>
    <w:p w:rsidR="003B4B99" w:rsidRPr="006A22BE" w:rsidRDefault="003B4B99" w:rsidP="002B2280">
      <w:pPr>
        <w:tabs>
          <w:tab w:val="left" w:pos="567"/>
        </w:tabs>
        <w:spacing w:before="100" w:after="0" w:line="240" w:lineRule="auto"/>
        <w:jc w:val="both"/>
        <w:rPr>
          <w:rFonts w:ascii="Verdana" w:eastAsia="Times" w:hAnsi="Verdana"/>
          <w:sz w:val="20"/>
          <w:szCs w:val="20"/>
          <w:u w:val="single"/>
          <w:lang w:val="es-ES_tradnl"/>
        </w:rPr>
      </w:pPr>
    </w:p>
    <w:p w:rsidR="00B157A2" w:rsidRPr="006A22BE" w:rsidRDefault="00B20F52" w:rsidP="002B2280">
      <w:pPr>
        <w:tabs>
          <w:tab w:val="left" w:pos="567"/>
        </w:tabs>
        <w:spacing w:before="100" w:after="0" w:line="240" w:lineRule="auto"/>
        <w:jc w:val="center"/>
        <w:rPr>
          <w:rFonts w:ascii="Verdana" w:eastAsia="Times" w:hAnsi="Verdana"/>
          <w:b/>
          <w:sz w:val="20"/>
          <w:szCs w:val="20"/>
        </w:rPr>
      </w:pPr>
      <w:r>
        <w:rPr>
          <w:rFonts w:ascii="Verdana" w:eastAsia="Times" w:hAnsi="Verdana"/>
          <w:b/>
          <w:sz w:val="20"/>
          <w:szCs w:val="20"/>
        </w:rPr>
        <w:t>I</w:t>
      </w:r>
      <w:r w:rsidR="00B157A2" w:rsidRPr="006A22BE">
        <w:rPr>
          <w:rFonts w:ascii="Verdana" w:eastAsia="Times" w:hAnsi="Verdana"/>
          <w:b/>
          <w:sz w:val="20"/>
          <w:szCs w:val="20"/>
        </w:rPr>
        <w:t>V</w:t>
      </w:r>
    </w:p>
    <w:p w:rsidR="00B157A2" w:rsidRPr="006A22BE" w:rsidRDefault="00B157A2" w:rsidP="002B2280">
      <w:pPr>
        <w:tabs>
          <w:tab w:val="left" w:pos="567"/>
        </w:tabs>
        <w:autoSpaceDE w:val="0"/>
        <w:autoSpaceDN w:val="0"/>
        <w:adjustRightInd w:val="0"/>
        <w:spacing w:before="100" w:after="0" w:line="240" w:lineRule="auto"/>
        <w:jc w:val="center"/>
        <w:rPr>
          <w:rFonts w:ascii="Verdana" w:hAnsi="Verdana" w:cs="Verdana"/>
          <w:b/>
          <w:caps/>
          <w:sz w:val="20"/>
          <w:szCs w:val="20"/>
        </w:rPr>
      </w:pPr>
      <w:r w:rsidRPr="006A22BE">
        <w:rPr>
          <w:rFonts w:ascii="Verdana" w:hAnsi="Verdana" w:cs="Verdana"/>
          <w:b/>
          <w:caps/>
          <w:sz w:val="20"/>
          <w:szCs w:val="20"/>
        </w:rPr>
        <w:t>ANÁLISIS DE LA PROCEDENCIA DE LA SOLICITUD DE INTERPRETACIÓN</w:t>
      </w:r>
    </w:p>
    <w:p w:rsidR="00B157A2" w:rsidRPr="006A22BE" w:rsidRDefault="00B157A2" w:rsidP="002B2280">
      <w:pPr>
        <w:tabs>
          <w:tab w:val="left" w:pos="567"/>
        </w:tabs>
        <w:autoSpaceDE w:val="0"/>
        <w:autoSpaceDN w:val="0"/>
        <w:adjustRightInd w:val="0"/>
        <w:spacing w:before="100" w:after="0" w:line="240" w:lineRule="auto"/>
        <w:jc w:val="center"/>
        <w:rPr>
          <w:rFonts w:ascii="Verdana" w:hAnsi="Verdana" w:cs="Verdana"/>
          <w:b/>
          <w:caps/>
          <w:sz w:val="20"/>
          <w:szCs w:val="20"/>
        </w:rPr>
      </w:pPr>
    </w:p>
    <w:p w:rsidR="00025B06" w:rsidRPr="00025B06" w:rsidRDefault="00B157A2" w:rsidP="002B2280">
      <w:pPr>
        <w:numPr>
          <w:ilvl w:val="0"/>
          <w:numId w:val="1"/>
        </w:numPr>
        <w:tabs>
          <w:tab w:val="left" w:pos="567"/>
          <w:tab w:val="num" w:pos="720"/>
        </w:tabs>
        <w:spacing w:before="100" w:after="0" w:line="240" w:lineRule="auto"/>
        <w:jc w:val="both"/>
        <w:rPr>
          <w:rFonts w:ascii="Verdana" w:eastAsia="Times" w:hAnsi="Verdana"/>
          <w:sz w:val="20"/>
          <w:szCs w:val="20"/>
          <w:lang w:val="es-ES_tradnl"/>
        </w:rPr>
      </w:pPr>
      <w:bookmarkStart w:id="7" w:name="_Ref325023272"/>
      <w:r w:rsidRPr="006A22BE">
        <w:rPr>
          <w:rFonts w:ascii="Verdana" w:eastAsia="Times" w:hAnsi="Verdana"/>
          <w:sz w:val="20"/>
          <w:szCs w:val="20"/>
          <w:lang w:val="es-ES_tradnl"/>
        </w:rPr>
        <w:t>A continuación el Tribu</w:t>
      </w:r>
      <w:r w:rsidR="00025B06">
        <w:rPr>
          <w:rFonts w:ascii="Verdana" w:eastAsia="Times" w:hAnsi="Verdana"/>
          <w:sz w:val="20"/>
          <w:szCs w:val="20"/>
          <w:lang w:val="es-ES_tradnl"/>
        </w:rPr>
        <w:t>nal analizará la solicitud de lo</w:t>
      </w:r>
      <w:r w:rsidRPr="006A22BE">
        <w:rPr>
          <w:rFonts w:ascii="Verdana" w:eastAsia="Times" w:hAnsi="Verdana"/>
          <w:sz w:val="20"/>
          <w:szCs w:val="20"/>
          <w:lang w:val="es-ES_tradnl"/>
        </w:rPr>
        <w:t xml:space="preserve">s representantes para determinar si, de acuerdo a la normativa y a los estándares desarrollados en su jurisprudencia, procede aclarar el sentido o alcance </w:t>
      </w:r>
      <w:r w:rsidR="00025B06">
        <w:rPr>
          <w:rFonts w:ascii="Verdana" w:eastAsia="Times" w:hAnsi="Verdana"/>
          <w:sz w:val="20"/>
          <w:szCs w:val="20"/>
          <w:lang w:val="es-ES_tradnl"/>
        </w:rPr>
        <w:t xml:space="preserve">del párrafo 240 de </w:t>
      </w:r>
      <w:r w:rsidRPr="006A22BE">
        <w:rPr>
          <w:rFonts w:ascii="Verdana" w:eastAsia="Times" w:hAnsi="Verdana"/>
          <w:sz w:val="20"/>
          <w:szCs w:val="20"/>
          <w:lang w:val="es-ES_tradnl"/>
        </w:rPr>
        <w:t xml:space="preserve">la Sentencia. </w:t>
      </w:r>
      <w:r w:rsidR="00025B06" w:rsidRPr="00025B06">
        <w:rPr>
          <w:rFonts w:ascii="Verdana" w:hAnsi="Verdana"/>
          <w:sz w:val="20"/>
        </w:rPr>
        <w:t>En dicho párrafo la Corte estableció que:</w:t>
      </w:r>
    </w:p>
    <w:p w:rsidR="00025B06" w:rsidRPr="006F5C9F" w:rsidRDefault="00025B06" w:rsidP="002B2280">
      <w:pPr>
        <w:pStyle w:val="Prrafodelista"/>
        <w:spacing w:before="100"/>
        <w:ind w:left="0"/>
        <w:jc w:val="both"/>
        <w:rPr>
          <w:rFonts w:ascii="Verdana" w:hAnsi="Verdana"/>
          <w:sz w:val="20"/>
        </w:rPr>
      </w:pPr>
    </w:p>
    <w:p w:rsidR="00025B06" w:rsidRDefault="00025B06" w:rsidP="002B2280">
      <w:pPr>
        <w:pStyle w:val="Prrafodelista"/>
        <w:tabs>
          <w:tab w:val="left" w:pos="709"/>
          <w:tab w:val="left" w:pos="993"/>
        </w:tabs>
        <w:spacing w:before="100" w:after="0" w:line="240" w:lineRule="auto"/>
        <w:ind w:left="709"/>
        <w:contextualSpacing w:val="0"/>
        <w:jc w:val="both"/>
        <w:rPr>
          <w:rFonts w:ascii="Verdana" w:hAnsi="Verdana"/>
          <w:sz w:val="16"/>
          <w:szCs w:val="16"/>
          <w:lang w:val="es-CO"/>
        </w:rPr>
      </w:pPr>
      <w:r w:rsidRPr="006F5C9F">
        <w:rPr>
          <w:rFonts w:ascii="Verdana" w:hAnsi="Verdana" w:cs="Arial"/>
          <w:sz w:val="16"/>
          <w:szCs w:val="16"/>
        </w:rPr>
        <w:t>“[F]</w:t>
      </w:r>
      <w:r w:rsidRPr="006F5C9F">
        <w:rPr>
          <w:rFonts w:ascii="Verdana" w:hAnsi="Verdana"/>
          <w:sz w:val="16"/>
          <w:szCs w:val="16"/>
          <w:lang w:val="es-CO"/>
        </w:rPr>
        <w:t>rente al punto referente a que algunos de los magistrados después de su destitución obtuvieron cargos en el sector público, esta Corte recuerda que el pago de salarios caídos es una medida de reparación por la privación intempestiva del trabajo y la expectativa legítima de seguir devengando esta contraprestación. En el presente caso los ex magistrados tenían la expectativa legítima de recibir salarios de forma vitalicia siempre y cuando no incurrieran en causales de destitución, lo que los pudo hacer adquirir compromisos económicos y expectativas de vida superiores a las que hubieran tenido […]. Al respecto, el Estado manifestó que algunos de los magistrados habían ejercido cargos públicos después de su destitución, lo cual debía ser tenido en cuenta a la hora de calcular su indemnización. En particular, el Estado hizo referencia a que los señores Donoso, Troya y Velasco habrían ejercido otros cargos dentro de la función pública. Con relación a este punto, la Corte hizo preguntas al Estado sobre la normatividad interna aplicable respecto a la prohibición de percibir dos salarios como funcionario público y solic</w:t>
      </w:r>
      <w:r w:rsidRPr="00251BDD">
        <w:rPr>
          <w:rFonts w:ascii="Verdana" w:hAnsi="Verdana"/>
          <w:sz w:val="16"/>
          <w:szCs w:val="16"/>
          <w:lang w:val="es-CO"/>
        </w:rPr>
        <w:t xml:space="preserve">itó expresamente al Estado que allegara la prueba que permitiera determinar quiénes de los magistrados habrían ocupado otros cargos. </w:t>
      </w:r>
      <w:r w:rsidRPr="00251BDD">
        <w:rPr>
          <w:rStyle w:val="apple-converted-space"/>
          <w:rFonts w:ascii="Verdana" w:hAnsi="Verdana" w:cs="Arial"/>
          <w:sz w:val="16"/>
          <w:szCs w:val="16"/>
          <w:shd w:val="clear" w:color="auto" w:fill="FFFFFF"/>
          <w:lang w:val="es-CO"/>
        </w:rPr>
        <w:t>Sobre este punto, la Corte observa que, si bien el Estado hizo referencia a los cargos que estos magistrados habrían tenido con posterioridad al cese como magistrados de la Corte Suprema, lo cierto es que el Estado no aportó prueba sobre los carg</w:t>
      </w:r>
      <w:r w:rsidR="007405B4">
        <w:rPr>
          <w:rStyle w:val="apple-converted-space"/>
          <w:rFonts w:ascii="Verdana" w:hAnsi="Verdana" w:cs="Arial"/>
          <w:sz w:val="16"/>
          <w:szCs w:val="16"/>
          <w:shd w:val="clear" w:color="auto" w:fill="FFFFFF"/>
          <w:lang w:val="es-CO"/>
        </w:rPr>
        <w:t>os que habrían ejercido, el perí</w:t>
      </w:r>
      <w:r w:rsidRPr="00251BDD">
        <w:rPr>
          <w:rStyle w:val="apple-converted-space"/>
          <w:rFonts w:ascii="Verdana" w:hAnsi="Verdana" w:cs="Arial"/>
          <w:sz w:val="16"/>
          <w:szCs w:val="16"/>
          <w:shd w:val="clear" w:color="auto" w:fill="FFFFFF"/>
          <w:lang w:val="es-CO"/>
        </w:rPr>
        <w:t xml:space="preserve">odo por el cual lo hicieron, ni el monto de los salarios que los señores Velasco, Troya y Donoso habrían obtenido en el ejercicio de dichos cargos. Por ello, </w:t>
      </w:r>
      <w:r w:rsidRPr="00B569B5">
        <w:rPr>
          <w:rStyle w:val="apple-converted-space"/>
          <w:rFonts w:ascii="Verdana" w:hAnsi="Verdana" w:cs="Arial"/>
          <w:sz w:val="16"/>
          <w:szCs w:val="16"/>
          <w:shd w:val="clear" w:color="auto" w:fill="FFFFFF"/>
          <w:lang w:val="es-CO"/>
        </w:rPr>
        <w:t xml:space="preserve">la Corte considera necesario fijar un plazo de tres meses a partir de la notificación de la presente Sentencia, para que el Estado establezca y remita a este Tribunal el monto especifico que habrían recibido los magistrados </w:t>
      </w:r>
      <w:r w:rsidRPr="00B569B5">
        <w:rPr>
          <w:rFonts w:ascii="Verdana" w:hAnsi="Verdana" w:cs="Arial"/>
          <w:sz w:val="16"/>
          <w:szCs w:val="16"/>
          <w:shd w:val="clear" w:color="auto" w:fill="FFFFFF"/>
          <w:lang w:val="es-CO"/>
        </w:rPr>
        <w:t>D</w:t>
      </w:r>
      <w:r w:rsidRPr="00B569B5">
        <w:rPr>
          <w:rFonts w:ascii="Verdana" w:hAnsi="Verdana"/>
          <w:sz w:val="16"/>
          <w:szCs w:val="16"/>
          <w:lang w:val="es-CO"/>
        </w:rPr>
        <w:t>onoso, Troya y Velasco por su desempeño en otros cargos públicos, con el fin de que dicha suma sea descontada de la indemnización que se fijará posteriormente luego de ser escuchadas las víctimas y en el marco de la supervisión de cumplimiento de la presente Sentencia</w:t>
      </w:r>
      <w:r w:rsidRPr="00251BDD">
        <w:rPr>
          <w:rFonts w:ascii="Verdana" w:hAnsi="Verdana"/>
          <w:sz w:val="16"/>
          <w:szCs w:val="16"/>
          <w:lang w:val="es-CO"/>
        </w:rPr>
        <w:t xml:space="preserve"> […]</w:t>
      </w:r>
      <w:r w:rsidRPr="00251BDD">
        <w:rPr>
          <w:rStyle w:val="apple-converted-space"/>
          <w:rFonts w:ascii="Verdana" w:hAnsi="Verdana" w:cs="Arial"/>
          <w:sz w:val="16"/>
          <w:szCs w:val="16"/>
          <w:shd w:val="clear" w:color="auto" w:fill="FFFFFF"/>
          <w:lang w:val="es-CO"/>
        </w:rPr>
        <w:t xml:space="preserve">. En caso de que el Estado no presente dicha información en el plazo establecido, se entenderá que el monto por concepto de daño material de los magistrados </w:t>
      </w:r>
      <w:r w:rsidRPr="00251BDD">
        <w:rPr>
          <w:rFonts w:ascii="Verdana" w:hAnsi="Verdana" w:cs="Arial"/>
          <w:sz w:val="16"/>
          <w:szCs w:val="16"/>
          <w:shd w:val="clear" w:color="auto" w:fill="FFFFFF"/>
          <w:lang w:val="es-CO"/>
        </w:rPr>
        <w:t>D</w:t>
      </w:r>
      <w:r w:rsidRPr="00251BDD">
        <w:rPr>
          <w:rFonts w:ascii="Verdana" w:hAnsi="Verdana"/>
          <w:sz w:val="16"/>
          <w:szCs w:val="16"/>
          <w:lang w:val="es-CO"/>
        </w:rPr>
        <w:t>onoso, Troya y Velasco será el fijado en la presente Sentencia”</w:t>
      </w:r>
      <w:r w:rsidR="001364F3">
        <w:rPr>
          <w:rFonts w:ascii="Verdana" w:hAnsi="Verdana"/>
          <w:sz w:val="16"/>
          <w:szCs w:val="16"/>
          <w:lang w:val="es-CO"/>
        </w:rPr>
        <w:t>.</w:t>
      </w:r>
      <w:r w:rsidRPr="00251BDD">
        <w:rPr>
          <w:rFonts w:ascii="Verdana" w:hAnsi="Verdana"/>
          <w:sz w:val="16"/>
          <w:szCs w:val="16"/>
          <w:lang w:val="es-CO"/>
        </w:rPr>
        <w:t xml:space="preserve"> </w:t>
      </w:r>
    </w:p>
    <w:p w:rsidR="004B3B4B" w:rsidRPr="00251BDD" w:rsidRDefault="004B3B4B" w:rsidP="002B2280">
      <w:pPr>
        <w:pStyle w:val="Prrafodelista"/>
        <w:tabs>
          <w:tab w:val="left" w:pos="709"/>
          <w:tab w:val="left" w:pos="993"/>
        </w:tabs>
        <w:spacing w:before="100" w:after="0" w:line="240" w:lineRule="auto"/>
        <w:ind w:left="709"/>
        <w:contextualSpacing w:val="0"/>
        <w:jc w:val="both"/>
        <w:rPr>
          <w:rFonts w:ascii="Verdana" w:hAnsi="Verdana"/>
          <w:sz w:val="16"/>
          <w:szCs w:val="16"/>
          <w:lang w:val="es-CO"/>
        </w:rPr>
      </w:pPr>
    </w:p>
    <w:p w:rsidR="00B157A2" w:rsidRPr="006A22BE" w:rsidRDefault="00B157A2" w:rsidP="002B2280">
      <w:pPr>
        <w:numPr>
          <w:ilvl w:val="0"/>
          <w:numId w:val="1"/>
        </w:numPr>
        <w:tabs>
          <w:tab w:val="left" w:pos="567"/>
          <w:tab w:val="num" w:pos="720"/>
        </w:tabs>
        <w:spacing w:before="100" w:after="0" w:line="240" w:lineRule="auto"/>
        <w:jc w:val="both"/>
        <w:rPr>
          <w:rFonts w:ascii="Verdana" w:eastAsia="Times" w:hAnsi="Verdana"/>
          <w:sz w:val="20"/>
          <w:szCs w:val="20"/>
          <w:lang w:val="es-ES_tradnl"/>
        </w:rPr>
      </w:pPr>
      <w:r w:rsidRPr="006A22BE">
        <w:rPr>
          <w:rFonts w:ascii="Verdana" w:eastAsia="Times" w:hAnsi="Verdana"/>
          <w:sz w:val="20"/>
          <w:szCs w:val="20"/>
          <w:lang w:val="es-ES_tradnl"/>
        </w:rPr>
        <w:t xml:space="preserve">La Corte examinará </w:t>
      </w:r>
      <w:r w:rsidR="00025B06">
        <w:rPr>
          <w:rFonts w:ascii="Verdana" w:eastAsia="Times" w:hAnsi="Verdana"/>
          <w:sz w:val="20"/>
          <w:szCs w:val="20"/>
          <w:lang w:val="es-ES_tradnl"/>
        </w:rPr>
        <w:t>las cuestiones planteadas por lo</w:t>
      </w:r>
      <w:r w:rsidRPr="006A22BE">
        <w:rPr>
          <w:rFonts w:ascii="Verdana" w:eastAsia="Times" w:hAnsi="Verdana"/>
          <w:sz w:val="20"/>
          <w:szCs w:val="20"/>
          <w:lang w:val="es-ES_tradnl"/>
        </w:rPr>
        <w:t xml:space="preserve">s representantes, así como los alegatos presentados por el Estado y la Comisión, respectivamente. </w:t>
      </w:r>
      <w:bookmarkEnd w:id="7"/>
    </w:p>
    <w:p w:rsidR="00B157A2" w:rsidRPr="00251BDD" w:rsidRDefault="00B157A2" w:rsidP="002B2280">
      <w:pPr>
        <w:tabs>
          <w:tab w:val="left" w:pos="567"/>
        </w:tabs>
        <w:spacing w:before="100" w:after="0" w:line="240" w:lineRule="auto"/>
        <w:jc w:val="both"/>
        <w:rPr>
          <w:rFonts w:ascii="Verdana" w:eastAsia="Times" w:hAnsi="Verdana"/>
          <w:sz w:val="20"/>
          <w:szCs w:val="20"/>
          <w:lang w:val="es-ES_tradnl"/>
        </w:rPr>
      </w:pPr>
      <w:bookmarkStart w:id="8" w:name="_Ref324754196"/>
    </w:p>
    <w:p w:rsidR="00B157A2" w:rsidRPr="006A22BE" w:rsidRDefault="00B157A2" w:rsidP="002B2280">
      <w:pPr>
        <w:tabs>
          <w:tab w:val="left" w:pos="567"/>
        </w:tabs>
        <w:spacing w:before="100" w:after="0" w:line="240" w:lineRule="auto"/>
        <w:jc w:val="both"/>
        <w:rPr>
          <w:rFonts w:ascii="Verdana" w:eastAsia="Times" w:hAnsi="Verdana"/>
          <w:i/>
          <w:sz w:val="20"/>
          <w:szCs w:val="20"/>
        </w:rPr>
      </w:pPr>
      <w:r w:rsidRPr="006A22BE">
        <w:rPr>
          <w:rFonts w:ascii="Verdana" w:eastAsia="Times" w:hAnsi="Verdana"/>
          <w:i/>
          <w:sz w:val="20"/>
          <w:szCs w:val="20"/>
        </w:rPr>
        <w:tab/>
        <w:t>Argumentos de la</w:t>
      </w:r>
      <w:r w:rsidR="00887D26">
        <w:rPr>
          <w:rFonts w:ascii="Verdana" w:eastAsia="Times" w:hAnsi="Verdana"/>
          <w:i/>
          <w:sz w:val="20"/>
          <w:szCs w:val="20"/>
        </w:rPr>
        <w:t>s partes y de la</w:t>
      </w:r>
      <w:r w:rsidRPr="006A22BE">
        <w:rPr>
          <w:rFonts w:ascii="Verdana" w:eastAsia="Times" w:hAnsi="Verdana"/>
          <w:i/>
          <w:sz w:val="20"/>
          <w:szCs w:val="20"/>
        </w:rPr>
        <w:t xml:space="preserve"> Comisión </w:t>
      </w:r>
    </w:p>
    <w:p w:rsidR="00B157A2" w:rsidRPr="006A22BE" w:rsidRDefault="00B157A2" w:rsidP="002B2280">
      <w:pPr>
        <w:tabs>
          <w:tab w:val="left" w:pos="567"/>
        </w:tabs>
        <w:spacing w:before="100" w:after="0" w:line="240" w:lineRule="auto"/>
        <w:jc w:val="both"/>
        <w:rPr>
          <w:rFonts w:ascii="Verdana" w:eastAsia="Times" w:hAnsi="Verdana"/>
          <w:sz w:val="20"/>
          <w:szCs w:val="20"/>
        </w:rPr>
      </w:pPr>
    </w:p>
    <w:p w:rsidR="003D5DD8" w:rsidRPr="007C3839" w:rsidRDefault="00025B06" w:rsidP="002B2280">
      <w:pPr>
        <w:numPr>
          <w:ilvl w:val="0"/>
          <w:numId w:val="1"/>
        </w:numPr>
        <w:tabs>
          <w:tab w:val="left" w:pos="567"/>
          <w:tab w:val="num" w:pos="720"/>
        </w:tabs>
        <w:autoSpaceDE w:val="0"/>
        <w:autoSpaceDN w:val="0"/>
        <w:adjustRightInd w:val="0"/>
        <w:spacing w:before="100" w:after="0" w:line="240" w:lineRule="auto"/>
        <w:jc w:val="both"/>
        <w:rPr>
          <w:rFonts w:ascii="Verdana" w:hAnsi="Verdana"/>
          <w:sz w:val="20"/>
          <w:szCs w:val="20"/>
        </w:rPr>
      </w:pPr>
      <w:r w:rsidRPr="007C3839">
        <w:rPr>
          <w:rFonts w:ascii="Verdana" w:hAnsi="Verdana" w:cs="Verdana"/>
          <w:sz w:val="20"/>
          <w:szCs w:val="20"/>
        </w:rPr>
        <w:t xml:space="preserve">Los </w:t>
      </w:r>
      <w:r w:rsidRPr="000F03B0">
        <w:rPr>
          <w:rFonts w:ascii="Verdana" w:hAnsi="Verdana" w:cs="Verdana"/>
          <w:b/>
          <w:i/>
          <w:sz w:val="20"/>
          <w:szCs w:val="20"/>
        </w:rPr>
        <w:t>representantes</w:t>
      </w:r>
      <w:r w:rsidRPr="007C3839">
        <w:rPr>
          <w:rFonts w:ascii="Verdana" w:hAnsi="Verdana" w:cs="Verdana"/>
          <w:sz w:val="20"/>
          <w:szCs w:val="20"/>
        </w:rPr>
        <w:t xml:space="preserve"> alegaron </w:t>
      </w:r>
      <w:r w:rsidR="006F5584" w:rsidRPr="007C3839">
        <w:rPr>
          <w:rFonts w:ascii="Verdana" w:hAnsi="Verdana" w:cs="Verdana"/>
          <w:sz w:val="20"/>
          <w:szCs w:val="20"/>
        </w:rPr>
        <w:t xml:space="preserve">que una </w:t>
      </w:r>
      <w:r w:rsidR="00CE583B" w:rsidRPr="007C3839">
        <w:rPr>
          <w:rFonts w:ascii="Verdana" w:hAnsi="Verdana"/>
          <w:sz w:val="20"/>
          <w:szCs w:val="20"/>
        </w:rPr>
        <w:t xml:space="preserve">indemnización como medida de reparación </w:t>
      </w:r>
      <w:r w:rsidR="001151EC" w:rsidRPr="007C3839">
        <w:rPr>
          <w:rFonts w:ascii="Verdana" w:hAnsi="Verdana"/>
          <w:sz w:val="20"/>
          <w:szCs w:val="20"/>
        </w:rPr>
        <w:t>“</w:t>
      </w:r>
      <w:r w:rsidR="00CE583B" w:rsidRPr="007C3839">
        <w:rPr>
          <w:rFonts w:ascii="Verdana" w:hAnsi="Verdana"/>
          <w:sz w:val="20"/>
          <w:szCs w:val="20"/>
        </w:rPr>
        <w:t>no puede ser equiparable a una posible compensación de salarios por futuros empleos, incluso si son en el sector público</w:t>
      </w:r>
      <w:r w:rsidR="001151EC" w:rsidRPr="007C3839">
        <w:rPr>
          <w:rFonts w:ascii="Verdana" w:hAnsi="Verdana"/>
          <w:sz w:val="20"/>
          <w:szCs w:val="20"/>
        </w:rPr>
        <w:t>”</w:t>
      </w:r>
      <w:r w:rsidR="00CE583B" w:rsidRPr="007C3839">
        <w:rPr>
          <w:rFonts w:ascii="Verdana" w:hAnsi="Verdana"/>
          <w:sz w:val="20"/>
          <w:szCs w:val="20"/>
        </w:rPr>
        <w:t>.</w:t>
      </w:r>
      <w:r w:rsidR="001151EC" w:rsidRPr="007C3839">
        <w:rPr>
          <w:rFonts w:ascii="Verdana" w:hAnsi="Verdana"/>
          <w:sz w:val="20"/>
          <w:szCs w:val="20"/>
        </w:rPr>
        <w:t xml:space="preserve"> Agregaron que “t</w:t>
      </w:r>
      <w:r w:rsidR="00CE583B" w:rsidRPr="007C3839">
        <w:rPr>
          <w:rFonts w:ascii="Verdana" w:hAnsi="Verdana"/>
          <w:sz w:val="20"/>
          <w:szCs w:val="20"/>
        </w:rPr>
        <w:t>ampoco es equiparable a la noción de pluriempleo, dado que la reparación tiene relación con una indemnización por una violación de derechos, y la remuneración tiene relación con los ingresos obtenidos por un empleo</w:t>
      </w:r>
      <w:r w:rsidR="001151EC" w:rsidRPr="007C3839">
        <w:rPr>
          <w:rFonts w:ascii="Verdana" w:hAnsi="Verdana"/>
          <w:sz w:val="20"/>
          <w:szCs w:val="20"/>
        </w:rPr>
        <w:t>”</w:t>
      </w:r>
      <w:r w:rsidR="00CE583B" w:rsidRPr="007C3839">
        <w:rPr>
          <w:rFonts w:ascii="Verdana" w:hAnsi="Verdana"/>
          <w:sz w:val="20"/>
          <w:szCs w:val="20"/>
        </w:rPr>
        <w:t xml:space="preserve">. Por tanto, </w:t>
      </w:r>
      <w:r w:rsidR="001151EC" w:rsidRPr="007C3839">
        <w:rPr>
          <w:rFonts w:ascii="Verdana" w:hAnsi="Verdana"/>
          <w:sz w:val="20"/>
          <w:szCs w:val="20"/>
        </w:rPr>
        <w:t>“</w:t>
      </w:r>
      <w:r w:rsidR="00CE583B" w:rsidRPr="007C3839">
        <w:rPr>
          <w:rFonts w:ascii="Verdana" w:hAnsi="Verdana"/>
          <w:sz w:val="20"/>
          <w:szCs w:val="20"/>
        </w:rPr>
        <w:t>no se podría descontar remuneración por empleos futuros ocupados en el sector público después de haber sucedido una violación de derechos humanos</w:t>
      </w:r>
      <w:r w:rsidR="001151EC" w:rsidRPr="007C3839">
        <w:rPr>
          <w:rFonts w:ascii="Verdana" w:hAnsi="Verdana"/>
          <w:sz w:val="20"/>
          <w:szCs w:val="20"/>
        </w:rPr>
        <w:t>”</w:t>
      </w:r>
      <w:r w:rsidR="00CE583B" w:rsidRPr="007C3839">
        <w:rPr>
          <w:rFonts w:ascii="Verdana" w:hAnsi="Verdana"/>
          <w:sz w:val="20"/>
          <w:szCs w:val="20"/>
        </w:rPr>
        <w:t>.</w:t>
      </w:r>
      <w:r w:rsidR="001151EC" w:rsidRPr="007C3839">
        <w:rPr>
          <w:rFonts w:ascii="Verdana" w:hAnsi="Verdana"/>
          <w:sz w:val="20"/>
          <w:szCs w:val="20"/>
        </w:rPr>
        <w:t xml:space="preserve"> Indicaron que si “</w:t>
      </w:r>
      <w:r w:rsidR="00CE583B" w:rsidRPr="007C3839">
        <w:rPr>
          <w:rFonts w:ascii="Verdana" w:hAnsi="Verdana"/>
          <w:sz w:val="20"/>
          <w:szCs w:val="20"/>
        </w:rPr>
        <w:t>trabajar en un empleo público es una forma de reparar una violación de derechos</w:t>
      </w:r>
      <w:r w:rsidR="001151EC" w:rsidRPr="007C3839">
        <w:rPr>
          <w:rFonts w:ascii="Verdana" w:hAnsi="Verdana"/>
          <w:sz w:val="20"/>
          <w:szCs w:val="20"/>
        </w:rPr>
        <w:t>” ello “</w:t>
      </w:r>
      <w:r w:rsidR="00CE583B" w:rsidRPr="007C3839">
        <w:rPr>
          <w:rFonts w:ascii="Verdana" w:hAnsi="Verdana"/>
          <w:sz w:val="20"/>
          <w:szCs w:val="20"/>
        </w:rPr>
        <w:t xml:space="preserve">no </w:t>
      </w:r>
      <w:proofErr w:type="gramStart"/>
      <w:r w:rsidR="00CE583B" w:rsidRPr="007C3839">
        <w:rPr>
          <w:rFonts w:ascii="Verdana" w:hAnsi="Verdana"/>
          <w:sz w:val="20"/>
          <w:szCs w:val="20"/>
        </w:rPr>
        <w:t>t</w:t>
      </w:r>
      <w:r w:rsidR="001151EC" w:rsidRPr="007C3839">
        <w:rPr>
          <w:rFonts w:ascii="Verdana" w:hAnsi="Verdana"/>
          <w:sz w:val="20"/>
          <w:szCs w:val="20"/>
        </w:rPr>
        <w:t>[</w:t>
      </w:r>
      <w:proofErr w:type="spellStart"/>
      <w:proofErr w:type="gramEnd"/>
      <w:r w:rsidR="001151EC" w:rsidRPr="007C3839">
        <w:rPr>
          <w:rFonts w:ascii="Verdana" w:hAnsi="Verdana"/>
          <w:sz w:val="20"/>
          <w:szCs w:val="20"/>
        </w:rPr>
        <w:t>endría</w:t>
      </w:r>
      <w:proofErr w:type="spellEnd"/>
      <w:r w:rsidR="001151EC" w:rsidRPr="007C3839">
        <w:rPr>
          <w:rFonts w:ascii="Verdana" w:hAnsi="Verdana"/>
          <w:sz w:val="20"/>
          <w:szCs w:val="20"/>
        </w:rPr>
        <w:t xml:space="preserve">] </w:t>
      </w:r>
      <w:r w:rsidR="00CE583B" w:rsidRPr="007C3839">
        <w:rPr>
          <w:rFonts w:ascii="Verdana" w:hAnsi="Verdana"/>
          <w:sz w:val="20"/>
          <w:szCs w:val="20"/>
        </w:rPr>
        <w:t>mucho sentido</w:t>
      </w:r>
      <w:r w:rsidR="001151EC" w:rsidRPr="007C3839">
        <w:rPr>
          <w:rFonts w:ascii="Verdana" w:hAnsi="Verdana"/>
          <w:sz w:val="20"/>
          <w:szCs w:val="20"/>
        </w:rPr>
        <w:t>”</w:t>
      </w:r>
      <w:r w:rsidR="00CE583B" w:rsidRPr="007C3839">
        <w:rPr>
          <w:rFonts w:ascii="Verdana" w:hAnsi="Verdana"/>
          <w:sz w:val="20"/>
          <w:szCs w:val="20"/>
        </w:rPr>
        <w:t xml:space="preserve">. </w:t>
      </w:r>
    </w:p>
    <w:p w:rsidR="003D5DD8" w:rsidRPr="007C3839" w:rsidRDefault="003D5DD8" w:rsidP="002B2280">
      <w:pPr>
        <w:tabs>
          <w:tab w:val="left" w:pos="567"/>
        </w:tabs>
        <w:autoSpaceDE w:val="0"/>
        <w:autoSpaceDN w:val="0"/>
        <w:adjustRightInd w:val="0"/>
        <w:spacing w:before="100" w:after="0" w:line="240" w:lineRule="auto"/>
        <w:jc w:val="both"/>
        <w:rPr>
          <w:rFonts w:ascii="Verdana" w:hAnsi="Verdana"/>
          <w:sz w:val="20"/>
          <w:szCs w:val="20"/>
        </w:rPr>
      </w:pPr>
    </w:p>
    <w:p w:rsidR="005C1D6C" w:rsidRPr="00B90AE7" w:rsidRDefault="003D5DD8" w:rsidP="002B2280">
      <w:pPr>
        <w:numPr>
          <w:ilvl w:val="0"/>
          <w:numId w:val="1"/>
        </w:numPr>
        <w:tabs>
          <w:tab w:val="left" w:pos="567"/>
          <w:tab w:val="num" w:pos="720"/>
        </w:tabs>
        <w:autoSpaceDE w:val="0"/>
        <w:autoSpaceDN w:val="0"/>
        <w:adjustRightInd w:val="0"/>
        <w:spacing w:before="100" w:after="0" w:line="240" w:lineRule="auto"/>
        <w:jc w:val="both"/>
        <w:rPr>
          <w:rFonts w:ascii="Verdana" w:hAnsi="Verdana"/>
          <w:sz w:val="20"/>
          <w:szCs w:val="20"/>
        </w:rPr>
      </w:pPr>
      <w:r w:rsidRPr="00B90AE7">
        <w:rPr>
          <w:rFonts w:ascii="Verdana" w:hAnsi="Verdana"/>
          <w:sz w:val="20"/>
          <w:szCs w:val="20"/>
        </w:rPr>
        <w:t xml:space="preserve">Por otra parte, los </w:t>
      </w:r>
      <w:r w:rsidRPr="000F03B0">
        <w:rPr>
          <w:rFonts w:ascii="Verdana" w:hAnsi="Verdana"/>
          <w:b/>
          <w:i/>
          <w:sz w:val="20"/>
          <w:szCs w:val="20"/>
        </w:rPr>
        <w:t>representantes</w:t>
      </w:r>
      <w:r w:rsidRPr="00B90AE7">
        <w:rPr>
          <w:rFonts w:ascii="Verdana" w:hAnsi="Verdana"/>
          <w:sz w:val="20"/>
          <w:szCs w:val="20"/>
        </w:rPr>
        <w:t xml:space="preserve"> indicaron que las víctimas “</w:t>
      </w:r>
      <w:r w:rsidR="00CE583B" w:rsidRPr="00B90AE7">
        <w:rPr>
          <w:rFonts w:ascii="Verdana" w:hAnsi="Verdana"/>
          <w:sz w:val="20"/>
          <w:szCs w:val="20"/>
        </w:rPr>
        <w:t>se vieron abocados a una situación de desempleo</w:t>
      </w:r>
      <w:r w:rsidRPr="00B90AE7">
        <w:rPr>
          <w:rFonts w:ascii="Verdana" w:hAnsi="Verdana"/>
          <w:sz w:val="20"/>
          <w:szCs w:val="20"/>
        </w:rPr>
        <w:t xml:space="preserve">” y el trabajo que algunos consiguieron fue </w:t>
      </w:r>
      <w:r w:rsidR="00CE583B" w:rsidRPr="00B90AE7">
        <w:rPr>
          <w:rFonts w:ascii="Verdana" w:hAnsi="Verdana"/>
          <w:sz w:val="20"/>
          <w:szCs w:val="20"/>
        </w:rPr>
        <w:t>en la función pública</w:t>
      </w:r>
      <w:r w:rsidRPr="00B90AE7">
        <w:rPr>
          <w:rFonts w:ascii="Verdana" w:hAnsi="Verdana"/>
          <w:sz w:val="20"/>
          <w:szCs w:val="20"/>
        </w:rPr>
        <w:t xml:space="preserve"> mientras que otros magistrados </w:t>
      </w:r>
      <w:r w:rsidR="00CE583B" w:rsidRPr="00B90AE7">
        <w:rPr>
          <w:rFonts w:ascii="Verdana" w:hAnsi="Verdana"/>
          <w:sz w:val="20"/>
          <w:szCs w:val="20"/>
        </w:rPr>
        <w:t>consiguieron otros trabajos remunerados tanto en el sector público como en el sector privado.</w:t>
      </w:r>
      <w:r w:rsidR="0051665B" w:rsidRPr="00B90AE7">
        <w:rPr>
          <w:rFonts w:ascii="Verdana" w:hAnsi="Verdana"/>
          <w:sz w:val="20"/>
          <w:szCs w:val="20"/>
        </w:rPr>
        <w:t xml:space="preserve"> </w:t>
      </w:r>
      <w:r w:rsidR="003061A9">
        <w:rPr>
          <w:rFonts w:ascii="Verdana" w:hAnsi="Verdana"/>
          <w:sz w:val="20"/>
          <w:szCs w:val="20"/>
        </w:rPr>
        <w:t>Alegaron</w:t>
      </w:r>
      <w:r w:rsidR="003061A9" w:rsidRPr="00B90AE7">
        <w:rPr>
          <w:rFonts w:ascii="Verdana" w:hAnsi="Verdana"/>
          <w:sz w:val="20"/>
          <w:szCs w:val="20"/>
        </w:rPr>
        <w:t xml:space="preserve"> </w:t>
      </w:r>
      <w:r w:rsidR="0051665B" w:rsidRPr="00B90AE7">
        <w:rPr>
          <w:rFonts w:ascii="Verdana" w:hAnsi="Verdana"/>
          <w:sz w:val="20"/>
          <w:szCs w:val="20"/>
        </w:rPr>
        <w:t>que “</w:t>
      </w:r>
      <w:r w:rsidR="00CE583B" w:rsidRPr="00B90AE7">
        <w:rPr>
          <w:rFonts w:ascii="Verdana" w:hAnsi="Verdana"/>
          <w:sz w:val="20"/>
          <w:szCs w:val="20"/>
        </w:rPr>
        <w:t>el hecho de que tres personas hayan vuelto a trabajar al sector público y que se ordene el descuento de la indemnización, da un trato diferenciado en relación a otras víctimas</w:t>
      </w:r>
      <w:r w:rsidR="0051665B" w:rsidRPr="00B90AE7">
        <w:rPr>
          <w:rFonts w:ascii="Verdana" w:hAnsi="Verdana"/>
          <w:sz w:val="20"/>
          <w:szCs w:val="20"/>
        </w:rPr>
        <w:t>”</w:t>
      </w:r>
      <w:r w:rsidR="00CE583B" w:rsidRPr="00B90AE7">
        <w:rPr>
          <w:rFonts w:ascii="Verdana" w:hAnsi="Verdana"/>
          <w:sz w:val="20"/>
          <w:szCs w:val="20"/>
        </w:rPr>
        <w:t xml:space="preserve"> que, </w:t>
      </w:r>
      <w:r w:rsidR="0051665B" w:rsidRPr="00B90AE7">
        <w:rPr>
          <w:rFonts w:ascii="Verdana" w:hAnsi="Verdana"/>
          <w:sz w:val="20"/>
          <w:szCs w:val="20"/>
        </w:rPr>
        <w:t>“</w:t>
      </w:r>
      <w:r w:rsidR="00CE583B" w:rsidRPr="00B90AE7">
        <w:rPr>
          <w:rFonts w:ascii="Verdana" w:hAnsi="Verdana"/>
          <w:sz w:val="20"/>
          <w:szCs w:val="20"/>
        </w:rPr>
        <w:t>de igual manera, tienen derecho a la indemnización pero no se les descuenta de la reparación. Este trato podría ser co</w:t>
      </w:r>
      <w:r w:rsidR="0051665B" w:rsidRPr="00B90AE7">
        <w:rPr>
          <w:rFonts w:ascii="Verdana" w:hAnsi="Verdana"/>
          <w:sz w:val="20"/>
          <w:szCs w:val="20"/>
        </w:rPr>
        <w:t xml:space="preserve">nsiderado discriminatorio y </w:t>
      </w:r>
      <w:proofErr w:type="gramStart"/>
      <w:r w:rsidR="0051665B" w:rsidRPr="00B90AE7">
        <w:rPr>
          <w:rFonts w:ascii="Verdana" w:hAnsi="Verdana"/>
          <w:sz w:val="20"/>
          <w:szCs w:val="20"/>
        </w:rPr>
        <w:t>ha[</w:t>
      </w:r>
      <w:proofErr w:type="gramEnd"/>
      <w:r w:rsidR="0051665B" w:rsidRPr="00B90AE7">
        <w:rPr>
          <w:rFonts w:ascii="Verdana" w:hAnsi="Verdana"/>
          <w:sz w:val="20"/>
          <w:szCs w:val="20"/>
        </w:rPr>
        <w:t>ría]</w:t>
      </w:r>
      <w:r w:rsidR="00CE583B" w:rsidRPr="00B90AE7">
        <w:rPr>
          <w:rFonts w:ascii="Verdana" w:hAnsi="Verdana"/>
          <w:sz w:val="20"/>
          <w:szCs w:val="20"/>
        </w:rPr>
        <w:t xml:space="preserve"> una</w:t>
      </w:r>
      <w:r w:rsidR="0051665B" w:rsidRPr="00B90AE7">
        <w:rPr>
          <w:rFonts w:ascii="Verdana" w:hAnsi="Verdana"/>
          <w:sz w:val="20"/>
          <w:szCs w:val="20"/>
        </w:rPr>
        <w:t xml:space="preserve"> </w:t>
      </w:r>
      <w:r w:rsidR="00CE583B" w:rsidRPr="00B90AE7">
        <w:rPr>
          <w:rFonts w:ascii="Verdana" w:hAnsi="Verdana"/>
          <w:sz w:val="20"/>
          <w:szCs w:val="20"/>
        </w:rPr>
        <w:t>distinción que perjudica el legítimo derecho a ser reparados integralmente a tres víctimas</w:t>
      </w:r>
      <w:r w:rsidR="0051665B" w:rsidRPr="00B90AE7">
        <w:rPr>
          <w:rFonts w:ascii="Verdana" w:hAnsi="Verdana"/>
          <w:sz w:val="20"/>
          <w:szCs w:val="20"/>
        </w:rPr>
        <w:t>”</w:t>
      </w:r>
      <w:r w:rsidR="00CE583B" w:rsidRPr="00B90AE7">
        <w:rPr>
          <w:rFonts w:ascii="Verdana" w:hAnsi="Verdana"/>
          <w:sz w:val="20"/>
          <w:szCs w:val="20"/>
        </w:rPr>
        <w:t xml:space="preserve"> </w:t>
      </w:r>
      <w:r w:rsidR="0051665B" w:rsidRPr="00B90AE7">
        <w:rPr>
          <w:rFonts w:ascii="Verdana" w:hAnsi="Verdana"/>
          <w:sz w:val="20"/>
          <w:szCs w:val="20"/>
        </w:rPr>
        <w:t>del caso</w:t>
      </w:r>
      <w:r w:rsidR="00CE583B" w:rsidRPr="00B90AE7">
        <w:rPr>
          <w:rFonts w:ascii="Verdana" w:hAnsi="Verdana"/>
          <w:sz w:val="20"/>
          <w:szCs w:val="20"/>
        </w:rPr>
        <w:t xml:space="preserve">. </w:t>
      </w:r>
    </w:p>
    <w:p w:rsidR="005C1D6C" w:rsidRPr="00B90AE7" w:rsidRDefault="005C1D6C" w:rsidP="002B2280">
      <w:pPr>
        <w:pStyle w:val="Prrafodelista"/>
        <w:spacing w:before="100" w:after="0" w:line="240" w:lineRule="auto"/>
        <w:rPr>
          <w:rFonts w:ascii="Verdana" w:hAnsi="Verdana"/>
          <w:sz w:val="20"/>
          <w:szCs w:val="20"/>
        </w:rPr>
      </w:pPr>
    </w:p>
    <w:p w:rsidR="005C1D6C" w:rsidRPr="00B90AE7" w:rsidRDefault="007C3839" w:rsidP="002B2280">
      <w:pPr>
        <w:numPr>
          <w:ilvl w:val="0"/>
          <w:numId w:val="1"/>
        </w:numPr>
        <w:tabs>
          <w:tab w:val="left" w:pos="567"/>
          <w:tab w:val="num" w:pos="720"/>
        </w:tabs>
        <w:autoSpaceDE w:val="0"/>
        <w:autoSpaceDN w:val="0"/>
        <w:adjustRightInd w:val="0"/>
        <w:spacing w:before="100" w:after="0" w:line="240" w:lineRule="auto"/>
        <w:jc w:val="both"/>
        <w:rPr>
          <w:rFonts w:ascii="Verdana" w:hAnsi="Verdana"/>
          <w:sz w:val="20"/>
          <w:szCs w:val="20"/>
        </w:rPr>
      </w:pPr>
      <w:r w:rsidRPr="00B90AE7">
        <w:rPr>
          <w:rFonts w:ascii="Verdana" w:hAnsi="Verdana"/>
          <w:sz w:val="20"/>
          <w:szCs w:val="20"/>
        </w:rPr>
        <w:t xml:space="preserve">Asimismo, los </w:t>
      </w:r>
      <w:r w:rsidRPr="000F03B0">
        <w:rPr>
          <w:rFonts w:ascii="Verdana" w:hAnsi="Verdana"/>
          <w:b/>
          <w:i/>
          <w:sz w:val="20"/>
          <w:szCs w:val="20"/>
        </w:rPr>
        <w:t>representantes</w:t>
      </w:r>
      <w:r w:rsidRPr="00B90AE7">
        <w:rPr>
          <w:rFonts w:ascii="Verdana" w:hAnsi="Verdana"/>
          <w:sz w:val="20"/>
          <w:szCs w:val="20"/>
        </w:rPr>
        <w:t xml:space="preserve"> </w:t>
      </w:r>
      <w:r w:rsidR="003061A9">
        <w:rPr>
          <w:rFonts w:ascii="Verdana" w:hAnsi="Verdana"/>
          <w:sz w:val="20"/>
          <w:szCs w:val="20"/>
        </w:rPr>
        <w:t>argumentaron</w:t>
      </w:r>
      <w:r w:rsidR="003061A9" w:rsidRPr="00B90AE7">
        <w:rPr>
          <w:rFonts w:ascii="Verdana" w:hAnsi="Verdana"/>
          <w:sz w:val="20"/>
          <w:szCs w:val="20"/>
        </w:rPr>
        <w:t xml:space="preserve"> </w:t>
      </w:r>
      <w:r w:rsidRPr="00B90AE7">
        <w:rPr>
          <w:rFonts w:ascii="Verdana" w:hAnsi="Verdana"/>
          <w:sz w:val="20"/>
          <w:szCs w:val="20"/>
        </w:rPr>
        <w:t>que, “según la doctrina”, “</w:t>
      </w:r>
      <w:r w:rsidR="00CE583B" w:rsidRPr="00B90AE7">
        <w:rPr>
          <w:rFonts w:ascii="Verdana" w:hAnsi="Verdana"/>
          <w:sz w:val="20"/>
          <w:szCs w:val="20"/>
        </w:rPr>
        <w:t>la remuneración es totalmente distinta a la indemnización</w:t>
      </w:r>
      <w:r w:rsidRPr="00B90AE7">
        <w:rPr>
          <w:rFonts w:ascii="Verdana" w:hAnsi="Verdana"/>
          <w:sz w:val="20"/>
          <w:szCs w:val="20"/>
        </w:rPr>
        <w:t>”, razón por la cual pagar “</w:t>
      </w:r>
      <w:r w:rsidR="00CE583B" w:rsidRPr="00B90AE7">
        <w:rPr>
          <w:rFonts w:ascii="Verdana" w:hAnsi="Verdana"/>
          <w:sz w:val="20"/>
          <w:szCs w:val="20"/>
        </w:rPr>
        <w:t xml:space="preserve">una indemnización por una violación de derechos declarada en sentencia, con el trabajo y la remuneración de la propia víctima, no </w:t>
      </w:r>
      <w:r w:rsidRPr="00B90AE7">
        <w:rPr>
          <w:rFonts w:ascii="Verdana" w:hAnsi="Verdana"/>
          <w:sz w:val="20"/>
          <w:szCs w:val="20"/>
        </w:rPr>
        <w:t>[sería]</w:t>
      </w:r>
      <w:r w:rsidR="00CE583B" w:rsidRPr="00B90AE7">
        <w:rPr>
          <w:rFonts w:ascii="Verdana" w:hAnsi="Verdana"/>
          <w:sz w:val="20"/>
          <w:szCs w:val="20"/>
        </w:rPr>
        <w:t xml:space="preserve"> justo ni jurídicamente justificable</w:t>
      </w:r>
      <w:r w:rsidRPr="00B90AE7">
        <w:rPr>
          <w:rFonts w:ascii="Verdana" w:hAnsi="Verdana"/>
          <w:sz w:val="20"/>
          <w:szCs w:val="20"/>
        </w:rPr>
        <w:t>”</w:t>
      </w:r>
      <w:r w:rsidR="00CE583B" w:rsidRPr="00B90AE7">
        <w:rPr>
          <w:rFonts w:ascii="Verdana" w:hAnsi="Verdana"/>
          <w:sz w:val="20"/>
          <w:szCs w:val="20"/>
        </w:rPr>
        <w:t xml:space="preserve">. </w:t>
      </w:r>
      <w:r w:rsidR="00440309" w:rsidRPr="00B90AE7">
        <w:rPr>
          <w:rFonts w:ascii="Verdana" w:hAnsi="Verdana"/>
          <w:sz w:val="20"/>
          <w:szCs w:val="20"/>
        </w:rPr>
        <w:t>Agregaron que s</w:t>
      </w:r>
      <w:r w:rsidR="00CE583B" w:rsidRPr="00B90AE7">
        <w:rPr>
          <w:rFonts w:ascii="Verdana" w:hAnsi="Verdana"/>
          <w:sz w:val="20"/>
          <w:szCs w:val="20"/>
        </w:rPr>
        <w:t>egún las normas vigentes al momento de la destitución de los magistrados</w:t>
      </w:r>
      <w:r w:rsidR="00440309" w:rsidRPr="00B90AE7">
        <w:rPr>
          <w:rFonts w:ascii="Verdana" w:hAnsi="Verdana"/>
          <w:sz w:val="20"/>
          <w:szCs w:val="20"/>
        </w:rPr>
        <w:t>, “</w:t>
      </w:r>
      <w:r w:rsidR="00CE583B" w:rsidRPr="00B90AE7">
        <w:rPr>
          <w:rFonts w:ascii="Verdana" w:hAnsi="Verdana"/>
          <w:sz w:val="20"/>
          <w:szCs w:val="20"/>
        </w:rPr>
        <w:t>no existía la posibilidad de descontarse valores recibidos por motivos de indemnización</w:t>
      </w:r>
      <w:r w:rsidR="00440309" w:rsidRPr="00B90AE7">
        <w:rPr>
          <w:rFonts w:ascii="Verdana" w:hAnsi="Verdana"/>
          <w:sz w:val="20"/>
          <w:szCs w:val="20"/>
        </w:rPr>
        <w:t>”</w:t>
      </w:r>
      <w:r w:rsidR="00CE583B" w:rsidRPr="00B90AE7">
        <w:rPr>
          <w:rFonts w:ascii="Verdana" w:hAnsi="Verdana"/>
          <w:sz w:val="20"/>
          <w:szCs w:val="20"/>
        </w:rPr>
        <w:t>.</w:t>
      </w:r>
      <w:r w:rsidR="00440309" w:rsidRPr="00B90AE7">
        <w:rPr>
          <w:rFonts w:ascii="Verdana" w:hAnsi="Verdana"/>
          <w:sz w:val="20"/>
          <w:szCs w:val="20"/>
        </w:rPr>
        <w:t xml:space="preserve"> Mencionaron que l</w:t>
      </w:r>
      <w:r w:rsidR="00CE583B" w:rsidRPr="00B90AE7">
        <w:rPr>
          <w:rFonts w:ascii="Verdana" w:hAnsi="Verdana"/>
          <w:sz w:val="20"/>
          <w:szCs w:val="20"/>
        </w:rPr>
        <w:t xml:space="preserve">a indemnización </w:t>
      </w:r>
      <w:r w:rsidR="00440309" w:rsidRPr="00B90AE7">
        <w:rPr>
          <w:rFonts w:ascii="Verdana" w:hAnsi="Verdana"/>
          <w:sz w:val="20"/>
          <w:szCs w:val="20"/>
        </w:rPr>
        <w:t>“</w:t>
      </w:r>
      <w:r w:rsidR="00CE583B" w:rsidRPr="00B90AE7">
        <w:rPr>
          <w:rFonts w:ascii="Verdana" w:hAnsi="Verdana"/>
          <w:sz w:val="20"/>
          <w:szCs w:val="20"/>
        </w:rPr>
        <w:t>es por la violación de una norma y no es compensable, objeto de disminución o descuento, si hay un trabajo posterior, aún si fuese en la misma institución</w:t>
      </w:r>
      <w:r w:rsidR="00440309" w:rsidRPr="00B90AE7">
        <w:rPr>
          <w:rFonts w:ascii="Verdana" w:hAnsi="Verdana"/>
          <w:sz w:val="20"/>
          <w:szCs w:val="20"/>
        </w:rPr>
        <w:t>”</w:t>
      </w:r>
      <w:r w:rsidR="00CE583B" w:rsidRPr="00B90AE7">
        <w:rPr>
          <w:rFonts w:ascii="Verdana" w:hAnsi="Verdana"/>
          <w:sz w:val="20"/>
          <w:szCs w:val="20"/>
        </w:rPr>
        <w:t>.</w:t>
      </w:r>
    </w:p>
    <w:p w:rsidR="005C1D6C" w:rsidRPr="00B90AE7" w:rsidRDefault="005C1D6C" w:rsidP="002B2280">
      <w:pPr>
        <w:pStyle w:val="Prrafodelista"/>
        <w:spacing w:before="100" w:after="0" w:line="240" w:lineRule="auto"/>
        <w:rPr>
          <w:rFonts w:ascii="Verdana" w:hAnsi="Verdana"/>
          <w:sz w:val="20"/>
          <w:szCs w:val="20"/>
        </w:rPr>
      </w:pPr>
    </w:p>
    <w:p w:rsidR="00CE583B" w:rsidRPr="00B90AE7" w:rsidRDefault="005C1D6C" w:rsidP="002B2280">
      <w:pPr>
        <w:numPr>
          <w:ilvl w:val="0"/>
          <w:numId w:val="1"/>
        </w:numPr>
        <w:tabs>
          <w:tab w:val="left" w:pos="567"/>
          <w:tab w:val="num" w:pos="720"/>
        </w:tabs>
        <w:autoSpaceDE w:val="0"/>
        <w:autoSpaceDN w:val="0"/>
        <w:adjustRightInd w:val="0"/>
        <w:spacing w:before="100" w:after="0" w:line="240" w:lineRule="auto"/>
        <w:jc w:val="both"/>
        <w:rPr>
          <w:rFonts w:ascii="Verdana" w:hAnsi="Verdana"/>
          <w:sz w:val="20"/>
          <w:szCs w:val="20"/>
        </w:rPr>
      </w:pPr>
      <w:r w:rsidRPr="00B90AE7">
        <w:rPr>
          <w:rFonts w:ascii="Verdana" w:hAnsi="Verdana"/>
          <w:sz w:val="20"/>
          <w:szCs w:val="20"/>
        </w:rPr>
        <w:t xml:space="preserve">Adicionalmente, los </w:t>
      </w:r>
      <w:r w:rsidRPr="000F03B0">
        <w:rPr>
          <w:rFonts w:ascii="Verdana" w:hAnsi="Verdana"/>
          <w:b/>
          <w:i/>
          <w:sz w:val="20"/>
          <w:szCs w:val="20"/>
        </w:rPr>
        <w:t>representantes</w:t>
      </w:r>
      <w:r w:rsidRPr="00B90AE7">
        <w:rPr>
          <w:rFonts w:ascii="Verdana" w:hAnsi="Verdana"/>
          <w:sz w:val="20"/>
          <w:szCs w:val="20"/>
        </w:rPr>
        <w:t xml:space="preserve"> manifestaron que les “</w:t>
      </w:r>
      <w:proofErr w:type="gramStart"/>
      <w:r w:rsidRPr="00B90AE7">
        <w:rPr>
          <w:rFonts w:ascii="Verdana" w:hAnsi="Verdana"/>
          <w:sz w:val="20"/>
          <w:szCs w:val="20"/>
        </w:rPr>
        <w:t>llama[</w:t>
      </w:r>
      <w:proofErr w:type="spellStart"/>
      <w:proofErr w:type="gramEnd"/>
      <w:r w:rsidRPr="00B90AE7">
        <w:rPr>
          <w:rFonts w:ascii="Verdana" w:hAnsi="Verdana"/>
          <w:sz w:val="20"/>
          <w:szCs w:val="20"/>
        </w:rPr>
        <w:t>ba</w:t>
      </w:r>
      <w:proofErr w:type="spellEnd"/>
      <w:r w:rsidRPr="00B90AE7">
        <w:rPr>
          <w:rFonts w:ascii="Verdana" w:hAnsi="Verdana"/>
          <w:sz w:val="20"/>
          <w:szCs w:val="20"/>
        </w:rPr>
        <w:t>]</w:t>
      </w:r>
      <w:r w:rsidR="00CE583B" w:rsidRPr="00B90AE7">
        <w:rPr>
          <w:rFonts w:ascii="Verdana" w:hAnsi="Verdana"/>
          <w:sz w:val="20"/>
          <w:szCs w:val="20"/>
        </w:rPr>
        <w:t xml:space="preserve"> la atención</w:t>
      </w:r>
      <w:r w:rsidRPr="00B90AE7">
        <w:rPr>
          <w:rFonts w:ascii="Verdana" w:hAnsi="Verdana"/>
          <w:sz w:val="20"/>
          <w:szCs w:val="20"/>
        </w:rPr>
        <w:t>”</w:t>
      </w:r>
      <w:r w:rsidR="00CE583B" w:rsidRPr="00B90AE7">
        <w:rPr>
          <w:rFonts w:ascii="Verdana" w:hAnsi="Verdana"/>
          <w:sz w:val="20"/>
          <w:szCs w:val="20"/>
        </w:rPr>
        <w:t xml:space="preserve"> que la Corte haya </w:t>
      </w:r>
      <w:r w:rsidRPr="00B90AE7">
        <w:rPr>
          <w:rFonts w:ascii="Verdana" w:hAnsi="Verdana"/>
          <w:sz w:val="20"/>
          <w:szCs w:val="20"/>
        </w:rPr>
        <w:t>“</w:t>
      </w:r>
      <w:r w:rsidR="00CE583B" w:rsidRPr="00B90AE7">
        <w:rPr>
          <w:rFonts w:ascii="Verdana" w:hAnsi="Verdana"/>
          <w:sz w:val="20"/>
          <w:szCs w:val="20"/>
        </w:rPr>
        <w:t>considerado un hecho (remuneración percibida por algunas víctimas después de un hecho violatorio de derechos)</w:t>
      </w:r>
      <w:r w:rsidRPr="00B90AE7">
        <w:rPr>
          <w:rFonts w:ascii="Verdana" w:hAnsi="Verdana"/>
          <w:sz w:val="20"/>
          <w:szCs w:val="20"/>
        </w:rPr>
        <w:t>”</w:t>
      </w:r>
      <w:r w:rsidR="00CE583B" w:rsidRPr="00B90AE7">
        <w:rPr>
          <w:rFonts w:ascii="Verdana" w:hAnsi="Verdana"/>
          <w:sz w:val="20"/>
          <w:szCs w:val="20"/>
        </w:rPr>
        <w:t xml:space="preserve"> </w:t>
      </w:r>
      <w:r w:rsidRPr="00B90AE7">
        <w:rPr>
          <w:rFonts w:ascii="Verdana" w:hAnsi="Verdana"/>
          <w:sz w:val="20"/>
          <w:szCs w:val="20"/>
        </w:rPr>
        <w:t>presentado en la audiencia pública y no en la contestación al escrito de solicitudes y argumentos, “</w:t>
      </w:r>
      <w:r w:rsidR="00CE583B" w:rsidRPr="00B90AE7">
        <w:rPr>
          <w:rFonts w:ascii="Verdana" w:hAnsi="Verdana"/>
          <w:sz w:val="20"/>
          <w:szCs w:val="20"/>
        </w:rPr>
        <w:t>sin respaldo probatorio, y que la Corte para probar ese hecho, conceda en sentencia un período de prueba</w:t>
      </w:r>
      <w:r w:rsidRPr="00B90AE7">
        <w:rPr>
          <w:rFonts w:ascii="Verdana" w:hAnsi="Verdana"/>
          <w:sz w:val="20"/>
          <w:szCs w:val="20"/>
        </w:rPr>
        <w:t>”</w:t>
      </w:r>
      <w:r w:rsidR="00CE583B" w:rsidRPr="00B90AE7">
        <w:rPr>
          <w:rFonts w:ascii="Verdana" w:hAnsi="Verdana"/>
          <w:sz w:val="20"/>
          <w:szCs w:val="20"/>
        </w:rPr>
        <w:t xml:space="preserve">. </w:t>
      </w:r>
      <w:r w:rsidRPr="00B90AE7">
        <w:rPr>
          <w:rFonts w:ascii="Verdana" w:hAnsi="Verdana"/>
          <w:sz w:val="20"/>
          <w:szCs w:val="20"/>
        </w:rPr>
        <w:t>Indicaron que el hecho “</w:t>
      </w:r>
      <w:r w:rsidR="00CE583B" w:rsidRPr="00B90AE7">
        <w:rPr>
          <w:rFonts w:ascii="Verdana" w:hAnsi="Verdana"/>
          <w:sz w:val="20"/>
          <w:szCs w:val="20"/>
        </w:rPr>
        <w:t>debió haberlo presentado antes de la Audiencia y debió el Estado haberlo demostrado oportunamente</w:t>
      </w:r>
      <w:r w:rsidRPr="00B90AE7">
        <w:rPr>
          <w:rFonts w:ascii="Verdana" w:hAnsi="Verdana"/>
          <w:sz w:val="20"/>
          <w:szCs w:val="20"/>
        </w:rPr>
        <w:t xml:space="preserve">” para que </w:t>
      </w:r>
      <w:r w:rsidR="00CE583B" w:rsidRPr="00B90AE7">
        <w:rPr>
          <w:rFonts w:ascii="Verdana" w:hAnsi="Verdana"/>
          <w:sz w:val="20"/>
          <w:szCs w:val="20"/>
        </w:rPr>
        <w:t xml:space="preserve">los ex magistrados afectados </w:t>
      </w:r>
      <w:r w:rsidRPr="00B90AE7">
        <w:rPr>
          <w:rFonts w:ascii="Verdana" w:hAnsi="Verdana"/>
          <w:sz w:val="20"/>
          <w:szCs w:val="20"/>
        </w:rPr>
        <w:t>“</w:t>
      </w:r>
      <w:r w:rsidR="00CE583B" w:rsidRPr="00B90AE7">
        <w:rPr>
          <w:rFonts w:ascii="Verdana" w:hAnsi="Verdana"/>
          <w:sz w:val="20"/>
          <w:szCs w:val="20"/>
        </w:rPr>
        <w:t>se hubiesen podido defender, contradecir y evitar la sorpresa judicial</w:t>
      </w:r>
      <w:r w:rsidRPr="00B90AE7">
        <w:rPr>
          <w:rFonts w:ascii="Verdana" w:hAnsi="Verdana"/>
          <w:sz w:val="20"/>
          <w:szCs w:val="20"/>
        </w:rPr>
        <w:t>”</w:t>
      </w:r>
      <w:r w:rsidR="00CE583B" w:rsidRPr="00B90AE7">
        <w:rPr>
          <w:rFonts w:ascii="Verdana" w:hAnsi="Verdana"/>
          <w:sz w:val="20"/>
          <w:szCs w:val="20"/>
        </w:rPr>
        <w:t xml:space="preserve">. </w:t>
      </w:r>
      <w:r w:rsidRPr="00B90AE7">
        <w:rPr>
          <w:rFonts w:ascii="Verdana" w:hAnsi="Verdana"/>
          <w:sz w:val="20"/>
          <w:szCs w:val="20"/>
        </w:rPr>
        <w:t xml:space="preserve">Finalmente, </w:t>
      </w:r>
      <w:r w:rsidR="003061A9">
        <w:rPr>
          <w:rFonts w:ascii="Verdana" w:hAnsi="Verdana"/>
          <w:sz w:val="20"/>
          <w:szCs w:val="20"/>
        </w:rPr>
        <w:t>señalaron</w:t>
      </w:r>
      <w:r w:rsidR="003061A9" w:rsidRPr="00B90AE7">
        <w:rPr>
          <w:rFonts w:ascii="Verdana" w:hAnsi="Verdana"/>
          <w:sz w:val="20"/>
          <w:szCs w:val="20"/>
        </w:rPr>
        <w:t xml:space="preserve"> </w:t>
      </w:r>
      <w:r w:rsidRPr="00B90AE7">
        <w:rPr>
          <w:rFonts w:ascii="Verdana" w:hAnsi="Verdana"/>
          <w:sz w:val="20"/>
          <w:szCs w:val="20"/>
        </w:rPr>
        <w:t>que la “</w:t>
      </w:r>
      <w:r w:rsidR="00CE583B" w:rsidRPr="00B90AE7">
        <w:rPr>
          <w:rFonts w:ascii="Verdana" w:hAnsi="Verdana"/>
          <w:sz w:val="20"/>
          <w:szCs w:val="20"/>
        </w:rPr>
        <w:t>prueba solicitada al perjudicar el monto indemnizatorio producto de una violación de derechos humanos declarada en sentencia, no resulta necesaria ni útil para aclarar hechos o para configurar el contenido de un derecho</w:t>
      </w:r>
      <w:r w:rsidRPr="00B90AE7">
        <w:rPr>
          <w:rFonts w:ascii="Verdana" w:hAnsi="Verdana"/>
          <w:sz w:val="20"/>
          <w:szCs w:val="20"/>
        </w:rPr>
        <w:t xml:space="preserve">”. </w:t>
      </w:r>
    </w:p>
    <w:p w:rsidR="00CD7218" w:rsidRPr="00B90AE7" w:rsidRDefault="00CD7218" w:rsidP="002B2280">
      <w:pPr>
        <w:tabs>
          <w:tab w:val="left" w:pos="567"/>
        </w:tabs>
        <w:autoSpaceDE w:val="0"/>
        <w:autoSpaceDN w:val="0"/>
        <w:adjustRightInd w:val="0"/>
        <w:spacing w:before="100" w:after="0" w:line="240" w:lineRule="auto"/>
        <w:jc w:val="both"/>
        <w:rPr>
          <w:rFonts w:ascii="Verdana" w:hAnsi="Verdana" w:cs="Verdana"/>
          <w:sz w:val="20"/>
          <w:szCs w:val="20"/>
        </w:rPr>
      </w:pPr>
    </w:p>
    <w:p w:rsidR="00B157A2" w:rsidRPr="006A22BE" w:rsidRDefault="00B157A2" w:rsidP="002B2280">
      <w:pPr>
        <w:numPr>
          <w:ilvl w:val="0"/>
          <w:numId w:val="1"/>
        </w:numPr>
        <w:tabs>
          <w:tab w:val="left" w:pos="567"/>
          <w:tab w:val="num" w:pos="720"/>
        </w:tabs>
        <w:autoSpaceDE w:val="0"/>
        <w:autoSpaceDN w:val="0"/>
        <w:adjustRightInd w:val="0"/>
        <w:spacing w:before="100" w:after="0" w:line="240" w:lineRule="auto"/>
        <w:jc w:val="both"/>
        <w:rPr>
          <w:rFonts w:ascii="Verdana" w:hAnsi="Verdana" w:cs="Arial"/>
          <w:sz w:val="20"/>
          <w:szCs w:val="20"/>
        </w:rPr>
      </w:pPr>
      <w:r w:rsidRPr="00B90AE7">
        <w:rPr>
          <w:rFonts w:ascii="Verdana" w:hAnsi="Verdana" w:cs="Verdana"/>
          <w:sz w:val="20"/>
          <w:szCs w:val="20"/>
        </w:rPr>
        <w:t xml:space="preserve">Al respecto, el </w:t>
      </w:r>
      <w:r w:rsidRPr="000F03B0">
        <w:rPr>
          <w:rFonts w:ascii="Verdana" w:hAnsi="Verdana" w:cs="Verdana"/>
          <w:b/>
          <w:i/>
          <w:sz w:val="20"/>
          <w:szCs w:val="20"/>
        </w:rPr>
        <w:t>Estado</w:t>
      </w:r>
      <w:r w:rsidRPr="00B90AE7">
        <w:rPr>
          <w:rFonts w:ascii="Verdana" w:hAnsi="Verdana" w:cs="Verdana"/>
          <w:i/>
          <w:sz w:val="20"/>
          <w:szCs w:val="20"/>
        </w:rPr>
        <w:t xml:space="preserve"> </w:t>
      </w:r>
      <w:r w:rsidRPr="00B90AE7">
        <w:rPr>
          <w:rFonts w:ascii="Verdana" w:hAnsi="Verdana" w:cs="Verdana"/>
          <w:sz w:val="20"/>
          <w:szCs w:val="20"/>
        </w:rPr>
        <w:t xml:space="preserve">señaló que </w:t>
      </w:r>
      <w:r w:rsidR="00F642E4" w:rsidRPr="00B90AE7">
        <w:rPr>
          <w:rFonts w:ascii="Verdana" w:hAnsi="Verdana" w:cs="Verdana"/>
          <w:sz w:val="20"/>
          <w:szCs w:val="20"/>
        </w:rPr>
        <w:t xml:space="preserve">lo pretendido por los representantes </w:t>
      </w:r>
      <w:r w:rsidRPr="00B90AE7">
        <w:rPr>
          <w:rFonts w:ascii="Verdana" w:hAnsi="Verdana" w:cs="Verdana"/>
          <w:sz w:val="20"/>
          <w:szCs w:val="20"/>
        </w:rPr>
        <w:t>“</w:t>
      </w:r>
      <w:r w:rsidR="00F642E4" w:rsidRPr="00B90AE7">
        <w:rPr>
          <w:rFonts w:ascii="Verdana" w:hAnsi="Verdana" w:cs="Verdana"/>
          <w:sz w:val="20"/>
          <w:szCs w:val="20"/>
        </w:rPr>
        <w:t xml:space="preserve">sería un cambio o modificación de la </w:t>
      </w:r>
      <w:r w:rsidR="003061A9">
        <w:rPr>
          <w:rFonts w:ascii="Verdana" w:hAnsi="Verdana" w:cs="Verdana"/>
          <w:sz w:val="20"/>
          <w:szCs w:val="20"/>
        </w:rPr>
        <w:t>[S]</w:t>
      </w:r>
      <w:proofErr w:type="spellStart"/>
      <w:r w:rsidR="00F642E4" w:rsidRPr="00B90AE7">
        <w:rPr>
          <w:rFonts w:ascii="Verdana" w:hAnsi="Verdana" w:cs="Verdana"/>
          <w:sz w:val="20"/>
          <w:szCs w:val="20"/>
        </w:rPr>
        <w:t>entencia</w:t>
      </w:r>
      <w:proofErr w:type="spellEnd"/>
      <w:r w:rsidR="00F642E4" w:rsidRPr="00B90AE7">
        <w:rPr>
          <w:rFonts w:ascii="Verdana" w:hAnsi="Verdana" w:cs="Verdana"/>
          <w:sz w:val="20"/>
          <w:szCs w:val="20"/>
        </w:rPr>
        <w:t xml:space="preserve">” </w:t>
      </w:r>
      <w:r w:rsidR="0031499F" w:rsidRPr="00B90AE7">
        <w:rPr>
          <w:rFonts w:ascii="Verdana" w:hAnsi="Verdana" w:cs="Verdana"/>
          <w:sz w:val="20"/>
          <w:szCs w:val="20"/>
        </w:rPr>
        <w:t>y que “el hecho de que los magistrados estuvieron vinculados a nuevos cargos públicos fue acreditado dentro del proceso a través de la alegación del Estado y de las declaraciones hechas en la audiencia”. Agregó que no es posible sustentar la violación del derecho de contradicción e impugnación, toda vez que se dispone en el mismo párrafo 240 el pronunciamiento de las partes sobre la información aportada por el Estado. Asimismo, indicó que la alegación de los representantes “</w:t>
      </w:r>
      <w:proofErr w:type="spellStart"/>
      <w:proofErr w:type="gramStart"/>
      <w:r w:rsidR="0031499F" w:rsidRPr="00B90AE7">
        <w:rPr>
          <w:rFonts w:ascii="Verdana" w:hAnsi="Verdana" w:cs="Verdana"/>
          <w:sz w:val="20"/>
          <w:szCs w:val="20"/>
        </w:rPr>
        <w:t>debi</w:t>
      </w:r>
      <w:proofErr w:type="spellEnd"/>
      <w:r w:rsidR="0031499F" w:rsidRPr="00B90AE7">
        <w:rPr>
          <w:rFonts w:ascii="Verdana" w:hAnsi="Verdana" w:cs="Verdana"/>
          <w:sz w:val="20"/>
          <w:szCs w:val="20"/>
        </w:rPr>
        <w:t>[</w:t>
      </w:r>
      <w:proofErr w:type="spellStart"/>
      <w:proofErr w:type="gramEnd"/>
      <w:r w:rsidR="0031499F" w:rsidRPr="00B90AE7">
        <w:rPr>
          <w:rFonts w:ascii="Verdana" w:hAnsi="Verdana" w:cs="Verdana"/>
          <w:sz w:val="20"/>
          <w:szCs w:val="20"/>
        </w:rPr>
        <w:t>eron</w:t>
      </w:r>
      <w:proofErr w:type="spellEnd"/>
      <w:r w:rsidR="0031499F" w:rsidRPr="00B90AE7">
        <w:rPr>
          <w:rFonts w:ascii="Verdana" w:hAnsi="Verdana" w:cs="Verdana"/>
          <w:sz w:val="20"/>
          <w:szCs w:val="20"/>
        </w:rPr>
        <w:t xml:space="preserve">] haberla sustentado en el trámite de la causa”. </w:t>
      </w:r>
      <w:r w:rsidR="003B4B99">
        <w:rPr>
          <w:rFonts w:ascii="Verdana" w:hAnsi="Verdana" w:cs="Verdana"/>
          <w:sz w:val="20"/>
          <w:szCs w:val="20"/>
        </w:rPr>
        <w:t>P</w:t>
      </w:r>
      <w:r w:rsidR="00FD7E21" w:rsidRPr="00B90AE7">
        <w:rPr>
          <w:rFonts w:ascii="Verdana" w:hAnsi="Verdana" w:cs="Verdana"/>
          <w:sz w:val="20"/>
          <w:szCs w:val="20"/>
        </w:rPr>
        <w:t xml:space="preserve">or otra parte, el Estado indicó que el párrafo 240 de la Sentencia “está redactado en términos sencillos y no ambiguos”. </w:t>
      </w:r>
    </w:p>
    <w:p w:rsidR="00B157A2" w:rsidRPr="006A22BE" w:rsidRDefault="00B157A2" w:rsidP="002B2280">
      <w:pPr>
        <w:tabs>
          <w:tab w:val="left" w:pos="567"/>
        </w:tabs>
        <w:autoSpaceDE w:val="0"/>
        <w:autoSpaceDN w:val="0"/>
        <w:adjustRightInd w:val="0"/>
        <w:spacing w:before="100" w:after="0" w:line="240" w:lineRule="auto"/>
        <w:jc w:val="both"/>
        <w:rPr>
          <w:rFonts w:ascii="Verdana" w:hAnsi="Verdana" w:cs="Arial"/>
          <w:sz w:val="20"/>
          <w:szCs w:val="20"/>
        </w:rPr>
      </w:pPr>
    </w:p>
    <w:p w:rsidR="00B157A2" w:rsidRPr="00540B53" w:rsidRDefault="00B157A2" w:rsidP="002B2280">
      <w:pPr>
        <w:numPr>
          <w:ilvl w:val="0"/>
          <w:numId w:val="1"/>
        </w:numPr>
        <w:tabs>
          <w:tab w:val="left" w:pos="567"/>
          <w:tab w:val="num" w:pos="720"/>
        </w:tabs>
        <w:autoSpaceDE w:val="0"/>
        <w:autoSpaceDN w:val="0"/>
        <w:adjustRightInd w:val="0"/>
        <w:spacing w:before="100" w:after="0" w:line="240" w:lineRule="auto"/>
        <w:jc w:val="both"/>
        <w:rPr>
          <w:rFonts w:ascii="Verdana" w:hAnsi="Verdana" w:cs="Arial"/>
          <w:sz w:val="20"/>
          <w:szCs w:val="20"/>
        </w:rPr>
      </w:pPr>
      <w:r w:rsidRPr="00540B53">
        <w:rPr>
          <w:rFonts w:ascii="Verdana" w:hAnsi="Verdana" w:cs="Verdana"/>
          <w:sz w:val="20"/>
          <w:szCs w:val="20"/>
        </w:rPr>
        <w:t xml:space="preserve">Por su parte, la </w:t>
      </w:r>
      <w:r w:rsidRPr="000F03B0">
        <w:rPr>
          <w:rFonts w:ascii="Verdana" w:hAnsi="Verdana" w:cs="Verdana"/>
          <w:b/>
          <w:i/>
          <w:sz w:val="20"/>
          <w:szCs w:val="20"/>
        </w:rPr>
        <w:t>Comisión</w:t>
      </w:r>
      <w:r w:rsidRPr="00540B53">
        <w:rPr>
          <w:rFonts w:ascii="Verdana" w:hAnsi="Verdana" w:cs="Verdana"/>
          <w:sz w:val="20"/>
          <w:szCs w:val="20"/>
        </w:rPr>
        <w:t xml:space="preserve"> </w:t>
      </w:r>
      <w:r w:rsidR="005E689B">
        <w:rPr>
          <w:rFonts w:ascii="Verdana" w:hAnsi="Verdana" w:cs="Verdana"/>
          <w:sz w:val="20"/>
          <w:szCs w:val="20"/>
        </w:rPr>
        <w:t xml:space="preserve">consideró que en el marco del proceso de determinación de la reparación prevista en el párrafo 240 de la Sentencia, “resultan relevantes los argumentos y las preguntas formuladas por los representantes a efecto del alcance de la indemnización señalada en el párrafo 240”. </w:t>
      </w:r>
    </w:p>
    <w:p w:rsidR="00B157A2" w:rsidRPr="00540B53" w:rsidRDefault="00B157A2" w:rsidP="002B2280">
      <w:pPr>
        <w:tabs>
          <w:tab w:val="left" w:pos="567"/>
        </w:tabs>
        <w:autoSpaceDE w:val="0"/>
        <w:autoSpaceDN w:val="0"/>
        <w:adjustRightInd w:val="0"/>
        <w:spacing w:before="100" w:after="0" w:line="240" w:lineRule="auto"/>
        <w:jc w:val="both"/>
        <w:rPr>
          <w:rFonts w:ascii="Verdana" w:hAnsi="Verdana" w:cs="Arial"/>
          <w:sz w:val="20"/>
          <w:szCs w:val="20"/>
        </w:rPr>
      </w:pPr>
    </w:p>
    <w:p w:rsidR="00B157A2" w:rsidRPr="006A22BE" w:rsidRDefault="00B157A2" w:rsidP="002B2280">
      <w:pPr>
        <w:tabs>
          <w:tab w:val="left" w:pos="567"/>
        </w:tabs>
        <w:spacing w:before="100" w:after="0"/>
        <w:rPr>
          <w:rFonts w:ascii="Verdana" w:hAnsi="Verdana" w:cs="Arial"/>
          <w:i/>
          <w:sz w:val="20"/>
          <w:szCs w:val="20"/>
        </w:rPr>
      </w:pPr>
      <w:r w:rsidRPr="006A22BE">
        <w:rPr>
          <w:rFonts w:ascii="Verdana" w:hAnsi="Verdana" w:cs="Arial"/>
          <w:i/>
          <w:sz w:val="20"/>
          <w:szCs w:val="20"/>
        </w:rPr>
        <w:tab/>
        <w:t>Consideraciones de la Corte</w:t>
      </w:r>
    </w:p>
    <w:p w:rsidR="008F46AD" w:rsidRPr="00483EC9" w:rsidRDefault="008F46AD" w:rsidP="002B2280">
      <w:pPr>
        <w:numPr>
          <w:ilvl w:val="0"/>
          <w:numId w:val="1"/>
        </w:numPr>
        <w:spacing w:before="100" w:after="120" w:line="240" w:lineRule="auto"/>
        <w:jc w:val="both"/>
        <w:rPr>
          <w:rFonts w:ascii="Verdana" w:hAnsi="Verdana"/>
          <w:sz w:val="20"/>
          <w:szCs w:val="20"/>
        </w:rPr>
      </w:pPr>
      <w:bookmarkStart w:id="9" w:name="_Ref363132082"/>
      <w:r w:rsidRPr="00483EC9">
        <w:rPr>
          <w:rFonts w:ascii="Verdana" w:hAnsi="Verdana"/>
          <w:sz w:val="20"/>
          <w:szCs w:val="20"/>
        </w:rPr>
        <w:lastRenderedPageBreak/>
        <w:t>Tal</w:t>
      </w:r>
      <w:r>
        <w:rPr>
          <w:rFonts w:ascii="Verdana" w:hAnsi="Verdana"/>
          <w:sz w:val="20"/>
          <w:szCs w:val="20"/>
        </w:rPr>
        <w:t xml:space="preserve"> </w:t>
      </w:r>
      <w:r w:rsidRPr="00483EC9">
        <w:rPr>
          <w:rFonts w:ascii="Verdana" w:hAnsi="Verdana"/>
          <w:sz w:val="20"/>
          <w:szCs w:val="20"/>
        </w:rPr>
        <w:t>como lo ha dispuesto anteriormente este Tribunal en su jurisprudencia constante, una solicitud de interpretación de sentencia no puede utilizarse como medio de impugnación de la decisión cuya interpretación se solicita. Dicha solicitud tiene como objeto, exclusivamente, determin</w:t>
      </w:r>
      <w:r w:rsidRPr="00E21648">
        <w:rPr>
          <w:rFonts w:ascii="Verdana" w:hAnsi="Verdana"/>
          <w:sz w:val="20"/>
          <w:szCs w:val="20"/>
        </w:rPr>
        <w:t>ar el sentido de un fallo cuando alguna de las partes sostiene que el texto de sus puntos resolutivos o de sus consideraciones carece de claridad o precisión, siempre y cuando esas consideraciones incidan en dicha parte resolutiva</w:t>
      </w:r>
      <w:r w:rsidRPr="00E21648">
        <w:rPr>
          <w:rStyle w:val="Refdenotaalpie"/>
        </w:rPr>
        <w:footnoteReference w:id="2"/>
      </w:r>
      <w:r w:rsidRPr="00483EC9">
        <w:rPr>
          <w:rFonts w:ascii="Verdana" w:hAnsi="Verdana"/>
          <w:sz w:val="20"/>
          <w:szCs w:val="20"/>
        </w:rPr>
        <w:t>. Por lo tanto, no se puede pedir la modificación o anulación de la sentencia respectiva a través de una solicitud de interpretación</w:t>
      </w:r>
      <w:r w:rsidRPr="00E21648">
        <w:rPr>
          <w:rStyle w:val="Refdenotaalpie"/>
        </w:rPr>
        <w:footnoteReference w:id="3"/>
      </w:r>
      <w:r w:rsidRPr="00483EC9">
        <w:rPr>
          <w:rFonts w:ascii="Verdana" w:hAnsi="Verdana"/>
          <w:sz w:val="20"/>
          <w:szCs w:val="20"/>
        </w:rPr>
        <w:t xml:space="preserve">. </w:t>
      </w:r>
    </w:p>
    <w:p w:rsidR="003061A9" w:rsidRDefault="008F46AD" w:rsidP="002B2280">
      <w:pPr>
        <w:numPr>
          <w:ilvl w:val="0"/>
          <w:numId w:val="1"/>
        </w:numPr>
        <w:spacing w:before="100" w:after="0" w:line="240" w:lineRule="auto"/>
        <w:jc w:val="both"/>
        <w:rPr>
          <w:rFonts w:ascii="Verdana" w:hAnsi="Verdana"/>
          <w:sz w:val="20"/>
          <w:szCs w:val="20"/>
        </w:rPr>
      </w:pPr>
      <w:r w:rsidRPr="007D6B11">
        <w:rPr>
          <w:rFonts w:ascii="Verdana" w:hAnsi="Verdana"/>
          <w:sz w:val="20"/>
          <w:szCs w:val="20"/>
        </w:rPr>
        <w:t>Asimismo, la Corte ha sostenido la improcedencia de utilizar una solicitud de interpretación para someter cuestiones de hecho y de derecho que ya fueron planteadas en su oportunidad procesal y sobre las cuales el Tribunal ya adoptó una decisión</w:t>
      </w:r>
      <w:r w:rsidRPr="003061A9">
        <w:rPr>
          <w:rStyle w:val="Refdenotaalpie"/>
          <w:rFonts w:ascii="Verdana" w:hAnsi="Verdana"/>
          <w:sz w:val="20"/>
          <w:szCs w:val="20"/>
        </w:rPr>
        <w:footnoteReference w:id="4"/>
      </w:r>
      <w:r w:rsidR="003061A9" w:rsidRPr="003061A9">
        <w:rPr>
          <w:rFonts w:ascii="Verdana" w:hAnsi="Verdana"/>
          <w:sz w:val="20"/>
          <w:szCs w:val="20"/>
        </w:rPr>
        <w:t>,</w:t>
      </w:r>
      <w:r w:rsidR="003061A9">
        <w:rPr>
          <w:rFonts w:ascii="Verdana" w:hAnsi="Verdana"/>
          <w:sz w:val="20"/>
          <w:szCs w:val="20"/>
        </w:rPr>
        <w:t xml:space="preserve"> </w:t>
      </w:r>
      <w:r w:rsidR="003061A9" w:rsidRPr="003061A9">
        <w:rPr>
          <w:rFonts w:ascii="Verdana" w:hAnsi="Verdana"/>
          <w:sz w:val="20"/>
          <w:szCs w:val="20"/>
        </w:rPr>
        <w:t xml:space="preserve">así como para pretender que el Tribunal valore nuevamente cuestiones que ya han sido resueltas por éste en </w:t>
      </w:r>
      <w:r w:rsidR="000551BE">
        <w:rPr>
          <w:rFonts w:ascii="Verdana" w:hAnsi="Verdana"/>
          <w:sz w:val="20"/>
          <w:szCs w:val="20"/>
        </w:rPr>
        <w:t>la</w:t>
      </w:r>
      <w:r w:rsidR="003061A9" w:rsidRPr="003061A9">
        <w:rPr>
          <w:rFonts w:ascii="Verdana" w:hAnsi="Verdana"/>
          <w:sz w:val="20"/>
          <w:szCs w:val="20"/>
        </w:rPr>
        <w:t xml:space="preserve"> Sentencia</w:t>
      </w:r>
      <w:r w:rsidR="003061A9" w:rsidRPr="003061A9">
        <w:rPr>
          <w:rStyle w:val="Refdenotaalpie"/>
          <w:rFonts w:ascii="Verdana" w:hAnsi="Verdana"/>
          <w:sz w:val="20"/>
          <w:szCs w:val="20"/>
        </w:rPr>
        <w:footnoteReference w:id="5"/>
      </w:r>
      <w:r w:rsidR="003061A9" w:rsidRPr="003061A9">
        <w:rPr>
          <w:rFonts w:ascii="Verdana" w:hAnsi="Verdana"/>
          <w:sz w:val="20"/>
          <w:szCs w:val="20"/>
        </w:rPr>
        <w:t>. De igual manera, por esta vía tampoco se puede intentar que se amplíe el alcance de una medida de reparación ordenada oportunamente</w:t>
      </w:r>
      <w:r w:rsidR="003061A9" w:rsidRPr="003061A9">
        <w:rPr>
          <w:rStyle w:val="Refdenotaalpie"/>
          <w:rFonts w:ascii="Verdana" w:hAnsi="Verdana"/>
          <w:sz w:val="20"/>
          <w:szCs w:val="20"/>
        </w:rPr>
        <w:footnoteReference w:id="6"/>
      </w:r>
      <w:r w:rsidR="003061A9" w:rsidRPr="003061A9">
        <w:rPr>
          <w:rFonts w:ascii="Verdana" w:hAnsi="Verdana"/>
          <w:sz w:val="20"/>
          <w:szCs w:val="20"/>
        </w:rPr>
        <w:t>. Por otro lado, la Corte también ha señalado que la formulación de situaciones abstractas o hipotéticas no tiene relación alguna con el objeto de una solicitud de interpretación de Sentencia</w:t>
      </w:r>
      <w:r w:rsidR="003061A9" w:rsidRPr="003061A9">
        <w:rPr>
          <w:rStyle w:val="Refdenotaalpie"/>
          <w:rFonts w:ascii="Verdana" w:hAnsi="Verdana"/>
          <w:sz w:val="20"/>
          <w:szCs w:val="20"/>
        </w:rPr>
        <w:footnoteReference w:id="7"/>
      </w:r>
      <w:r w:rsidR="003061A9" w:rsidRPr="003061A9">
        <w:rPr>
          <w:rFonts w:ascii="Verdana" w:hAnsi="Verdana"/>
          <w:sz w:val="20"/>
          <w:szCs w:val="20"/>
        </w:rPr>
        <w:t>.</w:t>
      </w:r>
    </w:p>
    <w:p w:rsidR="008F46AD" w:rsidRPr="003061A9" w:rsidRDefault="008F46AD" w:rsidP="002B2280">
      <w:pPr>
        <w:spacing w:before="100" w:after="0" w:line="240" w:lineRule="auto"/>
        <w:jc w:val="both"/>
        <w:rPr>
          <w:rFonts w:ascii="Verdana" w:hAnsi="Verdana"/>
          <w:sz w:val="20"/>
          <w:szCs w:val="20"/>
        </w:rPr>
      </w:pPr>
    </w:p>
    <w:p w:rsidR="008F46AD" w:rsidRPr="00EB4D6D" w:rsidRDefault="008F46AD" w:rsidP="002B2280">
      <w:pPr>
        <w:pStyle w:val="Prrafodelista2"/>
        <w:numPr>
          <w:ilvl w:val="0"/>
          <w:numId w:val="1"/>
        </w:numPr>
        <w:tabs>
          <w:tab w:val="clear" w:pos="1247"/>
          <w:tab w:val="num" w:pos="0"/>
          <w:tab w:val="left" w:pos="567"/>
          <w:tab w:val="left" w:pos="720"/>
          <w:tab w:val="num" w:pos="15467"/>
        </w:tabs>
        <w:spacing w:before="100"/>
        <w:contextualSpacing/>
        <w:jc w:val="both"/>
        <w:rPr>
          <w:lang w:val="es-CR"/>
        </w:rPr>
      </w:pPr>
      <w:r w:rsidRPr="007D537F">
        <w:rPr>
          <w:rFonts w:eastAsia="Calibri" w:cs="Arial"/>
        </w:rPr>
        <w:t>E</w:t>
      </w:r>
      <w:r w:rsidR="00B157A2" w:rsidRPr="007D537F">
        <w:rPr>
          <w:rFonts w:eastAsia="Calibri" w:cs="Arial"/>
        </w:rPr>
        <w:t xml:space="preserve">l Tribunal nota que el párrafo </w:t>
      </w:r>
      <w:r w:rsidRPr="007D537F">
        <w:rPr>
          <w:rFonts w:eastAsia="Calibri" w:cs="Arial"/>
        </w:rPr>
        <w:t xml:space="preserve">240 </w:t>
      </w:r>
      <w:r w:rsidR="00B157A2" w:rsidRPr="007D537F">
        <w:rPr>
          <w:rFonts w:eastAsia="Calibri" w:cs="Arial"/>
        </w:rPr>
        <w:t xml:space="preserve">de la Sentencia </w:t>
      </w:r>
      <w:r w:rsidRPr="007D537F">
        <w:rPr>
          <w:rFonts w:eastAsia="Calibri" w:cs="Arial"/>
        </w:rPr>
        <w:t xml:space="preserve">se refiere a la situación de algunos de los magistrados que, después de su destitución, obtuvieron cargos en el sector público. La Corte mencionó que se habían hecho preguntas al Estado en relación con este punto y que el Estado no había aportado prueba sobre los cargos que se habrían ejercido con posterioridad al cese de los magistrados ni del monto que de los salarios que algunos de los magistrados habrían obtenido en el ejercicio de dichos cargos. En consecuencia, el Tribunal estimó oportuno </w:t>
      </w:r>
      <w:r w:rsidR="000551BE">
        <w:rPr>
          <w:rFonts w:eastAsia="Calibri" w:cs="Arial"/>
        </w:rPr>
        <w:t>señalar</w:t>
      </w:r>
      <w:r w:rsidRPr="007D537F">
        <w:rPr>
          <w:rFonts w:eastAsia="Calibri" w:cs="Arial"/>
        </w:rPr>
        <w:t xml:space="preserve"> un plazo para que el Estado remitiera esta información con el fin de fijar posteriormente la indemnización respectiva. La Corte determinó que ello procedía en el marco de la supervisión de cumplimiento de la Sentencia, luego de recibir las observaciones de las víctimas. </w:t>
      </w:r>
    </w:p>
    <w:p w:rsidR="00EB4D6D" w:rsidRPr="00EB4D6D" w:rsidRDefault="00EB4D6D" w:rsidP="002B2280">
      <w:pPr>
        <w:pStyle w:val="Prrafodelista2"/>
        <w:tabs>
          <w:tab w:val="left" w:pos="567"/>
          <w:tab w:val="left" w:pos="720"/>
          <w:tab w:val="num" w:pos="15467"/>
        </w:tabs>
        <w:spacing w:before="100"/>
        <w:ind w:left="0"/>
        <w:contextualSpacing/>
        <w:jc w:val="both"/>
        <w:rPr>
          <w:lang w:val="es-CR"/>
        </w:rPr>
      </w:pPr>
    </w:p>
    <w:p w:rsidR="00EB4D6D" w:rsidRPr="00BD65FA" w:rsidRDefault="003061A9" w:rsidP="002B2280">
      <w:pPr>
        <w:pStyle w:val="Prrafodelista2"/>
        <w:numPr>
          <w:ilvl w:val="0"/>
          <w:numId w:val="1"/>
        </w:numPr>
        <w:tabs>
          <w:tab w:val="clear" w:pos="1247"/>
          <w:tab w:val="num" w:pos="0"/>
          <w:tab w:val="left" w:pos="567"/>
          <w:tab w:val="left" w:pos="720"/>
          <w:tab w:val="num" w:pos="15467"/>
        </w:tabs>
        <w:spacing w:before="100"/>
        <w:contextualSpacing/>
        <w:jc w:val="both"/>
        <w:rPr>
          <w:lang w:val="es-CR"/>
        </w:rPr>
      </w:pPr>
      <w:r>
        <w:rPr>
          <w:lang w:val="es-CR"/>
        </w:rPr>
        <w:t xml:space="preserve">Al respecto, los representantes pretenden que </w:t>
      </w:r>
      <w:r w:rsidR="00BD65FA">
        <w:rPr>
          <w:lang w:val="es-CR"/>
        </w:rPr>
        <w:t xml:space="preserve">sea modificada </w:t>
      </w:r>
      <w:r>
        <w:rPr>
          <w:lang w:val="es-CR"/>
        </w:rPr>
        <w:t xml:space="preserve">la decisión tomada por la Corte de otorgar un plazo al Estado para que estableciera los montos </w:t>
      </w:r>
      <w:r w:rsidR="00BD65FA">
        <w:rPr>
          <w:lang w:val="es-CR"/>
        </w:rPr>
        <w:t xml:space="preserve">que habrían recibido los señores Donoso, Troya y Velasco por el ejercicio de cargos públicos. Asimismo, los representantes rechazaron la decisión de descontar, en caso de que sean probados los mencionados montos, de las sumas que fueron fijadas en la Sentencia como indemnización </w:t>
      </w:r>
      <w:r w:rsidR="00BD65FA">
        <w:rPr>
          <w:lang w:val="es-CR"/>
        </w:rPr>
        <w:lastRenderedPageBreak/>
        <w:t xml:space="preserve">por concepto de daño material. </w:t>
      </w:r>
      <w:r w:rsidR="00EB4D6D" w:rsidRPr="00BD65FA">
        <w:rPr>
          <w:lang w:val="es-CR"/>
        </w:rPr>
        <w:t>Teniendo en cuenta estas determinaciones y precisiones efectuadas por la Corte en el párrafo 240</w:t>
      </w:r>
      <w:r w:rsidR="00D14CF9">
        <w:rPr>
          <w:lang w:val="es-CR"/>
        </w:rPr>
        <w:t>,</w:t>
      </w:r>
      <w:r w:rsidR="00EB4D6D" w:rsidRPr="00BD65FA">
        <w:rPr>
          <w:lang w:val="es-CR"/>
        </w:rPr>
        <w:t xml:space="preserve"> la solicitud de interpretación es improcedente en tanto constituye una forma de impugnación en contra de las consideraciones y decisiones adoptadas por el Tribunal respecto a la información, argumentos y pruebas disponibles al momento de decidir sobre las indemnizaciones. </w:t>
      </w:r>
      <w:r w:rsidR="003A2AEC" w:rsidRPr="00BD65FA">
        <w:rPr>
          <w:lang w:val="es-CR"/>
        </w:rPr>
        <w:t>La Corte considera que los representantes pretende</w:t>
      </w:r>
      <w:r w:rsidR="00D14CF9">
        <w:rPr>
          <w:lang w:val="es-CR"/>
        </w:rPr>
        <w:t>n</w:t>
      </w:r>
      <w:r w:rsidR="003A2AEC" w:rsidRPr="00BD65FA">
        <w:rPr>
          <w:lang w:val="es-CR"/>
        </w:rPr>
        <w:t xml:space="preserve"> reevaluar cuestiones que han sido resueltas por el Tribunal, sin que exista la posibilidad de que el fallo sea modificado o ampliado, de conformidad con los artículos 67 de la Convención Americana y 31.3 y 68 del Reglamento del Tribunal.</w:t>
      </w:r>
    </w:p>
    <w:bookmarkEnd w:id="8"/>
    <w:bookmarkEnd w:id="9"/>
    <w:p w:rsidR="00336F2D" w:rsidRPr="007766A1" w:rsidRDefault="00336F2D" w:rsidP="002B2280">
      <w:pPr>
        <w:tabs>
          <w:tab w:val="left" w:pos="720"/>
          <w:tab w:val="left" w:pos="1530"/>
          <w:tab w:val="left" w:pos="2140"/>
        </w:tabs>
        <w:spacing w:before="100" w:after="120"/>
        <w:jc w:val="both"/>
        <w:rPr>
          <w:rFonts w:ascii="Verdana" w:hAnsi="Verdana"/>
          <w:b/>
          <w:i/>
          <w:sz w:val="20"/>
          <w:szCs w:val="20"/>
        </w:rPr>
      </w:pPr>
    </w:p>
    <w:p w:rsidR="00336F2D" w:rsidRDefault="00336F2D" w:rsidP="002B2280">
      <w:pPr>
        <w:spacing w:before="100" w:after="0" w:line="240" w:lineRule="auto"/>
        <w:jc w:val="center"/>
        <w:rPr>
          <w:rFonts w:ascii="Verdana" w:hAnsi="Verdana"/>
          <w:b/>
          <w:sz w:val="20"/>
          <w:szCs w:val="20"/>
        </w:rPr>
      </w:pPr>
      <w:r w:rsidRPr="007508A7">
        <w:rPr>
          <w:rFonts w:ascii="Verdana" w:hAnsi="Verdana"/>
          <w:b/>
          <w:sz w:val="20"/>
          <w:szCs w:val="20"/>
        </w:rPr>
        <w:t>V</w:t>
      </w:r>
    </w:p>
    <w:p w:rsidR="00336F2D" w:rsidRDefault="00336F2D" w:rsidP="002B2280">
      <w:pPr>
        <w:spacing w:before="100" w:after="0" w:line="240" w:lineRule="auto"/>
        <w:jc w:val="center"/>
        <w:rPr>
          <w:rFonts w:ascii="Verdana" w:hAnsi="Verdana" w:cs="Arial"/>
          <w:b/>
          <w:i/>
          <w:sz w:val="20"/>
          <w:szCs w:val="20"/>
        </w:rPr>
      </w:pPr>
      <w:r w:rsidRPr="007508A7">
        <w:rPr>
          <w:rFonts w:ascii="Verdana" w:hAnsi="Verdana"/>
          <w:b/>
          <w:sz w:val="20"/>
          <w:szCs w:val="20"/>
        </w:rPr>
        <w:t xml:space="preserve">PUNTOS RESOLUTIVOS </w:t>
      </w:r>
    </w:p>
    <w:p w:rsidR="00336F2D" w:rsidRPr="007508A7" w:rsidRDefault="00336F2D" w:rsidP="002B2280">
      <w:pPr>
        <w:numPr>
          <w:ilvl w:val="0"/>
          <w:numId w:val="1"/>
        </w:numPr>
        <w:spacing w:before="100" w:after="120" w:line="240" w:lineRule="auto"/>
        <w:jc w:val="both"/>
        <w:rPr>
          <w:rFonts w:ascii="Verdana" w:hAnsi="Verdana" w:cs="Arial"/>
          <w:b/>
          <w:i/>
          <w:sz w:val="20"/>
          <w:szCs w:val="20"/>
        </w:rPr>
      </w:pPr>
      <w:r w:rsidRPr="007508A7">
        <w:rPr>
          <w:rFonts w:ascii="Verdana" w:hAnsi="Verdana"/>
          <w:sz w:val="20"/>
          <w:szCs w:val="20"/>
        </w:rPr>
        <w:t xml:space="preserve">Por </w:t>
      </w:r>
      <w:r w:rsidRPr="0098673A">
        <w:rPr>
          <w:rFonts w:ascii="Verdana" w:hAnsi="Verdana"/>
          <w:sz w:val="20"/>
          <w:szCs w:val="20"/>
        </w:rPr>
        <w:t>tanto</w:t>
      </w:r>
      <w:r w:rsidRPr="007508A7">
        <w:rPr>
          <w:rFonts w:ascii="Verdana" w:hAnsi="Verdana"/>
          <w:sz w:val="20"/>
          <w:szCs w:val="20"/>
        </w:rPr>
        <w:t xml:space="preserve">, </w:t>
      </w:r>
    </w:p>
    <w:p w:rsidR="00336F2D" w:rsidRPr="007508A7" w:rsidRDefault="00336F2D" w:rsidP="002B2280">
      <w:pPr>
        <w:spacing w:before="100" w:after="120"/>
        <w:rPr>
          <w:rFonts w:ascii="Verdana" w:hAnsi="Verdana"/>
          <w:b/>
          <w:sz w:val="20"/>
          <w:szCs w:val="20"/>
        </w:rPr>
      </w:pPr>
    </w:p>
    <w:p w:rsidR="00336F2D" w:rsidRPr="007508A7" w:rsidRDefault="00336F2D" w:rsidP="002B2280">
      <w:pPr>
        <w:spacing w:before="100" w:after="120"/>
        <w:rPr>
          <w:rFonts w:ascii="Verdana" w:hAnsi="Verdana"/>
          <w:b/>
          <w:sz w:val="20"/>
          <w:szCs w:val="20"/>
        </w:rPr>
      </w:pPr>
      <w:r w:rsidRPr="007508A7">
        <w:rPr>
          <w:rFonts w:ascii="Verdana" w:hAnsi="Verdana"/>
          <w:b/>
          <w:sz w:val="20"/>
          <w:szCs w:val="20"/>
        </w:rPr>
        <w:t>LA CORTE</w:t>
      </w:r>
      <w:r w:rsidR="00B2676A">
        <w:rPr>
          <w:rFonts w:ascii="Verdana" w:hAnsi="Verdana"/>
          <w:b/>
          <w:sz w:val="20"/>
          <w:szCs w:val="20"/>
        </w:rPr>
        <w:t>,</w:t>
      </w:r>
      <w:r w:rsidRPr="007508A7">
        <w:rPr>
          <w:rFonts w:ascii="Verdana" w:hAnsi="Verdana"/>
          <w:b/>
          <w:sz w:val="20"/>
          <w:szCs w:val="20"/>
        </w:rPr>
        <w:t xml:space="preserve"> </w:t>
      </w:r>
    </w:p>
    <w:p w:rsidR="00336F2D" w:rsidRDefault="00336F2D" w:rsidP="002B2280">
      <w:pPr>
        <w:spacing w:before="100" w:after="120"/>
        <w:rPr>
          <w:rFonts w:ascii="Verdana" w:hAnsi="Verdana"/>
          <w:sz w:val="20"/>
          <w:szCs w:val="20"/>
        </w:rPr>
      </w:pPr>
    </w:p>
    <w:p w:rsidR="00336F2D" w:rsidRDefault="00336F2D" w:rsidP="002B2280">
      <w:pPr>
        <w:spacing w:before="100" w:after="120"/>
        <w:jc w:val="both"/>
        <w:rPr>
          <w:rFonts w:ascii="Verdana" w:hAnsi="Verdana"/>
          <w:sz w:val="20"/>
          <w:szCs w:val="20"/>
        </w:rPr>
      </w:pPr>
      <w:r w:rsidRPr="007508A7">
        <w:rPr>
          <w:rFonts w:ascii="Verdana" w:hAnsi="Verdana"/>
          <w:sz w:val="20"/>
          <w:szCs w:val="20"/>
        </w:rPr>
        <w:t>de conformidad con el artículo 67 de la Convención Americana sobre Derechos Humanos y los artículos 31.3 y 68 del Reglamento,</w:t>
      </w:r>
    </w:p>
    <w:p w:rsidR="00336F2D" w:rsidRDefault="00336F2D" w:rsidP="002B2280">
      <w:pPr>
        <w:spacing w:before="100" w:after="120"/>
        <w:rPr>
          <w:rFonts w:ascii="Verdana" w:hAnsi="Verdana"/>
          <w:b/>
          <w:sz w:val="20"/>
          <w:szCs w:val="20"/>
        </w:rPr>
      </w:pPr>
    </w:p>
    <w:p w:rsidR="00336F2D" w:rsidRPr="007508A7" w:rsidRDefault="00336F2D" w:rsidP="002B2280">
      <w:pPr>
        <w:spacing w:before="100" w:after="120"/>
        <w:rPr>
          <w:rFonts w:ascii="Verdana" w:hAnsi="Verdana"/>
          <w:b/>
          <w:sz w:val="20"/>
          <w:szCs w:val="20"/>
        </w:rPr>
      </w:pPr>
      <w:r w:rsidRPr="007508A7">
        <w:rPr>
          <w:rFonts w:ascii="Verdana" w:hAnsi="Verdana"/>
          <w:b/>
          <w:sz w:val="20"/>
          <w:szCs w:val="20"/>
        </w:rPr>
        <w:t>DECIDE:</w:t>
      </w:r>
    </w:p>
    <w:p w:rsidR="00336F2D" w:rsidRPr="007508A7" w:rsidRDefault="00336F2D" w:rsidP="002B2280">
      <w:pPr>
        <w:spacing w:before="100" w:after="120"/>
        <w:rPr>
          <w:rFonts w:ascii="Verdana" w:hAnsi="Verdana"/>
          <w:sz w:val="20"/>
          <w:szCs w:val="20"/>
        </w:rPr>
      </w:pPr>
    </w:p>
    <w:p w:rsidR="00336F2D" w:rsidRPr="007508A7" w:rsidRDefault="00336F2D" w:rsidP="002B2280">
      <w:pPr>
        <w:tabs>
          <w:tab w:val="center" w:pos="4252"/>
          <w:tab w:val="right" w:pos="8504"/>
        </w:tabs>
        <w:spacing w:before="100" w:after="120"/>
        <w:rPr>
          <w:rFonts w:ascii="Verdana" w:hAnsi="Verdana"/>
          <w:sz w:val="20"/>
          <w:szCs w:val="20"/>
        </w:rPr>
      </w:pPr>
      <w:r w:rsidRPr="007508A7">
        <w:rPr>
          <w:rFonts w:ascii="Verdana" w:hAnsi="Verdana"/>
          <w:sz w:val="20"/>
          <w:szCs w:val="20"/>
        </w:rPr>
        <w:t xml:space="preserve">Por </w:t>
      </w:r>
      <w:r w:rsidR="00EA4966">
        <w:rPr>
          <w:rFonts w:ascii="Verdana" w:hAnsi="Verdana"/>
          <w:sz w:val="20"/>
          <w:szCs w:val="20"/>
        </w:rPr>
        <w:t>unanimidad</w:t>
      </w:r>
      <w:r w:rsidRPr="0086475B">
        <w:rPr>
          <w:rFonts w:ascii="Verdana" w:hAnsi="Verdana"/>
          <w:sz w:val="20"/>
          <w:szCs w:val="20"/>
        </w:rPr>
        <w:t>,</w:t>
      </w:r>
    </w:p>
    <w:p w:rsidR="00336F2D" w:rsidRDefault="00336F2D" w:rsidP="002B2280">
      <w:pPr>
        <w:numPr>
          <w:ilvl w:val="0"/>
          <w:numId w:val="36"/>
        </w:numPr>
        <w:spacing w:before="100" w:after="60" w:line="240" w:lineRule="auto"/>
        <w:jc w:val="both"/>
        <w:rPr>
          <w:rFonts w:ascii="Verdana" w:hAnsi="Verdana"/>
          <w:sz w:val="20"/>
          <w:szCs w:val="20"/>
        </w:rPr>
      </w:pPr>
      <w:r w:rsidRPr="00D06E9B">
        <w:rPr>
          <w:rFonts w:ascii="Verdana" w:hAnsi="Verdana"/>
          <w:sz w:val="20"/>
          <w:szCs w:val="20"/>
        </w:rPr>
        <w:t xml:space="preserve">Rechazar por improcedente la solicitud de interpretación de la Sentencia de </w:t>
      </w:r>
      <w:r w:rsidR="001C4A00" w:rsidRPr="00D06E9B">
        <w:rPr>
          <w:rFonts w:ascii="Verdana" w:hAnsi="Verdana"/>
          <w:sz w:val="20"/>
          <w:szCs w:val="20"/>
        </w:rPr>
        <w:t>excepci</w:t>
      </w:r>
      <w:r w:rsidR="001C4A00">
        <w:rPr>
          <w:rFonts w:ascii="Verdana" w:hAnsi="Verdana"/>
          <w:sz w:val="20"/>
          <w:szCs w:val="20"/>
        </w:rPr>
        <w:t xml:space="preserve">ón </w:t>
      </w:r>
      <w:r w:rsidRPr="00D06E9B">
        <w:rPr>
          <w:rFonts w:ascii="Verdana" w:hAnsi="Verdana"/>
          <w:sz w:val="20"/>
          <w:szCs w:val="20"/>
        </w:rPr>
        <w:t xml:space="preserve">preliminar, fondo y reparaciones dictada </w:t>
      </w:r>
      <w:r w:rsidR="0034373B" w:rsidRPr="00D06E9B">
        <w:rPr>
          <w:rFonts w:ascii="Verdana" w:hAnsi="Verdana"/>
          <w:sz w:val="20"/>
          <w:szCs w:val="20"/>
        </w:rPr>
        <w:t>en el caso de la Corte Suprema de Justicia (Quintana Coello y otros),</w:t>
      </w:r>
      <w:r w:rsidR="0034373B" w:rsidRPr="00D06E9B">
        <w:rPr>
          <w:rFonts w:ascii="Verdana" w:hAnsi="Verdana"/>
          <w:sz w:val="20"/>
          <w:szCs w:val="20"/>
        </w:rPr>
        <w:tab/>
      </w:r>
      <w:r w:rsidRPr="00D06E9B">
        <w:rPr>
          <w:rFonts w:ascii="Verdana" w:hAnsi="Verdana"/>
          <w:sz w:val="20"/>
          <w:szCs w:val="20"/>
        </w:rPr>
        <w:t>interpuesta por los representantes de las víctimas, por las razones señaladas en los párrafos relevantes de la presente Sentencia.</w:t>
      </w:r>
    </w:p>
    <w:p w:rsidR="00A74149" w:rsidRPr="00D06E9B" w:rsidRDefault="00A74149" w:rsidP="002B2280">
      <w:pPr>
        <w:spacing w:before="100" w:after="60" w:line="240" w:lineRule="auto"/>
        <w:jc w:val="both"/>
        <w:rPr>
          <w:rFonts w:ascii="Verdana" w:hAnsi="Verdana"/>
          <w:sz w:val="20"/>
          <w:szCs w:val="20"/>
        </w:rPr>
      </w:pPr>
    </w:p>
    <w:p w:rsidR="00336F2D" w:rsidRPr="008B5A18" w:rsidRDefault="00336F2D" w:rsidP="002B2280">
      <w:pPr>
        <w:numPr>
          <w:ilvl w:val="0"/>
          <w:numId w:val="36"/>
        </w:numPr>
        <w:spacing w:before="100" w:after="60" w:line="240" w:lineRule="auto"/>
        <w:jc w:val="both"/>
        <w:rPr>
          <w:rFonts w:ascii="Verdana" w:hAnsi="Verdana"/>
          <w:sz w:val="20"/>
          <w:szCs w:val="20"/>
        </w:rPr>
      </w:pPr>
      <w:r w:rsidRPr="009C4E52">
        <w:rPr>
          <w:rFonts w:ascii="Verdana" w:eastAsia="Batang" w:hAnsi="Verdana"/>
          <w:sz w:val="20"/>
          <w:szCs w:val="20"/>
        </w:rPr>
        <w:t xml:space="preserve">Disponer que la Secretaría de la Corte notifique la presente Sentencia al Estado de </w:t>
      </w:r>
      <w:r w:rsidR="00AB0D97">
        <w:rPr>
          <w:rFonts w:ascii="Verdana" w:eastAsia="Batang" w:hAnsi="Verdana"/>
          <w:sz w:val="20"/>
          <w:szCs w:val="20"/>
        </w:rPr>
        <w:t>Ecuador</w:t>
      </w:r>
      <w:r w:rsidRPr="009C4E52">
        <w:rPr>
          <w:rFonts w:ascii="Verdana" w:eastAsia="Batang" w:hAnsi="Verdana"/>
          <w:sz w:val="20"/>
          <w:szCs w:val="20"/>
        </w:rPr>
        <w:t>, a los representantes de</w:t>
      </w:r>
      <w:r>
        <w:rPr>
          <w:rFonts w:ascii="Verdana" w:eastAsia="Batang" w:hAnsi="Verdana"/>
          <w:sz w:val="20"/>
          <w:szCs w:val="20"/>
        </w:rPr>
        <w:t xml:space="preserve"> las víctimas y familiares</w:t>
      </w:r>
      <w:r w:rsidRPr="009C4E52">
        <w:rPr>
          <w:rFonts w:ascii="Verdana" w:eastAsia="Batang" w:hAnsi="Verdana"/>
          <w:sz w:val="20"/>
          <w:szCs w:val="20"/>
        </w:rPr>
        <w:t xml:space="preserve"> y a la Comisión Interamericana de Derechos Humanos.</w:t>
      </w:r>
    </w:p>
    <w:p w:rsidR="00107A51" w:rsidRDefault="00107A51" w:rsidP="002B2280">
      <w:pPr>
        <w:tabs>
          <w:tab w:val="left" w:pos="720"/>
        </w:tabs>
        <w:spacing w:before="100" w:after="0" w:line="240" w:lineRule="auto"/>
        <w:jc w:val="both"/>
        <w:rPr>
          <w:rFonts w:ascii="Verdana" w:hAnsi="Verdana"/>
          <w:sz w:val="20"/>
          <w:szCs w:val="20"/>
        </w:rPr>
      </w:pPr>
    </w:p>
    <w:p w:rsidR="007A5C46" w:rsidRDefault="00A27BCF" w:rsidP="002B2280">
      <w:pPr>
        <w:tabs>
          <w:tab w:val="left" w:pos="720"/>
        </w:tabs>
        <w:spacing w:before="100" w:after="0" w:line="240" w:lineRule="auto"/>
        <w:jc w:val="both"/>
        <w:rPr>
          <w:rFonts w:ascii="Verdana" w:hAnsi="Verdana"/>
          <w:sz w:val="20"/>
          <w:szCs w:val="20"/>
        </w:rPr>
      </w:pPr>
      <w:r w:rsidRPr="00EE539E">
        <w:rPr>
          <w:rFonts w:ascii="Verdana" w:hAnsi="Verdana"/>
          <w:sz w:val="20"/>
          <w:szCs w:val="20"/>
        </w:rPr>
        <w:t xml:space="preserve">Redactada en español e inglés, haciendo fe el texto en español, en San José, Costa Rica, el </w:t>
      </w:r>
      <w:r w:rsidR="00EA4966">
        <w:rPr>
          <w:rFonts w:ascii="Verdana" w:hAnsi="Verdana"/>
          <w:sz w:val="20"/>
          <w:szCs w:val="20"/>
        </w:rPr>
        <w:t>21</w:t>
      </w:r>
      <w:r w:rsidR="00336F2D">
        <w:rPr>
          <w:rFonts w:ascii="Verdana" w:hAnsi="Verdana"/>
          <w:sz w:val="20"/>
          <w:szCs w:val="20"/>
        </w:rPr>
        <w:t xml:space="preserve"> de agosto de 2014</w:t>
      </w:r>
      <w:r w:rsidRPr="00EE539E">
        <w:rPr>
          <w:rFonts w:ascii="Verdana" w:hAnsi="Verdana"/>
          <w:sz w:val="20"/>
          <w:szCs w:val="20"/>
        </w:rPr>
        <w:t>.</w:t>
      </w:r>
    </w:p>
    <w:p w:rsidR="007A5C46" w:rsidRDefault="007A5C46" w:rsidP="007A5C46">
      <w:pPr>
        <w:jc w:val="both"/>
        <w:rPr>
          <w:rFonts w:ascii="Verdana" w:hAnsi="Verdana"/>
          <w:sz w:val="20"/>
        </w:rPr>
      </w:pPr>
    </w:p>
    <w:p w:rsidR="00D11704" w:rsidRPr="007C7838" w:rsidRDefault="00D11704" w:rsidP="007A5C46">
      <w:pPr>
        <w:jc w:val="both"/>
        <w:rPr>
          <w:rFonts w:ascii="Verdana" w:hAnsi="Verdana"/>
          <w:sz w:val="20"/>
        </w:rPr>
      </w:pPr>
      <w:bookmarkStart w:id="10" w:name="_GoBack"/>
      <w:bookmarkEnd w:id="10"/>
    </w:p>
    <w:p w:rsidR="007A5C46" w:rsidRDefault="007A5C46" w:rsidP="007A5C46">
      <w:pPr>
        <w:jc w:val="center"/>
        <w:rPr>
          <w:rFonts w:ascii="Verdana" w:hAnsi="Verdana"/>
          <w:sz w:val="20"/>
          <w:lang w:val="es-ES"/>
        </w:rPr>
      </w:pPr>
      <w:r>
        <w:rPr>
          <w:rFonts w:ascii="Verdana" w:hAnsi="Verdana"/>
          <w:sz w:val="20"/>
          <w:lang w:val="es-ES"/>
        </w:rPr>
        <w:t>Humberto Antonio Sierra Porto</w:t>
      </w:r>
    </w:p>
    <w:p w:rsidR="007A5C46" w:rsidRPr="00370276" w:rsidRDefault="007A5C46" w:rsidP="007A5C46">
      <w:pPr>
        <w:jc w:val="center"/>
        <w:rPr>
          <w:rFonts w:ascii="Verdana" w:hAnsi="Verdana"/>
          <w:sz w:val="20"/>
          <w:lang w:val="es-ES"/>
        </w:rPr>
      </w:pPr>
      <w:r>
        <w:rPr>
          <w:rFonts w:ascii="Verdana" w:hAnsi="Verdana"/>
          <w:sz w:val="20"/>
          <w:lang w:val="es-ES"/>
        </w:rPr>
        <w:t xml:space="preserve">Presidente </w:t>
      </w:r>
    </w:p>
    <w:p w:rsidR="007A5C46" w:rsidRPr="00370276" w:rsidRDefault="007A5C46" w:rsidP="007A5C46">
      <w:pPr>
        <w:jc w:val="both"/>
        <w:rPr>
          <w:rFonts w:ascii="Verdana" w:hAnsi="Verdana"/>
          <w:sz w:val="20"/>
          <w:lang w:val="es-ES"/>
        </w:rPr>
      </w:pPr>
    </w:p>
    <w:p w:rsidR="007A5C46" w:rsidRDefault="007A5C46" w:rsidP="007A5C46">
      <w:pPr>
        <w:jc w:val="both"/>
        <w:rPr>
          <w:rFonts w:ascii="Verdana" w:hAnsi="Verdana"/>
          <w:sz w:val="20"/>
          <w:lang w:val="es-ES"/>
        </w:rPr>
      </w:pPr>
    </w:p>
    <w:p w:rsidR="007A5C46" w:rsidRPr="00370276" w:rsidRDefault="007A5C46" w:rsidP="007A5C46">
      <w:pPr>
        <w:jc w:val="both"/>
        <w:rPr>
          <w:rFonts w:ascii="Verdana" w:hAnsi="Verdana"/>
          <w:sz w:val="20"/>
          <w:lang w:val="es-ES"/>
        </w:rPr>
      </w:pPr>
    </w:p>
    <w:p w:rsidR="007A5C46" w:rsidRPr="00370276" w:rsidRDefault="007A5C46" w:rsidP="007A5C46">
      <w:pPr>
        <w:jc w:val="both"/>
        <w:rPr>
          <w:rFonts w:ascii="Verdana" w:hAnsi="Verdana"/>
          <w:sz w:val="20"/>
          <w:lang w:val="es-ES"/>
        </w:rPr>
      </w:pPr>
      <w:r>
        <w:rPr>
          <w:rFonts w:ascii="Verdana" w:hAnsi="Verdana"/>
          <w:sz w:val="20"/>
          <w:lang w:val="es-ES"/>
        </w:rPr>
        <w:t>Roberto F. Caldas</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Manuel E. Ventura Robles</w:t>
      </w:r>
    </w:p>
    <w:p w:rsidR="007A5C46" w:rsidRPr="00370276" w:rsidRDefault="007A5C46" w:rsidP="007A5C46">
      <w:pPr>
        <w:jc w:val="both"/>
        <w:rPr>
          <w:rFonts w:ascii="Verdana" w:hAnsi="Verdana"/>
          <w:sz w:val="20"/>
          <w:lang w:val="es-ES"/>
        </w:rPr>
      </w:pPr>
    </w:p>
    <w:p w:rsidR="007A5C46" w:rsidRDefault="007A5C46" w:rsidP="007A5C46">
      <w:pPr>
        <w:jc w:val="both"/>
        <w:rPr>
          <w:rFonts w:ascii="Verdana" w:hAnsi="Verdana"/>
          <w:sz w:val="20"/>
          <w:lang w:val="es-ES"/>
        </w:rPr>
      </w:pPr>
    </w:p>
    <w:p w:rsidR="007A5C46" w:rsidRDefault="007A5C46" w:rsidP="007A5C46">
      <w:pPr>
        <w:jc w:val="both"/>
        <w:rPr>
          <w:rFonts w:ascii="Verdana" w:hAnsi="Verdana"/>
          <w:sz w:val="20"/>
          <w:lang w:val="es-ES"/>
        </w:rPr>
      </w:pPr>
    </w:p>
    <w:p w:rsidR="007A5C46" w:rsidRPr="00370276" w:rsidRDefault="007A5C46" w:rsidP="007A5C46">
      <w:pPr>
        <w:jc w:val="both"/>
        <w:rPr>
          <w:rFonts w:ascii="Verdana" w:hAnsi="Verdana"/>
          <w:sz w:val="20"/>
          <w:lang w:val="es-ES"/>
        </w:rPr>
      </w:pPr>
      <w:r>
        <w:rPr>
          <w:rFonts w:ascii="Verdana" w:hAnsi="Verdana"/>
          <w:sz w:val="20"/>
          <w:lang w:val="es-ES"/>
        </w:rPr>
        <w:t xml:space="preserve">Eduardo Vio Grossi  </w:t>
      </w:r>
      <w:r>
        <w:rPr>
          <w:rFonts w:ascii="Verdana" w:hAnsi="Verdana"/>
          <w:sz w:val="20"/>
          <w:lang w:val="es-ES"/>
        </w:rPr>
        <w:tab/>
      </w:r>
      <w:r>
        <w:rPr>
          <w:rFonts w:ascii="Verdana" w:hAnsi="Verdana"/>
          <w:sz w:val="20"/>
          <w:lang w:val="es-ES"/>
        </w:rPr>
        <w:tab/>
      </w:r>
      <w:r>
        <w:rPr>
          <w:rFonts w:ascii="Verdana" w:hAnsi="Verdana"/>
          <w:sz w:val="20"/>
          <w:lang w:val="es-ES"/>
        </w:rPr>
        <w:tab/>
        <w:t xml:space="preserve">                      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p>
    <w:p w:rsidR="007A5C46" w:rsidRDefault="007A5C46" w:rsidP="007A5C46">
      <w:pPr>
        <w:jc w:val="both"/>
        <w:rPr>
          <w:rFonts w:ascii="Verdana" w:hAnsi="Verdana"/>
          <w:sz w:val="20"/>
          <w:lang w:val="es-ES"/>
        </w:rPr>
      </w:pPr>
    </w:p>
    <w:p w:rsidR="007A5C46" w:rsidRPr="00370276" w:rsidRDefault="007A5C46" w:rsidP="007A5C46">
      <w:pPr>
        <w:jc w:val="both"/>
        <w:rPr>
          <w:rFonts w:ascii="Verdana" w:hAnsi="Verdana"/>
          <w:sz w:val="20"/>
          <w:lang w:val="es-ES"/>
        </w:rPr>
      </w:pPr>
    </w:p>
    <w:p w:rsidR="007A5C46" w:rsidRPr="00370276" w:rsidRDefault="007A5C46" w:rsidP="007A5C46">
      <w:pPr>
        <w:jc w:val="center"/>
        <w:rPr>
          <w:rFonts w:ascii="Verdana" w:hAnsi="Verdana"/>
          <w:sz w:val="20"/>
          <w:lang w:val="es-ES"/>
        </w:rPr>
      </w:pPr>
      <w:r w:rsidRPr="00370276">
        <w:rPr>
          <w:rFonts w:ascii="Verdana" w:hAnsi="Verdana"/>
          <w:sz w:val="20"/>
          <w:lang w:val="es-ES"/>
        </w:rPr>
        <w:t>Pablo Saavedra Ales</w:t>
      </w:r>
      <w:r>
        <w:rPr>
          <w:rFonts w:ascii="Verdana" w:hAnsi="Verdana"/>
          <w:sz w:val="20"/>
          <w:lang w:val="es-ES"/>
        </w:rPr>
        <w:t>s</w:t>
      </w:r>
      <w:r w:rsidRPr="00370276">
        <w:rPr>
          <w:rFonts w:ascii="Verdana" w:hAnsi="Verdana"/>
          <w:sz w:val="20"/>
          <w:lang w:val="es-ES"/>
        </w:rPr>
        <w:t>andri</w:t>
      </w:r>
    </w:p>
    <w:p w:rsidR="007A5C46" w:rsidRPr="00370276" w:rsidRDefault="007A5C46" w:rsidP="007A5C46">
      <w:pPr>
        <w:jc w:val="center"/>
        <w:rPr>
          <w:rFonts w:ascii="Verdana" w:hAnsi="Verdana"/>
          <w:sz w:val="20"/>
          <w:lang w:val="es-ES"/>
        </w:rPr>
      </w:pPr>
      <w:r w:rsidRPr="00370276">
        <w:rPr>
          <w:rFonts w:ascii="Verdana" w:hAnsi="Verdana"/>
          <w:sz w:val="20"/>
          <w:lang w:val="es-ES"/>
        </w:rPr>
        <w:t>Secretario</w:t>
      </w:r>
    </w:p>
    <w:p w:rsidR="007A5C46" w:rsidRDefault="007A5C46" w:rsidP="007A5C46">
      <w:pPr>
        <w:pStyle w:val="Textonotapie"/>
        <w:rPr>
          <w:rFonts w:ascii="Verdana" w:hAnsi="Verdana"/>
          <w:lang w:val="es-ES"/>
        </w:rPr>
      </w:pPr>
    </w:p>
    <w:p w:rsidR="007A5C46" w:rsidRPr="00370276" w:rsidRDefault="007A5C46" w:rsidP="007A5C46">
      <w:pPr>
        <w:pStyle w:val="Textonotapie"/>
        <w:rPr>
          <w:rFonts w:ascii="Verdana" w:hAnsi="Verdana"/>
          <w:lang w:val="es-ES"/>
        </w:rPr>
      </w:pPr>
    </w:p>
    <w:p w:rsidR="007A5C46" w:rsidRPr="00370276" w:rsidRDefault="007A5C46" w:rsidP="007A5C46">
      <w:pPr>
        <w:jc w:val="both"/>
        <w:rPr>
          <w:rFonts w:ascii="Verdana" w:hAnsi="Verdana"/>
          <w:sz w:val="20"/>
          <w:lang w:val="es-ES"/>
        </w:rPr>
      </w:pPr>
      <w:r w:rsidRPr="00370276">
        <w:rPr>
          <w:rFonts w:ascii="Verdana" w:hAnsi="Verdana"/>
          <w:sz w:val="20"/>
          <w:lang w:val="es-ES"/>
        </w:rPr>
        <w:t>Comuníquese y ejecútese,</w:t>
      </w:r>
    </w:p>
    <w:p w:rsidR="007A5C46" w:rsidRPr="00370276" w:rsidRDefault="007A5C46" w:rsidP="007A5C46">
      <w:pPr>
        <w:jc w:val="both"/>
        <w:rPr>
          <w:rFonts w:ascii="Verdana" w:hAnsi="Verdana"/>
          <w:sz w:val="20"/>
          <w:lang w:val="es-ES"/>
        </w:rPr>
      </w:pPr>
    </w:p>
    <w:p w:rsidR="007A5C46" w:rsidRPr="00370276" w:rsidRDefault="007A5C46" w:rsidP="007A5C46">
      <w:pPr>
        <w:jc w:val="both"/>
        <w:rPr>
          <w:rFonts w:ascii="Verdana" w:hAnsi="Verdana"/>
          <w:sz w:val="20"/>
          <w:lang w:val="es-ES"/>
        </w:rPr>
      </w:pPr>
    </w:p>
    <w:p w:rsidR="007A5C46" w:rsidRPr="001510B7" w:rsidRDefault="007A5C46" w:rsidP="007A5C46">
      <w:pPr>
        <w:jc w:val="both"/>
        <w:rPr>
          <w:rFonts w:ascii="Verdana" w:hAnsi="Verdana"/>
          <w:sz w:val="20"/>
        </w:rPr>
      </w:pPr>
    </w:p>
    <w:p w:rsidR="007A5C46" w:rsidRDefault="007A5C46" w:rsidP="007A5C46">
      <w:pPr>
        <w:ind w:left="5040"/>
        <w:rPr>
          <w:rFonts w:ascii="Verdana" w:hAnsi="Verdana"/>
          <w:sz w:val="20"/>
          <w:lang w:val="es-ES"/>
        </w:rPr>
      </w:pPr>
      <w:r>
        <w:rPr>
          <w:rFonts w:ascii="Verdana" w:hAnsi="Verdana"/>
          <w:sz w:val="20"/>
          <w:lang w:val="es-ES"/>
        </w:rPr>
        <w:t xml:space="preserve">       Humberto Antonio Sierra Porto</w:t>
      </w:r>
      <w:r w:rsidRPr="00370276">
        <w:rPr>
          <w:rFonts w:ascii="Verdana" w:hAnsi="Verdana"/>
          <w:sz w:val="20"/>
          <w:lang w:val="es-ES"/>
        </w:rPr>
        <w:tab/>
      </w:r>
    </w:p>
    <w:p w:rsidR="007A5C46" w:rsidRPr="00370276" w:rsidRDefault="007A5C46" w:rsidP="007A5C46">
      <w:pPr>
        <w:ind w:left="5760"/>
        <w:jc w:val="center"/>
        <w:rPr>
          <w:rFonts w:ascii="Verdana" w:hAnsi="Verdana"/>
          <w:sz w:val="20"/>
          <w:lang w:val="es-ES"/>
        </w:rPr>
      </w:pPr>
      <w:r>
        <w:rPr>
          <w:rFonts w:ascii="Verdana" w:hAnsi="Verdana"/>
          <w:sz w:val="20"/>
          <w:lang w:val="es-ES"/>
        </w:rPr>
        <w:t>Presidente</w:t>
      </w:r>
    </w:p>
    <w:p w:rsidR="007A5C46" w:rsidRPr="00370276" w:rsidRDefault="007A5C46" w:rsidP="007A5C46">
      <w:pPr>
        <w:jc w:val="both"/>
        <w:rPr>
          <w:rFonts w:ascii="Verdana" w:hAnsi="Verdana"/>
          <w:sz w:val="20"/>
          <w:lang w:val="es-ES"/>
        </w:rPr>
      </w:pPr>
    </w:p>
    <w:p w:rsidR="007A5C46" w:rsidRPr="00370276" w:rsidRDefault="007A5C46" w:rsidP="007A5C46">
      <w:pPr>
        <w:jc w:val="both"/>
        <w:rPr>
          <w:rFonts w:ascii="Verdana" w:hAnsi="Verdana"/>
          <w:sz w:val="20"/>
          <w:lang w:val="es-ES"/>
        </w:rPr>
      </w:pPr>
    </w:p>
    <w:p w:rsidR="007A5C46" w:rsidRDefault="007A5C46" w:rsidP="007A5C46">
      <w:pPr>
        <w:jc w:val="both"/>
        <w:rPr>
          <w:rFonts w:ascii="Verdana" w:hAnsi="Verdana"/>
          <w:sz w:val="20"/>
          <w:lang w:val="es-ES"/>
        </w:rPr>
      </w:pPr>
      <w:r w:rsidRPr="00370276">
        <w:rPr>
          <w:rFonts w:ascii="Verdana" w:hAnsi="Verdana"/>
          <w:sz w:val="20"/>
          <w:lang w:val="es-ES"/>
        </w:rPr>
        <w:t>Pablo Saavedra Alessandri</w:t>
      </w:r>
    </w:p>
    <w:p w:rsidR="007A5C46" w:rsidRDefault="007A5C46" w:rsidP="007A5C46">
      <w:pPr>
        <w:rPr>
          <w:rFonts w:ascii="Verdana" w:hAnsi="Verdana"/>
          <w:sz w:val="20"/>
        </w:rPr>
      </w:pPr>
      <w:r w:rsidRPr="00370276">
        <w:rPr>
          <w:rFonts w:ascii="Verdana" w:hAnsi="Verdana"/>
          <w:sz w:val="20"/>
          <w:lang w:val="es-ES"/>
        </w:rPr>
        <w:tab/>
      </w:r>
      <w:r>
        <w:rPr>
          <w:rFonts w:ascii="Verdana" w:hAnsi="Verdana"/>
          <w:sz w:val="20"/>
        </w:rPr>
        <w:t>Secretario</w:t>
      </w:r>
    </w:p>
    <w:p w:rsidR="0002248B" w:rsidRPr="00EE539E" w:rsidRDefault="0002248B" w:rsidP="002B2280">
      <w:pPr>
        <w:tabs>
          <w:tab w:val="left" w:pos="720"/>
        </w:tabs>
        <w:spacing w:before="100" w:after="0" w:line="240" w:lineRule="auto"/>
        <w:jc w:val="both"/>
        <w:rPr>
          <w:rFonts w:ascii="Verdana" w:hAnsi="Verdana"/>
          <w:sz w:val="20"/>
          <w:szCs w:val="20"/>
        </w:rPr>
      </w:pPr>
    </w:p>
    <w:sectPr w:rsidR="0002248B" w:rsidRPr="00EE539E" w:rsidSect="00B55C19">
      <w:headerReference w:type="even" r:id="rId8"/>
      <w:headerReference w:type="default" r:id="rId9"/>
      <w:headerReference w:type="first" r:id="rId10"/>
      <w:pgSz w:w="12240" w:h="15840" w:code="1"/>
      <w:pgMar w:top="1440" w:right="1327"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1F6" w:rsidRDefault="00D521F6" w:rsidP="0075315F">
      <w:pPr>
        <w:spacing w:after="0" w:line="240" w:lineRule="auto"/>
      </w:pPr>
      <w:r>
        <w:separator/>
      </w:r>
    </w:p>
  </w:endnote>
  <w:endnote w:type="continuationSeparator" w:id="0">
    <w:p w:rsidR="00D521F6" w:rsidRDefault="00D521F6" w:rsidP="00753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1F6" w:rsidRDefault="00D521F6" w:rsidP="0075315F">
      <w:pPr>
        <w:spacing w:after="0" w:line="240" w:lineRule="auto"/>
      </w:pPr>
      <w:r>
        <w:separator/>
      </w:r>
    </w:p>
  </w:footnote>
  <w:footnote w:type="continuationSeparator" w:id="0">
    <w:p w:rsidR="00D521F6" w:rsidRDefault="00D521F6" w:rsidP="0075315F">
      <w:pPr>
        <w:spacing w:after="0" w:line="240" w:lineRule="auto"/>
      </w:pPr>
      <w:r>
        <w:continuationSeparator/>
      </w:r>
    </w:p>
  </w:footnote>
  <w:footnote w:id="1">
    <w:p w:rsidR="003B4B99" w:rsidRPr="003B4B99" w:rsidRDefault="00E761FE" w:rsidP="003B4B99">
      <w:pPr>
        <w:spacing w:after="60" w:line="240" w:lineRule="auto"/>
        <w:jc w:val="both"/>
        <w:rPr>
          <w:rFonts w:ascii="Verdana" w:hAnsi="Verdana"/>
          <w:sz w:val="16"/>
          <w:szCs w:val="16"/>
        </w:rPr>
      </w:pPr>
      <w:r w:rsidRPr="003B4B99">
        <w:rPr>
          <w:rStyle w:val="Refdenotaalpie"/>
          <w:rFonts w:ascii="Verdana" w:hAnsi="Verdana"/>
          <w:sz w:val="16"/>
          <w:szCs w:val="16"/>
        </w:rPr>
        <w:footnoteRef/>
      </w:r>
      <w:r w:rsidR="003B4B99" w:rsidRPr="003B4B99">
        <w:rPr>
          <w:rFonts w:ascii="Verdana" w:hAnsi="Verdana"/>
          <w:sz w:val="16"/>
          <w:szCs w:val="16"/>
        </w:rPr>
        <w:t xml:space="preserve"> </w:t>
      </w:r>
      <w:r w:rsidR="003B4B99" w:rsidRPr="003B4B99">
        <w:rPr>
          <w:rFonts w:ascii="Verdana" w:hAnsi="Verdana"/>
          <w:sz w:val="16"/>
          <w:szCs w:val="16"/>
        </w:rPr>
        <w:tab/>
      </w:r>
      <w:r w:rsidR="003B4B99" w:rsidRPr="003B4B99">
        <w:rPr>
          <w:rFonts w:ascii="Verdana" w:hAnsi="Verdana"/>
          <w:sz w:val="16"/>
          <w:szCs w:val="16"/>
          <w:lang w:val="es-CO"/>
        </w:rPr>
        <w:t xml:space="preserve">Los jueces Diego García-Sayán y Alberto Pérez </w:t>
      </w:r>
      <w:proofErr w:type="spellStart"/>
      <w:r w:rsidR="003B4B99" w:rsidRPr="003B4B99">
        <w:rPr>
          <w:rFonts w:ascii="Verdana" w:hAnsi="Verdana"/>
          <w:sz w:val="16"/>
          <w:szCs w:val="16"/>
          <w:lang w:val="es-CO"/>
        </w:rPr>
        <w:t>Pérez</w:t>
      </w:r>
      <w:proofErr w:type="spellEnd"/>
      <w:r w:rsidR="003B4B99" w:rsidRPr="003B4B99">
        <w:rPr>
          <w:rFonts w:ascii="Verdana" w:hAnsi="Verdana"/>
          <w:sz w:val="16"/>
          <w:szCs w:val="16"/>
          <w:lang w:val="es-CO"/>
        </w:rPr>
        <w:t>, quienes hicieron parte de la composición de la Corte al momento de emitir la Sentencia de Excepción Preliminar, Fondo, Reparaciones y Costas, se excusaron de conocer de la presente Sentencia de interpretación, debido, tanto a una excusa presentada, como por motivos de fuerza mayor, respectivamente.</w:t>
      </w:r>
    </w:p>
  </w:footnote>
  <w:footnote w:id="2">
    <w:p w:rsidR="008F46AD" w:rsidRPr="003B4B99" w:rsidRDefault="008F46AD" w:rsidP="003B4B99">
      <w:pPr>
        <w:spacing w:after="60" w:line="240" w:lineRule="auto"/>
        <w:jc w:val="both"/>
        <w:rPr>
          <w:rFonts w:ascii="Verdana" w:hAnsi="Verdana"/>
          <w:sz w:val="16"/>
          <w:szCs w:val="16"/>
        </w:rPr>
      </w:pPr>
      <w:r w:rsidRPr="003B4B99">
        <w:rPr>
          <w:rStyle w:val="Refdenotaalpie"/>
          <w:rFonts w:ascii="Verdana" w:hAnsi="Verdana"/>
          <w:sz w:val="16"/>
          <w:szCs w:val="16"/>
        </w:rPr>
        <w:footnoteRef/>
      </w:r>
      <w:r w:rsidRPr="003B4B99">
        <w:rPr>
          <w:rFonts w:ascii="Verdana" w:hAnsi="Verdana"/>
          <w:sz w:val="16"/>
          <w:szCs w:val="16"/>
        </w:rPr>
        <w:t xml:space="preserve"> </w:t>
      </w:r>
      <w:r w:rsidRPr="003B4B99">
        <w:rPr>
          <w:rFonts w:ascii="Verdana" w:hAnsi="Verdana"/>
          <w:sz w:val="16"/>
          <w:szCs w:val="16"/>
        </w:rPr>
        <w:tab/>
      </w:r>
      <w:r w:rsidR="003B4B99" w:rsidRPr="003B4B99">
        <w:rPr>
          <w:rFonts w:ascii="Verdana" w:hAnsi="Verdana"/>
          <w:i/>
          <w:sz w:val="16"/>
          <w:szCs w:val="16"/>
        </w:rPr>
        <w:t>Cfr. Caso Loayza Tamayo Vs. Perú</w:t>
      </w:r>
      <w:r w:rsidR="003B4B99" w:rsidRPr="003B4B99">
        <w:rPr>
          <w:rFonts w:ascii="Verdana" w:hAnsi="Verdana"/>
          <w:sz w:val="16"/>
          <w:szCs w:val="16"/>
        </w:rPr>
        <w:t xml:space="preserve">. </w:t>
      </w:r>
      <w:r w:rsidR="003B4B99" w:rsidRPr="003B4B99">
        <w:rPr>
          <w:rFonts w:ascii="Verdana" w:hAnsi="Verdana"/>
          <w:i/>
          <w:sz w:val="16"/>
          <w:szCs w:val="16"/>
        </w:rPr>
        <w:t>Interpretación de la Sentencia de Fondo.</w:t>
      </w:r>
      <w:r w:rsidR="003B4B99" w:rsidRPr="003B4B99">
        <w:rPr>
          <w:rFonts w:ascii="Verdana" w:hAnsi="Verdana"/>
          <w:sz w:val="16"/>
          <w:szCs w:val="16"/>
        </w:rPr>
        <w:t xml:space="preserve"> Resolución de la Corte Interamericana de Derechos Humanos de 8 de marzo de 1998. Serie C No. 47, párr. 16, y </w:t>
      </w:r>
      <w:r w:rsidR="003B4B99" w:rsidRPr="003B4B99">
        <w:rPr>
          <w:rFonts w:ascii="Verdana" w:hAnsi="Verdana"/>
          <w:i/>
          <w:sz w:val="16"/>
          <w:szCs w:val="16"/>
          <w:lang w:val="es-CO"/>
        </w:rPr>
        <w:t>Caso Masacre de El Mozote y lugares aledaños Vs. El Salvador. Interpretación de la Sentencia de Fondo, Reparaciones y Costas.</w:t>
      </w:r>
      <w:r w:rsidR="003B4B99" w:rsidRPr="003B4B99">
        <w:rPr>
          <w:rFonts w:ascii="Verdana" w:hAnsi="Verdana"/>
          <w:sz w:val="16"/>
          <w:szCs w:val="16"/>
          <w:lang w:val="es-CO"/>
        </w:rPr>
        <w:t xml:space="preserve"> Sentencia de 19 de Agosto de 2013. Serie C No. 264, párr. 17.</w:t>
      </w:r>
    </w:p>
  </w:footnote>
  <w:footnote w:id="3">
    <w:p w:rsidR="008F46AD" w:rsidRPr="003B4B99" w:rsidRDefault="008F46AD" w:rsidP="003B4B99">
      <w:pPr>
        <w:pStyle w:val="Textonotapie"/>
        <w:spacing w:after="60"/>
        <w:jc w:val="both"/>
        <w:rPr>
          <w:rFonts w:ascii="Verdana" w:hAnsi="Verdana"/>
          <w:sz w:val="16"/>
          <w:szCs w:val="16"/>
          <w:lang w:val="es-CO"/>
        </w:rPr>
      </w:pPr>
      <w:r w:rsidRPr="003B4B99">
        <w:rPr>
          <w:rStyle w:val="Refdenotaalpie"/>
          <w:rFonts w:ascii="Verdana" w:hAnsi="Verdana"/>
          <w:sz w:val="16"/>
          <w:szCs w:val="16"/>
        </w:rPr>
        <w:footnoteRef/>
      </w:r>
      <w:r w:rsidRPr="003B4B99">
        <w:rPr>
          <w:rFonts w:ascii="Verdana" w:hAnsi="Verdana"/>
          <w:sz w:val="16"/>
          <w:szCs w:val="16"/>
        </w:rPr>
        <w:t xml:space="preserve"> </w:t>
      </w:r>
      <w:r w:rsidRPr="003B4B99">
        <w:rPr>
          <w:rFonts w:ascii="Verdana" w:hAnsi="Verdana"/>
          <w:sz w:val="16"/>
          <w:szCs w:val="16"/>
        </w:rPr>
        <w:tab/>
      </w:r>
      <w:r w:rsidR="003B4B99" w:rsidRPr="003B4B99">
        <w:rPr>
          <w:rFonts w:ascii="Verdana" w:hAnsi="Verdana"/>
          <w:i/>
          <w:sz w:val="16"/>
          <w:szCs w:val="16"/>
        </w:rPr>
        <w:t>Cfr. Caso Loayza Tamayo Vs. Perú</w:t>
      </w:r>
      <w:r w:rsidR="003B4B99" w:rsidRPr="003B4B99">
        <w:rPr>
          <w:rFonts w:ascii="Verdana" w:hAnsi="Verdana"/>
          <w:sz w:val="16"/>
          <w:szCs w:val="16"/>
        </w:rPr>
        <w:t xml:space="preserve">. </w:t>
      </w:r>
      <w:r w:rsidR="003B4B99" w:rsidRPr="003B4B99">
        <w:rPr>
          <w:rFonts w:ascii="Verdana" w:hAnsi="Verdana"/>
          <w:i/>
          <w:sz w:val="16"/>
          <w:szCs w:val="16"/>
        </w:rPr>
        <w:t>Interpretación de la Sentencia de Fondo</w:t>
      </w:r>
      <w:r w:rsidR="003B4B99" w:rsidRPr="003B4B99">
        <w:rPr>
          <w:rFonts w:ascii="Verdana" w:hAnsi="Verdana"/>
          <w:sz w:val="16"/>
          <w:szCs w:val="16"/>
        </w:rPr>
        <w:t>, párr. 16</w:t>
      </w:r>
      <w:r w:rsidR="003B4B99" w:rsidRPr="003B4B99">
        <w:rPr>
          <w:rFonts w:ascii="Verdana" w:hAnsi="Verdana"/>
          <w:sz w:val="16"/>
          <w:szCs w:val="16"/>
          <w:lang w:val="es-CO"/>
        </w:rPr>
        <w:t>,</w:t>
      </w:r>
      <w:r w:rsidR="003B4B99" w:rsidRPr="003B4B99">
        <w:rPr>
          <w:rFonts w:ascii="Verdana" w:hAnsi="Verdana"/>
          <w:sz w:val="16"/>
          <w:szCs w:val="16"/>
        </w:rPr>
        <w:t xml:space="preserve"> y </w:t>
      </w:r>
      <w:r w:rsidR="003B4B99" w:rsidRPr="003B4B99">
        <w:rPr>
          <w:rFonts w:ascii="Verdana" w:hAnsi="Verdana"/>
          <w:i/>
          <w:sz w:val="16"/>
          <w:szCs w:val="16"/>
          <w:lang w:val="es-CO"/>
        </w:rPr>
        <w:t>Caso Masacre de El Mozote y lugares aledaños Vs. El Salvador. Interpretación de la Sentencia de Fondo, Reparaciones y Costas</w:t>
      </w:r>
      <w:r w:rsidR="003B4B99" w:rsidRPr="003B4B99">
        <w:rPr>
          <w:rFonts w:ascii="Verdana" w:hAnsi="Verdana"/>
          <w:sz w:val="16"/>
          <w:szCs w:val="16"/>
          <w:lang w:val="es-CO"/>
        </w:rPr>
        <w:t>, párr.  17.</w:t>
      </w:r>
    </w:p>
  </w:footnote>
  <w:footnote w:id="4">
    <w:p w:rsidR="008F46AD" w:rsidRPr="003B4B99" w:rsidRDefault="008F46AD" w:rsidP="003B4B99">
      <w:pPr>
        <w:spacing w:after="60" w:line="240" w:lineRule="auto"/>
        <w:jc w:val="both"/>
        <w:rPr>
          <w:rFonts w:ascii="Verdana" w:hAnsi="Verdana"/>
          <w:sz w:val="16"/>
          <w:szCs w:val="16"/>
        </w:rPr>
      </w:pPr>
      <w:r w:rsidRPr="003B4B99">
        <w:rPr>
          <w:rStyle w:val="Refdenotaalpie"/>
          <w:rFonts w:ascii="Verdana" w:hAnsi="Verdana"/>
          <w:sz w:val="16"/>
          <w:szCs w:val="16"/>
        </w:rPr>
        <w:footnoteRef/>
      </w:r>
      <w:r w:rsidRPr="003B4B99">
        <w:rPr>
          <w:rFonts w:ascii="Verdana" w:hAnsi="Verdana"/>
          <w:sz w:val="16"/>
          <w:szCs w:val="16"/>
        </w:rPr>
        <w:t xml:space="preserve"> </w:t>
      </w:r>
      <w:r w:rsidRPr="003B4B99">
        <w:rPr>
          <w:rFonts w:ascii="Verdana" w:hAnsi="Verdana"/>
          <w:sz w:val="16"/>
          <w:szCs w:val="16"/>
        </w:rPr>
        <w:tab/>
      </w:r>
      <w:r w:rsidR="003B4B99" w:rsidRPr="003B4B99">
        <w:rPr>
          <w:rFonts w:ascii="Verdana" w:hAnsi="Verdana"/>
          <w:i/>
          <w:sz w:val="16"/>
          <w:szCs w:val="16"/>
        </w:rPr>
        <w:t>Cfr</w:t>
      </w:r>
      <w:r w:rsidR="003B4B99" w:rsidRPr="003B4B99">
        <w:rPr>
          <w:rFonts w:ascii="Verdana" w:hAnsi="Verdana"/>
          <w:sz w:val="16"/>
          <w:szCs w:val="16"/>
        </w:rPr>
        <w:t xml:space="preserve">. </w:t>
      </w:r>
      <w:r w:rsidR="003B4B99" w:rsidRPr="003B4B99">
        <w:rPr>
          <w:rFonts w:ascii="Verdana" w:hAnsi="Verdana"/>
          <w:i/>
          <w:sz w:val="16"/>
          <w:szCs w:val="16"/>
        </w:rPr>
        <w:t>Caso Loayza Tamayo Vs. Perú. Interpretación de la Sentencia de Reparaciones y Costas</w:t>
      </w:r>
      <w:r w:rsidR="003B4B99" w:rsidRPr="003B4B99">
        <w:rPr>
          <w:rFonts w:ascii="Verdana" w:hAnsi="Verdana"/>
          <w:sz w:val="16"/>
          <w:szCs w:val="16"/>
        </w:rPr>
        <w:t>. Sentencia de 3 de junio de 1999. Serie C No. 53, párr. 15</w:t>
      </w:r>
      <w:r w:rsidR="003B4B99" w:rsidRPr="003B4B99">
        <w:rPr>
          <w:rFonts w:ascii="Verdana" w:hAnsi="Verdana"/>
          <w:i/>
          <w:sz w:val="16"/>
          <w:szCs w:val="16"/>
          <w:lang w:val="es-CO"/>
        </w:rPr>
        <w:t>, y Caso Masacre de El Mozote y lugares aledaños Vs. El Salvador. Interpretación de la Sentencia de Fondo, Reparaciones y Costas</w:t>
      </w:r>
      <w:r w:rsidR="003B4B99" w:rsidRPr="003B4B99">
        <w:rPr>
          <w:rFonts w:ascii="Verdana" w:hAnsi="Verdana"/>
          <w:sz w:val="16"/>
          <w:szCs w:val="16"/>
          <w:lang w:val="es-CO"/>
        </w:rPr>
        <w:t>, párr. 18.</w:t>
      </w:r>
    </w:p>
  </w:footnote>
  <w:footnote w:id="5">
    <w:p w:rsidR="003061A9" w:rsidRPr="003B4B99" w:rsidRDefault="003061A9" w:rsidP="003B4B99">
      <w:pPr>
        <w:pStyle w:val="Textonotapie"/>
        <w:spacing w:after="60"/>
        <w:jc w:val="both"/>
        <w:rPr>
          <w:rFonts w:ascii="Verdana" w:hAnsi="Verdana"/>
          <w:sz w:val="16"/>
          <w:szCs w:val="16"/>
        </w:rPr>
      </w:pPr>
      <w:r w:rsidRPr="003B4B99">
        <w:rPr>
          <w:rStyle w:val="Refdenotaalpie"/>
          <w:rFonts w:ascii="Verdana" w:hAnsi="Verdana"/>
          <w:sz w:val="16"/>
          <w:szCs w:val="16"/>
        </w:rPr>
        <w:footnoteRef/>
      </w:r>
      <w:r w:rsidRPr="003B4B99">
        <w:rPr>
          <w:rFonts w:ascii="Verdana" w:hAnsi="Verdana"/>
          <w:sz w:val="16"/>
          <w:szCs w:val="16"/>
        </w:rPr>
        <w:t xml:space="preserve"> </w:t>
      </w:r>
      <w:r w:rsidRPr="003B4B99">
        <w:rPr>
          <w:rFonts w:ascii="Verdana" w:hAnsi="Verdana"/>
          <w:sz w:val="16"/>
          <w:szCs w:val="16"/>
        </w:rPr>
        <w:tab/>
      </w:r>
      <w:r w:rsidR="003B4B99" w:rsidRPr="003B4B99">
        <w:rPr>
          <w:rFonts w:ascii="Verdana" w:hAnsi="Verdana"/>
          <w:i/>
          <w:sz w:val="16"/>
          <w:szCs w:val="16"/>
        </w:rPr>
        <w:t xml:space="preserve">Cfr. </w:t>
      </w:r>
      <w:r w:rsidR="003B4B99" w:rsidRPr="003B4B99">
        <w:rPr>
          <w:rFonts w:ascii="Verdana" w:hAnsi="Verdana"/>
          <w:bCs/>
          <w:i/>
          <w:color w:val="000000"/>
          <w:sz w:val="16"/>
          <w:szCs w:val="16"/>
        </w:rPr>
        <w:t xml:space="preserve">Caso Salvador Chiriboga Vs. Ecuador. </w:t>
      </w:r>
      <w:r w:rsidR="003B4B99" w:rsidRPr="003B4B99">
        <w:rPr>
          <w:rFonts w:ascii="Verdana" w:hAnsi="Verdana"/>
          <w:i/>
          <w:color w:val="000000"/>
          <w:sz w:val="16"/>
          <w:szCs w:val="16"/>
        </w:rPr>
        <w:t>Interpretación de la Sentencia de Reparaciones y Costas</w:t>
      </w:r>
      <w:r w:rsidR="003B4B99" w:rsidRPr="003B4B99">
        <w:rPr>
          <w:rFonts w:ascii="Verdana" w:hAnsi="Verdana"/>
          <w:color w:val="000000"/>
          <w:sz w:val="16"/>
          <w:szCs w:val="16"/>
        </w:rPr>
        <w:t xml:space="preserve">. Sentencia de 29 de agosto de 2011. Serie C No. 230, párr. 30, y </w:t>
      </w:r>
      <w:r w:rsidR="003B4B99" w:rsidRPr="003B4B99">
        <w:rPr>
          <w:rFonts w:ascii="Verdana" w:hAnsi="Verdana"/>
          <w:i/>
          <w:sz w:val="16"/>
          <w:szCs w:val="16"/>
          <w:lang w:val="es-CO"/>
        </w:rPr>
        <w:t>Caso Masacre de El Mozote y lugares aledaños Vs. El Salvador. Interpretación de la Sentencia de Fondo, Reparaciones y Costas</w:t>
      </w:r>
      <w:r w:rsidR="003B4B99" w:rsidRPr="003B4B99">
        <w:rPr>
          <w:rFonts w:ascii="Verdana" w:hAnsi="Verdana"/>
          <w:sz w:val="16"/>
          <w:szCs w:val="16"/>
          <w:lang w:val="es-CO"/>
        </w:rPr>
        <w:t>, párr. 18.</w:t>
      </w:r>
    </w:p>
  </w:footnote>
  <w:footnote w:id="6">
    <w:p w:rsidR="003061A9" w:rsidRPr="003B4B99" w:rsidRDefault="003061A9" w:rsidP="003B4B99">
      <w:pPr>
        <w:spacing w:after="60" w:line="240" w:lineRule="auto"/>
        <w:jc w:val="both"/>
        <w:rPr>
          <w:rFonts w:ascii="Verdana" w:hAnsi="Verdana"/>
          <w:sz w:val="16"/>
          <w:szCs w:val="16"/>
        </w:rPr>
      </w:pPr>
      <w:r w:rsidRPr="003B4B99">
        <w:rPr>
          <w:rStyle w:val="Refdenotaalpie"/>
          <w:rFonts w:ascii="Verdana" w:hAnsi="Verdana"/>
          <w:sz w:val="16"/>
          <w:szCs w:val="16"/>
        </w:rPr>
        <w:footnoteRef/>
      </w:r>
      <w:r w:rsidRPr="003B4B99">
        <w:rPr>
          <w:rFonts w:ascii="Verdana" w:hAnsi="Verdana"/>
          <w:sz w:val="16"/>
          <w:szCs w:val="16"/>
        </w:rPr>
        <w:t xml:space="preserve"> </w:t>
      </w:r>
      <w:r w:rsidRPr="003B4B99">
        <w:rPr>
          <w:rFonts w:ascii="Verdana" w:hAnsi="Verdana"/>
          <w:sz w:val="16"/>
          <w:szCs w:val="16"/>
        </w:rPr>
        <w:tab/>
      </w:r>
      <w:r w:rsidR="003B4B99" w:rsidRPr="003B4B99">
        <w:rPr>
          <w:rFonts w:ascii="Verdana" w:hAnsi="Verdana"/>
          <w:i/>
          <w:sz w:val="16"/>
          <w:szCs w:val="16"/>
        </w:rPr>
        <w:t>Cfr</w:t>
      </w:r>
      <w:r w:rsidR="003B4B99" w:rsidRPr="003B4B99">
        <w:rPr>
          <w:rFonts w:ascii="Verdana" w:hAnsi="Verdana"/>
          <w:sz w:val="16"/>
          <w:szCs w:val="16"/>
        </w:rPr>
        <w:t xml:space="preserve">. </w:t>
      </w:r>
      <w:hyperlink r:id="rId1" w:history="1">
        <w:r w:rsidR="003B4B99" w:rsidRPr="003B4B99">
          <w:rPr>
            <w:rStyle w:val="Hipervnculo"/>
            <w:rFonts w:ascii="Verdana" w:hAnsi="Verdana" w:cs="Arial"/>
            <w:i/>
            <w:color w:val="auto"/>
            <w:sz w:val="16"/>
            <w:szCs w:val="16"/>
          </w:rPr>
          <w:t xml:space="preserve">Caso </w:t>
        </w:r>
        <w:proofErr w:type="spellStart"/>
        <w:r w:rsidR="003B4B99" w:rsidRPr="003B4B99">
          <w:rPr>
            <w:rStyle w:val="Hipervnculo"/>
            <w:rFonts w:ascii="Verdana" w:hAnsi="Verdana" w:cs="Arial"/>
            <w:i/>
            <w:color w:val="auto"/>
            <w:sz w:val="16"/>
            <w:szCs w:val="16"/>
          </w:rPr>
          <w:t>Escher</w:t>
        </w:r>
        <w:proofErr w:type="spellEnd"/>
        <w:r w:rsidR="003B4B99" w:rsidRPr="003B4B99">
          <w:rPr>
            <w:rStyle w:val="Hipervnculo"/>
            <w:rFonts w:ascii="Verdana" w:hAnsi="Verdana" w:cs="Arial"/>
            <w:i/>
            <w:color w:val="auto"/>
            <w:sz w:val="16"/>
            <w:szCs w:val="16"/>
          </w:rPr>
          <w:t xml:space="preserve"> y otros Vs. Brasil. Interpretación de la Sentencia de Excepciones Preliminares, Fondo, Reparaciones y Costas</w:t>
        </w:r>
        <w:r w:rsidR="003B4B99" w:rsidRPr="003B4B99">
          <w:rPr>
            <w:rStyle w:val="Hipervnculo"/>
            <w:rFonts w:ascii="Verdana" w:hAnsi="Verdana" w:cs="Arial"/>
            <w:color w:val="auto"/>
            <w:sz w:val="16"/>
            <w:szCs w:val="16"/>
          </w:rPr>
          <w:t>. Sentencia de 20 de noviembre de 2009. Serie C No. 208, párr. 11</w:t>
        </w:r>
      </w:hyperlink>
      <w:r w:rsidR="003B4B99" w:rsidRPr="003B4B99">
        <w:rPr>
          <w:rFonts w:ascii="Verdana" w:hAnsi="Verdana" w:cs="Arial"/>
          <w:sz w:val="16"/>
          <w:szCs w:val="16"/>
        </w:rPr>
        <w:t xml:space="preserve">, y </w:t>
      </w:r>
      <w:r w:rsidR="003B4B99" w:rsidRPr="003B4B99">
        <w:rPr>
          <w:rFonts w:ascii="Verdana" w:hAnsi="Verdana"/>
          <w:i/>
          <w:sz w:val="16"/>
          <w:szCs w:val="16"/>
          <w:lang w:val="es-CO"/>
        </w:rPr>
        <w:t>Caso Masacre de El Mozote y lugares aledaños Vs. El Salvador. Interpretación de la Sentencia de Fondo, Reparaciones y Costas</w:t>
      </w:r>
      <w:r w:rsidR="003B4B99" w:rsidRPr="003B4B99">
        <w:rPr>
          <w:rFonts w:ascii="Verdana" w:hAnsi="Verdana"/>
          <w:sz w:val="16"/>
          <w:szCs w:val="16"/>
          <w:lang w:val="es-CO"/>
        </w:rPr>
        <w:t>, párr. 18</w:t>
      </w:r>
      <w:r w:rsidR="003B4B99" w:rsidRPr="003B4B99">
        <w:rPr>
          <w:rFonts w:ascii="Verdana" w:hAnsi="Verdana" w:cs="Arial"/>
          <w:sz w:val="16"/>
          <w:szCs w:val="16"/>
        </w:rPr>
        <w:t>.</w:t>
      </w:r>
    </w:p>
  </w:footnote>
  <w:footnote w:id="7">
    <w:p w:rsidR="003061A9" w:rsidRPr="003B4B99" w:rsidRDefault="003061A9" w:rsidP="003B4B99">
      <w:pPr>
        <w:spacing w:after="60" w:line="240" w:lineRule="auto"/>
        <w:jc w:val="both"/>
        <w:rPr>
          <w:rFonts w:ascii="Verdana" w:hAnsi="Verdana"/>
          <w:sz w:val="16"/>
          <w:szCs w:val="16"/>
        </w:rPr>
      </w:pPr>
      <w:r w:rsidRPr="003B4B99">
        <w:rPr>
          <w:rStyle w:val="Refdenotaalpie"/>
          <w:rFonts w:ascii="Verdana" w:hAnsi="Verdana"/>
          <w:sz w:val="16"/>
          <w:szCs w:val="16"/>
        </w:rPr>
        <w:footnoteRef/>
      </w:r>
      <w:r w:rsidRPr="003B4B99">
        <w:rPr>
          <w:rFonts w:ascii="Verdana" w:hAnsi="Verdana"/>
          <w:sz w:val="16"/>
          <w:szCs w:val="16"/>
        </w:rPr>
        <w:t xml:space="preserve"> </w:t>
      </w:r>
      <w:r w:rsidRPr="003B4B99">
        <w:rPr>
          <w:rFonts w:ascii="Verdana" w:hAnsi="Verdana"/>
          <w:sz w:val="16"/>
          <w:szCs w:val="16"/>
        </w:rPr>
        <w:tab/>
      </w:r>
      <w:r w:rsidR="003B4B99" w:rsidRPr="003B4B99">
        <w:rPr>
          <w:rFonts w:ascii="Verdana" w:hAnsi="Verdana"/>
          <w:i/>
          <w:sz w:val="16"/>
          <w:szCs w:val="16"/>
        </w:rPr>
        <w:t xml:space="preserve">Cfr. Caso </w:t>
      </w:r>
      <w:proofErr w:type="spellStart"/>
      <w:r w:rsidR="003B4B99" w:rsidRPr="003B4B99">
        <w:rPr>
          <w:rFonts w:ascii="Verdana" w:hAnsi="Verdana"/>
          <w:i/>
          <w:sz w:val="16"/>
          <w:szCs w:val="16"/>
        </w:rPr>
        <w:t>Cesti</w:t>
      </w:r>
      <w:proofErr w:type="spellEnd"/>
      <w:r w:rsidR="003B4B99" w:rsidRPr="003B4B99">
        <w:rPr>
          <w:rFonts w:ascii="Verdana" w:hAnsi="Verdana"/>
          <w:i/>
          <w:sz w:val="16"/>
          <w:szCs w:val="16"/>
        </w:rPr>
        <w:t xml:space="preserve"> Hurtado Vs. Perú. Interpretación de la Sentencia de Fondo.</w:t>
      </w:r>
      <w:r w:rsidR="003B4B99" w:rsidRPr="003B4B99">
        <w:rPr>
          <w:rFonts w:ascii="Verdana" w:hAnsi="Verdana"/>
          <w:sz w:val="16"/>
          <w:szCs w:val="16"/>
        </w:rPr>
        <w:t xml:space="preserve"> Sentencia de 19 de noviembre de 1999. Serie C No. 62, párr. 27, y </w:t>
      </w:r>
      <w:r w:rsidR="003B4B99" w:rsidRPr="003B4B99">
        <w:rPr>
          <w:rFonts w:ascii="Verdana" w:hAnsi="Verdana"/>
          <w:i/>
          <w:sz w:val="16"/>
          <w:szCs w:val="16"/>
          <w:lang w:val="es-CO"/>
        </w:rPr>
        <w:t>Caso Masacre de El Mozote y lugares aledaños Vs. El Salvador. Interpretación de la Sentencia de Fondo, Reparaciones y Costas</w:t>
      </w:r>
      <w:r w:rsidR="003B4B99" w:rsidRPr="003B4B99">
        <w:rPr>
          <w:rFonts w:ascii="Verdana" w:hAnsi="Verdana"/>
          <w:sz w:val="16"/>
          <w:szCs w:val="16"/>
          <w:lang w:val="es-CO"/>
        </w:rPr>
        <w:t xml:space="preserve">, párr. 18.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BCF" w:rsidRDefault="005715F0" w:rsidP="004252DE">
    <w:pPr>
      <w:pStyle w:val="Encabezado"/>
      <w:framePr w:wrap="around" w:vAnchor="text" w:hAnchor="margin" w:xAlign="center" w:y="1"/>
      <w:rPr>
        <w:rStyle w:val="Nmerodepgina"/>
      </w:rPr>
    </w:pPr>
    <w:r>
      <w:rPr>
        <w:rStyle w:val="Nmerodepgina"/>
      </w:rPr>
      <w:fldChar w:fldCharType="begin"/>
    </w:r>
    <w:r w:rsidR="00A27BCF">
      <w:rPr>
        <w:rStyle w:val="Nmerodepgina"/>
      </w:rPr>
      <w:instrText xml:space="preserve">PAGE  </w:instrText>
    </w:r>
    <w:r>
      <w:rPr>
        <w:rStyle w:val="Nmerodepgina"/>
      </w:rPr>
      <w:fldChar w:fldCharType="end"/>
    </w:r>
  </w:p>
  <w:p w:rsidR="00A27BCF" w:rsidRDefault="00A27BC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BCF" w:rsidRPr="00CC45F3" w:rsidRDefault="00A27BCF">
    <w:pPr>
      <w:pStyle w:val="Encabezado"/>
      <w:jc w:val="center"/>
      <w:rPr>
        <w:rFonts w:ascii="Verdana" w:hAnsi="Verdana"/>
        <w:sz w:val="20"/>
        <w:szCs w:val="20"/>
      </w:rPr>
    </w:pPr>
    <w:r w:rsidRPr="00CC45F3">
      <w:rPr>
        <w:rFonts w:ascii="Verdana" w:hAnsi="Verdana"/>
        <w:sz w:val="20"/>
        <w:szCs w:val="20"/>
      </w:rPr>
      <w:t>-</w:t>
    </w:r>
    <w:r w:rsidR="005715F0" w:rsidRPr="00CC45F3">
      <w:rPr>
        <w:rFonts w:ascii="Verdana" w:hAnsi="Verdana"/>
        <w:sz w:val="20"/>
        <w:szCs w:val="20"/>
      </w:rPr>
      <w:fldChar w:fldCharType="begin"/>
    </w:r>
    <w:r w:rsidRPr="00CC45F3">
      <w:rPr>
        <w:rFonts w:ascii="Verdana" w:hAnsi="Verdana"/>
        <w:sz w:val="20"/>
        <w:szCs w:val="20"/>
      </w:rPr>
      <w:instrText xml:space="preserve"> PAGE   \* MERGEFORMAT </w:instrText>
    </w:r>
    <w:r w:rsidR="005715F0" w:rsidRPr="00CC45F3">
      <w:rPr>
        <w:rFonts w:ascii="Verdana" w:hAnsi="Verdana"/>
        <w:sz w:val="20"/>
        <w:szCs w:val="20"/>
      </w:rPr>
      <w:fldChar w:fldCharType="separate"/>
    </w:r>
    <w:r w:rsidR="00F05FE1">
      <w:rPr>
        <w:rFonts w:ascii="Verdana" w:hAnsi="Verdana"/>
        <w:noProof/>
        <w:sz w:val="20"/>
        <w:szCs w:val="20"/>
      </w:rPr>
      <w:t>7</w:t>
    </w:r>
    <w:r w:rsidR="005715F0" w:rsidRPr="00CC45F3">
      <w:rPr>
        <w:rFonts w:ascii="Verdana" w:hAnsi="Verdana"/>
        <w:sz w:val="20"/>
        <w:szCs w:val="20"/>
      </w:rPr>
      <w:fldChar w:fldCharType="end"/>
    </w:r>
    <w:r w:rsidRPr="00CC45F3">
      <w:rPr>
        <w:rFonts w:ascii="Verdana" w:hAnsi="Verdana"/>
        <w:sz w:val="20"/>
        <w:szCs w:val="20"/>
      </w:rPr>
      <w:t>-</w:t>
    </w:r>
  </w:p>
  <w:p w:rsidR="00A27BCF" w:rsidRDefault="00A27BCF" w:rsidP="004252DE">
    <w:pPr>
      <w:pStyle w:val="Encabezad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BCF" w:rsidRPr="00AD6D04" w:rsidRDefault="00A27BCF" w:rsidP="004252DE">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AC8D02E"/>
    <w:lvl w:ilvl="0">
      <w:start w:val="1"/>
      <w:numFmt w:val="decimal"/>
      <w:lvlText w:val="%1."/>
      <w:lvlJc w:val="left"/>
      <w:pPr>
        <w:tabs>
          <w:tab w:val="num" w:pos="1492"/>
        </w:tabs>
        <w:ind w:left="1492" w:hanging="360"/>
      </w:pPr>
    </w:lvl>
  </w:abstractNum>
  <w:abstractNum w:abstractNumId="1">
    <w:nsid w:val="FFFFFF7D"/>
    <w:multiLevelType w:val="singleLevel"/>
    <w:tmpl w:val="8C147412"/>
    <w:lvl w:ilvl="0">
      <w:start w:val="1"/>
      <w:numFmt w:val="decimal"/>
      <w:lvlText w:val="%1."/>
      <w:lvlJc w:val="left"/>
      <w:pPr>
        <w:tabs>
          <w:tab w:val="num" w:pos="1209"/>
        </w:tabs>
        <w:ind w:left="1209" w:hanging="360"/>
      </w:pPr>
    </w:lvl>
  </w:abstractNum>
  <w:abstractNum w:abstractNumId="2">
    <w:nsid w:val="FFFFFF7E"/>
    <w:multiLevelType w:val="singleLevel"/>
    <w:tmpl w:val="CCA210AA"/>
    <w:lvl w:ilvl="0">
      <w:start w:val="1"/>
      <w:numFmt w:val="decimal"/>
      <w:lvlText w:val="%1."/>
      <w:lvlJc w:val="left"/>
      <w:pPr>
        <w:tabs>
          <w:tab w:val="num" w:pos="926"/>
        </w:tabs>
        <w:ind w:left="926" w:hanging="360"/>
      </w:pPr>
    </w:lvl>
  </w:abstractNum>
  <w:abstractNum w:abstractNumId="3">
    <w:nsid w:val="FFFFFF7F"/>
    <w:multiLevelType w:val="singleLevel"/>
    <w:tmpl w:val="611E302E"/>
    <w:lvl w:ilvl="0">
      <w:start w:val="1"/>
      <w:numFmt w:val="decimal"/>
      <w:lvlText w:val="%1."/>
      <w:lvlJc w:val="left"/>
      <w:pPr>
        <w:tabs>
          <w:tab w:val="num" w:pos="643"/>
        </w:tabs>
        <w:ind w:left="643" w:hanging="360"/>
      </w:pPr>
    </w:lvl>
  </w:abstractNum>
  <w:abstractNum w:abstractNumId="4">
    <w:nsid w:val="FFFFFF80"/>
    <w:multiLevelType w:val="singleLevel"/>
    <w:tmpl w:val="BA2CB8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2BE3E6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6D4B7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9DC9FE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73EF98C"/>
    <w:lvl w:ilvl="0">
      <w:start w:val="1"/>
      <w:numFmt w:val="decimal"/>
      <w:lvlText w:val="%1."/>
      <w:lvlJc w:val="left"/>
      <w:pPr>
        <w:tabs>
          <w:tab w:val="num" w:pos="360"/>
        </w:tabs>
        <w:ind w:left="360" w:hanging="360"/>
      </w:pPr>
    </w:lvl>
  </w:abstractNum>
  <w:abstractNum w:abstractNumId="9">
    <w:nsid w:val="FFFFFF89"/>
    <w:multiLevelType w:val="singleLevel"/>
    <w:tmpl w:val="9F446D3E"/>
    <w:lvl w:ilvl="0">
      <w:start w:val="1"/>
      <w:numFmt w:val="bullet"/>
      <w:lvlText w:val=""/>
      <w:lvlJc w:val="left"/>
      <w:pPr>
        <w:tabs>
          <w:tab w:val="num" w:pos="360"/>
        </w:tabs>
        <w:ind w:left="360" w:hanging="360"/>
      </w:pPr>
      <w:rPr>
        <w:rFonts w:ascii="Symbol" w:hAnsi="Symbol" w:hint="default"/>
      </w:rPr>
    </w:lvl>
  </w:abstractNum>
  <w:abstractNum w:abstractNumId="10">
    <w:nsid w:val="01037646"/>
    <w:multiLevelType w:val="hybridMultilevel"/>
    <w:tmpl w:val="70E8FF8C"/>
    <w:lvl w:ilvl="0" w:tplc="1918FF42">
      <w:start w:val="1"/>
      <w:numFmt w:val="lowerRoman"/>
      <w:lvlText w:val="(%1)"/>
      <w:lvlJc w:val="left"/>
      <w:pPr>
        <w:ind w:left="2160" w:hanging="72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11">
    <w:nsid w:val="01944054"/>
    <w:multiLevelType w:val="hybridMultilevel"/>
    <w:tmpl w:val="70E8FF8C"/>
    <w:lvl w:ilvl="0" w:tplc="1918FF42">
      <w:start w:val="1"/>
      <w:numFmt w:val="lowerRoman"/>
      <w:lvlText w:val="(%1)"/>
      <w:lvlJc w:val="left"/>
      <w:pPr>
        <w:ind w:left="2160" w:hanging="72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12">
    <w:nsid w:val="06715B24"/>
    <w:multiLevelType w:val="hybridMultilevel"/>
    <w:tmpl w:val="138ADA10"/>
    <w:lvl w:ilvl="0" w:tplc="41747480">
      <w:start w:val="1"/>
      <w:numFmt w:val="decimal"/>
      <w:lvlText w:val="%1."/>
      <w:lvlJc w:val="left"/>
      <w:pPr>
        <w:ind w:left="0" w:firstLine="0"/>
      </w:pPr>
      <w:rPr>
        <w:rFonts w:ascii="Verdana" w:hAnsi="Verdana" w:hint="default"/>
        <w:b w:val="0"/>
        <w:i w:val="0"/>
        <w:strike w:val="0"/>
        <w:sz w:val="20"/>
        <w:szCs w:val="20"/>
      </w:rPr>
    </w:lvl>
    <w:lvl w:ilvl="1" w:tplc="00190409">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3">
    <w:nsid w:val="06E76BAC"/>
    <w:multiLevelType w:val="hybridMultilevel"/>
    <w:tmpl w:val="2EC22776"/>
    <w:lvl w:ilvl="0" w:tplc="140A0015">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0DC02ECD"/>
    <w:multiLevelType w:val="hybridMultilevel"/>
    <w:tmpl w:val="29B68DDE"/>
    <w:lvl w:ilvl="0" w:tplc="1918FF4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0DDB49A8"/>
    <w:multiLevelType w:val="hybridMultilevel"/>
    <w:tmpl w:val="66A2DF90"/>
    <w:lvl w:ilvl="0" w:tplc="1918FF4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108033E5"/>
    <w:multiLevelType w:val="hybridMultilevel"/>
    <w:tmpl w:val="F4EE16F2"/>
    <w:lvl w:ilvl="0" w:tplc="140A0015">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14D02C2A"/>
    <w:multiLevelType w:val="hybridMultilevel"/>
    <w:tmpl w:val="38C09248"/>
    <w:lvl w:ilvl="0" w:tplc="1918FF4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14FE7F43"/>
    <w:multiLevelType w:val="hybridMultilevel"/>
    <w:tmpl w:val="A2FE7CBA"/>
    <w:lvl w:ilvl="0" w:tplc="FD8A5170">
      <w:start w:val="385"/>
      <w:numFmt w:val="decimal"/>
      <w:lvlText w:val="%1."/>
      <w:lvlJc w:val="left"/>
      <w:pPr>
        <w:ind w:left="795" w:hanging="43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161026BD"/>
    <w:multiLevelType w:val="hybridMultilevel"/>
    <w:tmpl w:val="70E8FF8C"/>
    <w:lvl w:ilvl="0" w:tplc="1918FF42">
      <w:start w:val="1"/>
      <w:numFmt w:val="lowerRoman"/>
      <w:lvlText w:val="(%1)"/>
      <w:lvlJc w:val="left"/>
      <w:pPr>
        <w:ind w:left="2160" w:hanging="72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20">
    <w:nsid w:val="177A46B9"/>
    <w:multiLevelType w:val="hybridMultilevel"/>
    <w:tmpl w:val="FC085662"/>
    <w:lvl w:ilvl="0" w:tplc="AAC61070">
      <w:start w:val="1"/>
      <w:numFmt w:val="decimal"/>
      <w:lvlText w:val="%1."/>
      <w:lvlJc w:val="left"/>
      <w:pPr>
        <w:tabs>
          <w:tab w:val="num" w:pos="15467"/>
        </w:tabs>
      </w:pPr>
      <w:rPr>
        <w:rFonts w:ascii="Verdana" w:eastAsia="Times New Roman" w:hAnsi="Verdana" w:cs="Times New Roman"/>
        <w:b w:val="0"/>
        <w:i w:val="0"/>
        <w:color w:val="auto"/>
        <w:sz w:val="20"/>
        <w:lang w:val="es-CR"/>
      </w:rPr>
    </w:lvl>
    <w:lvl w:ilvl="1" w:tplc="64E8B53A">
      <w:start w:val="1"/>
      <w:numFmt w:val="lowerLetter"/>
      <w:lvlText w:val="%2)"/>
      <w:lvlJc w:val="left"/>
      <w:pPr>
        <w:tabs>
          <w:tab w:val="num" w:pos="900"/>
        </w:tabs>
        <w:ind w:left="900" w:hanging="360"/>
      </w:pPr>
      <w:rPr>
        <w:rFonts w:cs="Times New Roman" w:hint="default"/>
        <w:b w:val="0"/>
        <w:i w:val="0"/>
        <w:sz w:val="16"/>
        <w:szCs w:val="16"/>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1">
    <w:nsid w:val="1B2B06BC"/>
    <w:multiLevelType w:val="hybridMultilevel"/>
    <w:tmpl w:val="2D1ACA9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nsid w:val="1F1C313B"/>
    <w:multiLevelType w:val="hybridMultilevel"/>
    <w:tmpl w:val="70E8FF8C"/>
    <w:lvl w:ilvl="0" w:tplc="1918FF42">
      <w:start w:val="1"/>
      <w:numFmt w:val="lowerRoman"/>
      <w:lvlText w:val="(%1)"/>
      <w:lvlJc w:val="left"/>
      <w:pPr>
        <w:ind w:left="2160" w:hanging="72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23">
    <w:nsid w:val="24D83B86"/>
    <w:multiLevelType w:val="hybridMultilevel"/>
    <w:tmpl w:val="74485A8E"/>
    <w:name w:val="WW8Num22"/>
    <w:lvl w:ilvl="0" w:tplc="5E2E613A">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27C5606E"/>
    <w:multiLevelType w:val="hybridMultilevel"/>
    <w:tmpl w:val="425AEBEC"/>
    <w:lvl w:ilvl="0" w:tplc="50EE482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nsid w:val="28BF5AE9"/>
    <w:multiLevelType w:val="hybridMultilevel"/>
    <w:tmpl w:val="271CBD34"/>
    <w:lvl w:ilvl="0" w:tplc="140A0015">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nsid w:val="29487256"/>
    <w:multiLevelType w:val="hybridMultilevel"/>
    <w:tmpl w:val="F0D6C1E2"/>
    <w:lvl w:ilvl="0" w:tplc="140A0015">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nsid w:val="2A890F2B"/>
    <w:multiLevelType w:val="hybridMultilevel"/>
    <w:tmpl w:val="418E32A2"/>
    <w:lvl w:ilvl="0" w:tplc="1918FF4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2D44326B"/>
    <w:multiLevelType w:val="hybridMultilevel"/>
    <w:tmpl w:val="6AFA63F6"/>
    <w:lvl w:ilvl="0" w:tplc="1918FF42">
      <w:start w:val="1"/>
      <w:numFmt w:val="lowerRoman"/>
      <w:lvlText w:val="(%1)"/>
      <w:lvlJc w:val="left"/>
      <w:pPr>
        <w:ind w:left="2160" w:hanging="72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29">
    <w:nsid w:val="348F7D8C"/>
    <w:multiLevelType w:val="hybridMultilevel"/>
    <w:tmpl w:val="83DAAAA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3EE47F8A"/>
    <w:multiLevelType w:val="hybridMultilevel"/>
    <w:tmpl w:val="70E8FF8C"/>
    <w:lvl w:ilvl="0" w:tplc="1918FF42">
      <w:start w:val="1"/>
      <w:numFmt w:val="lowerRoman"/>
      <w:lvlText w:val="(%1)"/>
      <w:lvlJc w:val="left"/>
      <w:pPr>
        <w:ind w:left="2160" w:hanging="72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31">
    <w:nsid w:val="46143B36"/>
    <w:multiLevelType w:val="hybridMultilevel"/>
    <w:tmpl w:val="8DE65BB6"/>
    <w:lvl w:ilvl="0" w:tplc="1918FF42">
      <w:start w:val="1"/>
      <w:numFmt w:val="lowerRoman"/>
      <w:lvlText w:val="(%1)"/>
      <w:lvlJc w:val="left"/>
      <w:pPr>
        <w:ind w:left="2160" w:hanging="72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32">
    <w:nsid w:val="461E2DBF"/>
    <w:multiLevelType w:val="hybridMultilevel"/>
    <w:tmpl w:val="0C7C3460"/>
    <w:lvl w:ilvl="0" w:tplc="1918FF4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nsid w:val="4B960AFF"/>
    <w:multiLevelType w:val="hybridMultilevel"/>
    <w:tmpl w:val="70E8FF8C"/>
    <w:lvl w:ilvl="0" w:tplc="1918FF42">
      <w:start w:val="1"/>
      <w:numFmt w:val="lowerRoman"/>
      <w:lvlText w:val="(%1)"/>
      <w:lvlJc w:val="left"/>
      <w:pPr>
        <w:ind w:left="2160" w:hanging="72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34">
    <w:nsid w:val="4DFB665D"/>
    <w:multiLevelType w:val="hybridMultilevel"/>
    <w:tmpl w:val="6AFA63F6"/>
    <w:lvl w:ilvl="0" w:tplc="1918FF42">
      <w:start w:val="1"/>
      <w:numFmt w:val="lowerRoman"/>
      <w:lvlText w:val="(%1)"/>
      <w:lvlJc w:val="left"/>
      <w:pPr>
        <w:ind w:left="2160" w:hanging="72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35">
    <w:nsid w:val="4F03689F"/>
    <w:multiLevelType w:val="hybridMultilevel"/>
    <w:tmpl w:val="57DE6932"/>
    <w:lvl w:ilvl="0" w:tplc="FA2AAAF2">
      <w:start w:val="1"/>
      <w:numFmt w:val="decimal"/>
      <w:lvlText w:val="%1."/>
      <w:lvlJc w:val="left"/>
      <w:pPr>
        <w:tabs>
          <w:tab w:val="num" w:pos="851"/>
        </w:tabs>
        <w:ind w:left="0" w:firstLine="0"/>
      </w:pPr>
      <w:rPr>
        <w:rFonts w:ascii="Verdana" w:hAnsi="Verdana" w:hint="default"/>
        <w:b w:val="0"/>
        <w:sz w:val="20"/>
      </w:rPr>
    </w:lvl>
    <w:lvl w:ilvl="1" w:tplc="75B8E952">
      <w:start w:val="1"/>
      <w:numFmt w:val="decimal"/>
      <w:lvlText w:val="%2."/>
      <w:lvlJc w:val="left"/>
      <w:pPr>
        <w:tabs>
          <w:tab w:val="num" w:pos="1418"/>
        </w:tabs>
        <w:ind w:left="0" w:firstLine="1080"/>
      </w:pPr>
      <w:rPr>
        <w:rFonts w:hint="default"/>
      </w:r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36">
    <w:nsid w:val="54D004B0"/>
    <w:multiLevelType w:val="hybridMultilevel"/>
    <w:tmpl w:val="425AEBEC"/>
    <w:lvl w:ilvl="0" w:tplc="50EE482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7">
    <w:nsid w:val="57C9712D"/>
    <w:multiLevelType w:val="hybridMultilevel"/>
    <w:tmpl w:val="E6B2D1E6"/>
    <w:lvl w:ilvl="0" w:tplc="E10AD118">
      <w:start w:val="1"/>
      <w:numFmt w:val="decimal"/>
      <w:lvlText w:val="%1."/>
      <w:lvlJc w:val="left"/>
      <w:pPr>
        <w:ind w:left="1065" w:hanging="705"/>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nsid w:val="5C003B39"/>
    <w:multiLevelType w:val="hybridMultilevel"/>
    <w:tmpl w:val="57A2419E"/>
    <w:lvl w:ilvl="0" w:tplc="AA0ABBB4">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39">
    <w:nsid w:val="5C0A4343"/>
    <w:multiLevelType w:val="hybridMultilevel"/>
    <w:tmpl w:val="70E8FF8C"/>
    <w:lvl w:ilvl="0" w:tplc="1918FF42">
      <w:start w:val="1"/>
      <w:numFmt w:val="lowerRoman"/>
      <w:lvlText w:val="(%1)"/>
      <w:lvlJc w:val="left"/>
      <w:pPr>
        <w:ind w:left="2160" w:hanging="72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40">
    <w:nsid w:val="62273751"/>
    <w:multiLevelType w:val="hybridMultilevel"/>
    <w:tmpl w:val="70E8FF8C"/>
    <w:lvl w:ilvl="0" w:tplc="1918FF42">
      <w:start w:val="1"/>
      <w:numFmt w:val="lowerRoman"/>
      <w:lvlText w:val="(%1)"/>
      <w:lvlJc w:val="left"/>
      <w:pPr>
        <w:ind w:left="2160" w:hanging="72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41">
    <w:nsid w:val="62C72F89"/>
    <w:multiLevelType w:val="hybridMultilevel"/>
    <w:tmpl w:val="425AEBEC"/>
    <w:lvl w:ilvl="0" w:tplc="50EE482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2">
    <w:nsid w:val="67527846"/>
    <w:multiLevelType w:val="hybridMultilevel"/>
    <w:tmpl w:val="D7101AEA"/>
    <w:lvl w:ilvl="0" w:tplc="64E8B53A">
      <w:start w:val="1"/>
      <w:numFmt w:val="lowerLetter"/>
      <w:lvlText w:val="%1)"/>
      <w:lvlJc w:val="left"/>
      <w:pPr>
        <w:tabs>
          <w:tab w:val="num" w:pos="900"/>
        </w:tabs>
        <w:ind w:left="900" w:hanging="360"/>
      </w:pPr>
      <w:rPr>
        <w:rFonts w:cs="Times New Roman" w:hint="default"/>
        <w:b w:val="0"/>
        <w:i w:val="0"/>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nsid w:val="6C3E4E21"/>
    <w:multiLevelType w:val="hybridMultilevel"/>
    <w:tmpl w:val="70E8FF8C"/>
    <w:lvl w:ilvl="0" w:tplc="1918FF42">
      <w:start w:val="1"/>
      <w:numFmt w:val="lowerRoman"/>
      <w:lvlText w:val="(%1)"/>
      <w:lvlJc w:val="left"/>
      <w:pPr>
        <w:ind w:left="2160" w:hanging="72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44">
    <w:nsid w:val="7983635B"/>
    <w:multiLevelType w:val="hybridMultilevel"/>
    <w:tmpl w:val="09D8E580"/>
    <w:lvl w:ilvl="0" w:tplc="1424091A">
      <w:start w:val="1"/>
      <w:numFmt w:val="decimal"/>
      <w:lvlText w:val="%1."/>
      <w:lvlJc w:val="left"/>
      <w:pPr>
        <w:ind w:left="72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nsid w:val="7CE52CAF"/>
    <w:multiLevelType w:val="hybridMultilevel"/>
    <w:tmpl w:val="70E8FF8C"/>
    <w:lvl w:ilvl="0" w:tplc="1918FF42">
      <w:start w:val="1"/>
      <w:numFmt w:val="lowerRoman"/>
      <w:lvlText w:val="(%1)"/>
      <w:lvlJc w:val="left"/>
      <w:pPr>
        <w:ind w:left="2160" w:hanging="72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46">
    <w:nsid w:val="7CE64D32"/>
    <w:multiLevelType w:val="hybridMultilevel"/>
    <w:tmpl w:val="49EA1064"/>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7">
    <w:nsid w:val="7DA45253"/>
    <w:multiLevelType w:val="hybridMultilevel"/>
    <w:tmpl w:val="706A1598"/>
    <w:lvl w:ilvl="0" w:tplc="45846E8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6"/>
  </w:num>
  <w:num w:numId="2">
    <w:abstractNumId w:val="47"/>
  </w:num>
  <w:num w:numId="3">
    <w:abstractNumId w:val="26"/>
  </w:num>
  <w:num w:numId="4">
    <w:abstractNumId w:val="35"/>
  </w:num>
  <w:num w:numId="5">
    <w:abstractNumId w:val="29"/>
  </w:num>
  <w:num w:numId="6">
    <w:abstractNumId w:val="37"/>
  </w:num>
  <w:num w:numId="7">
    <w:abstractNumId w:val="38"/>
  </w:num>
  <w:num w:numId="8">
    <w:abstractNumId w:val="13"/>
  </w:num>
  <w:num w:numId="9">
    <w:abstractNumId w:val="16"/>
  </w:num>
  <w:num w:numId="10">
    <w:abstractNumId w:val="36"/>
  </w:num>
  <w:num w:numId="11">
    <w:abstractNumId w:val="41"/>
  </w:num>
  <w:num w:numId="12">
    <w:abstractNumId w:val="24"/>
  </w:num>
  <w:num w:numId="13">
    <w:abstractNumId w:val="46"/>
  </w:num>
  <w:num w:numId="14">
    <w:abstractNumId w:val="20"/>
  </w:num>
  <w:num w:numId="15">
    <w:abstractNumId w:val="25"/>
  </w:num>
  <w:num w:numId="16">
    <w:abstractNumId w:val="32"/>
  </w:num>
  <w:num w:numId="17">
    <w:abstractNumId w:val="27"/>
  </w:num>
  <w:num w:numId="18">
    <w:abstractNumId w:val="14"/>
  </w:num>
  <w:num w:numId="19">
    <w:abstractNumId w:val="42"/>
  </w:num>
  <w:num w:numId="20">
    <w:abstractNumId w:val="18"/>
  </w:num>
  <w:num w:numId="21">
    <w:abstractNumId w:val="17"/>
  </w:num>
  <w:num w:numId="22">
    <w:abstractNumId w:val="15"/>
  </w:num>
  <w:num w:numId="23">
    <w:abstractNumId w:val="34"/>
  </w:num>
  <w:num w:numId="24">
    <w:abstractNumId w:val="31"/>
  </w:num>
  <w:num w:numId="25">
    <w:abstractNumId w:val="33"/>
  </w:num>
  <w:num w:numId="26">
    <w:abstractNumId w:val="22"/>
  </w:num>
  <w:num w:numId="27">
    <w:abstractNumId w:val="45"/>
  </w:num>
  <w:num w:numId="28">
    <w:abstractNumId w:val="43"/>
  </w:num>
  <w:num w:numId="29">
    <w:abstractNumId w:val="39"/>
  </w:num>
  <w:num w:numId="30">
    <w:abstractNumId w:val="11"/>
  </w:num>
  <w:num w:numId="31">
    <w:abstractNumId w:val="19"/>
  </w:num>
  <w:num w:numId="32">
    <w:abstractNumId w:val="40"/>
  </w:num>
  <w:num w:numId="33">
    <w:abstractNumId w:val="30"/>
  </w:num>
  <w:num w:numId="34">
    <w:abstractNumId w:val="10"/>
  </w:num>
  <w:num w:numId="35">
    <w:abstractNumId w:val="28"/>
  </w:num>
  <w:num w:numId="36">
    <w:abstractNumId w:val="23"/>
  </w:num>
  <w:num w:numId="37">
    <w:abstractNumId w:val="21"/>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 w:numId="48">
    <w:abstractNumId w:val="44"/>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315F"/>
    <w:rsid w:val="000024D8"/>
    <w:rsid w:val="0000282C"/>
    <w:rsid w:val="00003AD9"/>
    <w:rsid w:val="00006243"/>
    <w:rsid w:val="000069AD"/>
    <w:rsid w:val="000135CC"/>
    <w:rsid w:val="000138F1"/>
    <w:rsid w:val="0001764C"/>
    <w:rsid w:val="00017A09"/>
    <w:rsid w:val="00017DEC"/>
    <w:rsid w:val="00017EAD"/>
    <w:rsid w:val="0002248B"/>
    <w:rsid w:val="00025B06"/>
    <w:rsid w:val="00026991"/>
    <w:rsid w:val="0003254A"/>
    <w:rsid w:val="00033A42"/>
    <w:rsid w:val="00043A38"/>
    <w:rsid w:val="0004424B"/>
    <w:rsid w:val="00044E18"/>
    <w:rsid w:val="000453AB"/>
    <w:rsid w:val="000453AC"/>
    <w:rsid w:val="00047EE1"/>
    <w:rsid w:val="00047F9E"/>
    <w:rsid w:val="000551BE"/>
    <w:rsid w:val="00055746"/>
    <w:rsid w:val="00055A86"/>
    <w:rsid w:val="00060CE2"/>
    <w:rsid w:val="000616D5"/>
    <w:rsid w:val="00062C62"/>
    <w:rsid w:val="0006650A"/>
    <w:rsid w:val="000701B2"/>
    <w:rsid w:val="000835DD"/>
    <w:rsid w:val="00091D4D"/>
    <w:rsid w:val="00092E74"/>
    <w:rsid w:val="000A30F9"/>
    <w:rsid w:val="000B4830"/>
    <w:rsid w:val="000B4E1A"/>
    <w:rsid w:val="000B511A"/>
    <w:rsid w:val="000C4963"/>
    <w:rsid w:val="000C6BF4"/>
    <w:rsid w:val="000C7D84"/>
    <w:rsid w:val="000D067D"/>
    <w:rsid w:val="000D15DD"/>
    <w:rsid w:val="000D242E"/>
    <w:rsid w:val="000E0B5B"/>
    <w:rsid w:val="000E3982"/>
    <w:rsid w:val="000E43BB"/>
    <w:rsid w:val="000E681C"/>
    <w:rsid w:val="000F03B0"/>
    <w:rsid w:val="000F239F"/>
    <w:rsid w:val="000F6405"/>
    <w:rsid w:val="001043AC"/>
    <w:rsid w:val="00104C01"/>
    <w:rsid w:val="00105607"/>
    <w:rsid w:val="00105B39"/>
    <w:rsid w:val="00107A51"/>
    <w:rsid w:val="001101D4"/>
    <w:rsid w:val="00113582"/>
    <w:rsid w:val="001136B2"/>
    <w:rsid w:val="001151EC"/>
    <w:rsid w:val="001236BF"/>
    <w:rsid w:val="00132361"/>
    <w:rsid w:val="00133D83"/>
    <w:rsid w:val="001363B5"/>
    <w:rsid w:val="001364F3"/>
    <w:rsid w:val="001527AE"/>
    <w:rsid w:val="00153F10"/>
    <w:rsid w:val="00154A3F"/>
    <w:rsid w:val="00162308"/>
    <w:rsid w:val="0016592C"/>
    <w:rsid w:val="001668C4"/>
    <w:rsid w:val="001708DE"/>
    <w:rsid w:val="00172A95"/>
    <w:rsid w:val="001767B2"/>
    <w:rsid w:val="00180C31"/>
    <w:rsid w:val="00195BE2"/>
    <w:rsid w:val="00197912"/>
    <w:rsid w:val="001A074F"/>
    <w:rsid w:val="001A269F"/>
    <w:rsid w:val="001A340E"/>
    <w:rsid w:val="001A600D"/>
    <w:rsid w:val="001A6A63"/>
    <w:rsid w:val="001A72ED"/>
    <w:rsid w:val="001B3092"/>
    <w:rsid w:val="001B4BA4"/>
    <w:rsid w:val="001C0662"/>
    <w:rsid w:val="001C1DAF"/>
    <w:rsid w:val="001C2F47"/>
    <w:rsid w:val="001C4A00"/>
    <w:rsid w:val="001C5F5A"/>
    <w:rsid w:val="001C732D"/>
    <w:rsid w:val="001C7548"/>
    <w:rsid w:val="001D3029"/>
    <w:rsid w:val="001D4426"/>
    <w:rsid w:val="001D6BC3"/>
    <w:rsid w:val="001D7FF3"/>
    <w:rsid w:val="001E0684"/>
    <w:rsid w:val="001E069B"/>
    <w:rsid w:val="001E3945"/>
    <w:rsid w:val="001E3EE7"/>
    <w:rsid w:val="001E595D"/>
    <w:rsid w:val="001E5E9D"/>
    <w:rsid w:val="001F0497"/>
    <w:rsid w:val="001F0C37"/>
    <w:rsid w:val="001F5639"/>
    <w:rsid w:val="001F5E8C"/>
    <w:rsid w:val="00200CC6"/>
    <w:rsid w:val="002022BE"/>
    <w:rsid w:val="00202504"/>
    <w:rsid w:val="00202C48"/>
    <w:rsid w:val="00202DEC"/>
    <w:rsid w:val="002052CB"/>
    <w:rsid w:val="002105E5"/>
    <w:rsid w:val="002140D0"/>
    <w:rsid w:val="0021620C"/>
    <w:rsid w:val="002312DF"/>
    <w:rsid w:val="00233BFB"/>
    <w:rsid w:val="002348C2"/>
    <w:rsid w:val="0024039A"/>
    <w:rsid w:val="00242D36"/>
    <w:rsid w:val="00247E4E"/>
    <w:rsid w:val="00250BE1"/>
    <w:rsid w:val="00251BDD"/>
    <w:rsid w:val="00253850"/>
    <w:rsid w:val="00261810"/>
    <w:rsid w:val="00262725"/>
    <w:rsid w:val="002654BD"/>
    <w:rsid w:val="00265949"/>
    <w:rsid w:val="002712AC"/>
    <w:rsid w:val="002736F6"/>
    <w:rsid w:val="002806E8"/>
    <w:rsid w:val="002811ED"/>
    <w:rsid w:val="00282C3F"/>
    <w:rsid w:val="00285FF0"/>
    <w:rsid w:val="00286AE3"/>
    <w:rsid w:val="002A15BE"/>
    <w:rsid w:val="002A2079"/>
    <w:rsid w:val="002B2280"/>
    <w:rsid w:val="002B3B91"/>
    <w:rsid w:val="002B4CFF"/>
    <w:rsid w:val="002B54DE"/>
    <w:rsid w:val="002B7934"/>
    <w:rsid w:val="002C0926"/>
    <w:rsid w:val="002C1078"/>
    <w:rsid w:val="002D0E10"/>
    <w:rsid w:val="002D47DB"/>
    <w:rsid w:val="002D5690"/>
    <w:rsid w:val="002D5FD0"/>
    <w:rsid w:val="002D6E5F"/>
    <w:rsid w:val="002D6F0C"/>
    <w:rsid w:val="002E0E4F"/>
    <w:rsid w:val="002E1E67"/>
    <w:rsid w:val="002E43BB"/>
    <w:rsid w:val="002E6C29"/>
    <w:rsid w:val="002E764B"/>
    <w:rsid w:val="002F09CA"/>
    <w:rsid w:val="002F0F7B"/>
    <w:rsid w:val="002F12E1"/>
    <w:rsid w:val="002F1590"/>
    <w:rsid w:val="002F5F91"/>
    <w:rsid w:val="00301E46"/>
    <w:rsid w:val="003050EF"/>
    <w:rsid w:val="003061A9"/>
    <w:rsid w:val="00307ECA"/>
    <w:rsid w:val="003145C5"/>
    <w:rsid w:val="0031499F"/>
    <w:rsid w:val="0032654F"/>
    <w:rsid w:val="00332AAB"/>
    <w:rsid w:val="00336F2D"/>
    <w:rsid w:val="00337312"/>
    <w:rsid w:val="0034373B"/>
    <w:rsid w:val="00343933"/>
    <w:rsid w:val="00347E27"/>
    <w:rsid w:val="00351199"/>
    <w:rsid w:val="00351976"/>
    <w:rsid w:val="003534CF"/>
    <w:rsid w:val="00354E10"/>
    <w:rsid w:val="00362201"/>
    <w:rsid w:val="0036293B"/>
    <w:rsid w:val="0036778B"/>
    <w:rsid w:val="003743ED"/>
    <w:rsid w:val="003759D5"/>
    <w:rsid w:val="00376766"/>
    <w:rsid w:val="003858FD"/>
    <w:rsid w:val="003860F7"/>
    <w:rsid w:val="00390907"/>
    <w:rsid w:val="00391556"/>
    <w:rsid w:val="00391AEE"/>
    <w:rsid w:val="003A049E"/>
    <w:rsid w:val="003A18B2"/>
    <w:rsid w:val="003A2AEC"/>
    <w:rsid w:val="003A4428"/>
    <w:rsid w:val="003A6E78"/>
    <w:rsid w:val="003B09CF"/>
    <w:rsid w:val="003B2064"/>
    <w:rsid w:val="003B4B3E"/>
    <w:rsid w:val="003B4B99"/>
    <w:rsid w:val="003C0009"/>
    <w:rsid w:val="003C10E4"/>
    <w:rsid w:val="003C35A2"/>
    <w:rsid w:val="003C3952"/>
    <w:rsid w:val="003C404B"/>
    <w:rsid w:val="003C43FA"/>
    <w:rsid w:val="003C5B66"/>
    <w:rsid w:val="003C5DA2"/>
    <w:rsid w:val="003C67B7"/>
    <w:rsid w:val="003D54F6"/>
    <w:rsid w:val="003D5DD8"/>
    <w:rsid w:val="003D716C"/>
    <w:rsid w:val="003E1F69"/>
    <w:rsid w:val="003E3090"/>
    <w:rsid w:val="003F2C8F"/>
    <w:rsid w:val="003F3FB1"/>
    <w:rsid w:val="00400C60"/>
    <w:rsid w:val="004051B7"/>
    <w:rsid w:val="004175E7"/>
    <w:rsid w:val="004252DE"/>
    <w:rsid w:val="00426D2D"/>
    <w:rsid w:val="00432837"/>
    <w:rsid w:val="00432B37"/>
    <w:rsid w:val="004362DF"/>
    <w:rsid w:val="00440309"/>
    <w:rsid w:val="00440C4A"/>
    <w:rsid w:val="00441A19"/>
    <w:rsid w:val="00443960"/>
    <w:rsid w:val="00445CBF"/>
    <w:rsid w:val="00446E48"/>
    <w:rsid w:val="00447379"/>
    <w:rsid w:val="00450BD6"/>
    <w:rsid w:val="004649C1"/>
    <w:rsid w:val="00467341"/>
    <w:rsid w:val="004730D6"/>
    <w:rsid w:val="0048360F"/>
    <w:rsid w:val="00485AF8"/>
    <w:rsid w:val="00486983"/>
    <w:rsid w:val="00487041"/>
    <w:rsid w:val="0048771F"/>
    <w:rsid w:val="00490B5A"/>
    <w:rsid w:val="00492AB5"/>
    <w:rsid w:val="00495B5C"/>
    <w:rsid w:val="004A31DE"/>
    <w:rsid w:val="004A3D98"/>
    <w:rsid w:val="004A626F"/>
    <w:rsid w:val="004A71F4"/>
    <w:rsid w:val="004B3B4B"/>
    <w:rsid w:val="004B3BEC"/>
    <w:rsid w:val="004C2EAA"/>
    <w:rsid w:val="004C34E2"/>
    <w:rsid w:val="004C755D"/>
    <w:rsid w:val="004D1F79"/>
    <w:rsid w:val="004D3F7C"/>
    <w:rsid w:val="004D4D6F"/>
    <w:rsid w:val="004D7AC9"/>
    <w:rsid w:val="004E0E16"/>
    <w:rsid w:val="004E131A"/>
    <w:rsid w:val="004F29C3"/>
    <w:rsid w:val="004F3008"/>
    <w:rsid w:val="004F716F"/>
    <w:rsid w:val="004F75E6"/>
    <w:rsid w:val="00501A21"/>
    <w:rsid w:val="0050486F"/>
    <w:rsid w:val="00506629"/>
    <w:rsid w:val="00506FB6"/>
    <w:rsid w:val="00511DEE"/>
    <w:rsid w:val="00512709"/>
    <w:rsid w:val="0051665B"/>
    <w:rsid w:val="005229FC"/>
    <w:rsid w:val="00525FA6"/>
    <w:rsid w:val="00527C76"/>
    <w:rsid w:val="00540B53"/>
    <w:rsid w:val="00542F49"/>
    <w:rsid w:val="005440B7"/>
    <w:rsid w:val="00545258"/>
    <w:rsid w:val="00546B8C"/>
    <w:rsid w:val="005534B1"/>
    <w:rsid w:val="0055376B"/>
    <w:rsid w:val="00553ED4"/>
    <w:rsid w:val="00554C10"/>
    <w:rsid w:val="00555AB1"/>
    <w:rsid w:val="00561DD5"/>
    <w:rsid w:val="0056208C"/>
    <w:rsid w:val="005620AD"/>
    <w:rsid w:val="0056470F"/>
    <w:rsid w:val="00567667"/>
    <w:rsid w:val="005715F0"/>
    <w:rsid w:val="005716F7"/>
    <w:rsid w:val="005746F9"/>
    <w:rsid w:val="00580176"/>
    <w:rsid w:val="0058128C"/>
    <w:rsid w:val="005821C8"/>
    <w:rsid w:val="00582807"/>
    <w:rsid w:val="0058393F"/>
    <w:rsid w:val="00584D51"/>
    <w:rsid w:val="005854F2"/>
    <w:rsid w:val="00595409"/>
    <w:rsid w:val="005A0263"/>
    <w:rsid w:val="005A06AE"/>
    <w:rsid w:val="005A3288"/>
    <w:rsid w:val="005A6E71"/>
    <w:rsid w:val="005B26FE"/>
    <w:rsid w:val="005C1D6C"/>
    <w:rsid w:val="005C1E0D"/>
    <w:rsid w:val="005C7564"/>
    <w:rsid w:val="005D0515"/>
    <w:rsid w:val="005D2734"/>
    <w:rsid w:val="005D6A2B"/>
    <w:rsid w:val="005D6C0A"/>
    <w:rsid w:val="005E2AB9"/>
    <w:rsid w:val="005E689B"/>
    <w:rsid w:val="005F1A9C"/>
    <w:rsid w:val="0060192B"/>
    <w:rsid w:val="0060206F"/>
    <w:rsid w:val="00603017"/>
    <w:rsid w:val="00604CAA"/>
    <w:rsid w:val="0060735C"/>
    <w:rsid w:val="006101F1"/>
    <w:rsid w:val="00612547"/>
    <w:rsid w:val="0062066A"/>
    <w:rsid w:val="00621913"/>
    <w:rsid w:val="006234A3"/>
    <w:rsid w:val="006236A8"/>
    <w:rsid w:val="00630A2B"/>
    <w:rsid w:val="00630E83"/>
    <w:rsid w:val="0063654F"/>
    <w:rsid w:val="00640B4D"/>
    <w:rsid w:val="00641A70"/>
    <w:rsid w:val="00641CA1"/>
    <w:rsid w:val="00642DCE"/>
    <w:rsid w:val="00642E0C"/>
    <w:rsid w:val="00645A81"/>
    <w:rsid w:val="00647BFD"/>
    <w:rsid w:val="00653EC2"/>
    <w:rsid w:val="006574D5"/>
    <w:rsid w:val="00670CE3"/>
    <w:rsid w:val="00671CA1"/>
    <w:rsid w:val="006752F3"/>
    <w:rsid w:val="0067647C"/>
    <w:rsid w:val="00682756"/>
    <w:rsid w:val="00685924"/>
    <w:rsid w:val="00685CC9"/>
    <w:rsid w:val="0068604B"/>
    <w:rsid w:val="0068734F"/>
    <w:rsid w:val="006874B3"/>
    <w:rsid w:val="0068789A"/>
    <w:rsid w:val="00694462"/>
    <w:rsid w:val="00694A7D"/>
    <w:rsid w:val="00696546"/>
    <w:rsid w:val="00696C1F"/>
    <w:rsid w:val="006974EA"/>
    <w:rsid w:val="006A22BE"/>
    <w:rsid w:val="006A44B3"/>
    <w:rsid w:val="006A53DD"/>
    <w:rsid w:val="006A6749"/>
    <w:rsid w:val="006A6BD0"/>
    <w:rsid w:val="006A76E9"/>
    <w:rsid w:val="006B0068"/>
    <w:rsid w:val="006B0396"/>
    <w:rsid w:val="006B734A"/>
    <w:rsid w:val="006C0A09"/>
    <w:rsid w:val="006C20A5"/>
    <w:rsid w:val="006C57C8"/>
    <w:rsid w:val="006C5D05"/>
    <w:rsid w:val="006C694D"/>
    <w:rsid w:val="006C7847"/>
    <w:rsid w:val="006C7BEA"/>
    <w:rsid w:val="006D2B6E"/>
    <w:rsid w:val="006D32E8"/>
    <w:rsid w:val="006D77F1"/>
    <w:rsid w:val="006E17CF"/>
    <w:rsid w:val="006E3AE7"/>
    <w:rsid w:val="006E4098"/>
    <w:rsid w:val="006E4B3B"/>
    <w:rsid w:val="006E52FA"/>
    <w:rsid w:val="006E537F"/>
    <w:rsid w:val="006E5A1B"/>
    <w:rsid w:val="006F19C9"/>
    <w:rsid w:val="006F5584"/>
    <w:rsid w:val="006F5C61"/>
    <w:rsid w:val="006F63CA"/>
    <w:rsid w:val="006F6A72"/>
    <w:rsid w:val="00701D66"/>
    <w:rsid w:val="00704A36"/>
    <w:rsid w:val="00705C2B"/>
    <w:rsid w:val="00706CBB"/>
    <w:rsid w:val="007103DF"/>
    <w:rsid w:val="007164F2"/>
    <w:rsid w:val="0072287F"/>
    <w:rsid w:val="00723AA8"/>
    <w:rsid w:val="00726022"/>
    <w:rsid w:val="00733394"/>
    <w:rsid w:val="00733B07"/>
    <w:rsid w:val="007405B4"/>
    <w:rsid w:val="00740CFA"/>
    <w:rsid w:val="007452B3"/>
    <w:rsid w:val="00751D78"/>
    <w:rsid w:val="00751DEA"/>
    <w:rsid w:val="00751EE7"/>
    <w:rsid w:val="00752C8E"/>
    <w:rsid w:val="00752F41"/>
    <w:rsid w:val="0075315F"/>
    <w:rsid w:val="00760D7B"/>
    <w:rsid w:val="00761120"/>
    <w:rsid w:val="00761145"/>
    <w:rsid w:val="007654ED"/>
    <w:rsid w:val="00765ABE"/>
    <w:rsid w:val="007707DB"/>
    <w:rsid w:val="00771049"/>
    <w:rsid w:val="00774F3C"/>
    <w:rsid w:val="0079112A"/>
    <w:rsid w:val="00792783"/>
    <w:rsid w:val="00793470"/>
    <w:rsid w:val="00793DB3"/>
    <w:rsid w:val="0079515E"/>
    <w:rsid w:val="00795703"/>
    <w:rsid w:val="00797CB1"/>
    <w:rsid w:val="007A3247"/>
    <w:rsid w:val="007A4199"/>
    <w:rsid w:val="007A5C46"/>
    <w:rsid w:val="007A6748"/>
    <w:rsid w:val="007A7263"/>
    <w:rsid w:val="007B38D9"/>
    <w:rsid w:val="007B3FD0"/>
    <w:rsid w:val="007B4FB2"/>
    <w:rsid w:val="007B6092"/>
    <w:rsid w:val="007C25EA"/>
    <w:rsid w:val="007C293F"/>
    <w:rsid w:val="007C3839"/>
    <w:rsid w:val="007C604A"/>
    <w:rsid w:val="007C7042"/>
    <w:rsid w:val="007C7EB7"/>
    <w:rsid w:val="007D537F"/>
    <w:rsid w:val="007E5183"/>
    <w:rsid w:val="007E5958"/>
    <w:rsid w:val="007F237D"/>
    <w:rsid w:val="007F2553"/>
    <w:rsid w:val="007F47F3"/>
    <w:rsid w:val="00801B57"/>
    <w:rsid w:val="00805633"/>
    <w:rsid w:val="00810817"/>
    <w:rsid w:val="0081130D"/>
    <w:rsid w:val="008121A2"/>
    <w:rsid w:val="008141FE"/>
    <w:rsid w:val="00821DA5"/>
    <w:rsid w:val="00822295"/>
    <w:rsid w:val="0082551A"/>
    <w:rsid w:val="0083543F"/>
    <w:rsid w:val="00841ADA"/>
    <w:rsid w:val="008473CE"/>
    <w:rsid w:val="00855A3F"/>
    <w:rsid w:val="00861B83"/>
    <w:rsid w:val="00862EA5"/>
    <w:rsid w:val="00864CDA"/>
    <w:rsid w:val="00864E54"/>
    <w:rsid w:val="00873267"/>
    <w:rsid w:val="00883F9B"/>
    <w:rsid w:val="00885E51"/>
    <w:rsid w:val="008879AA"/>
    <w:rsid w:val="00887D26"/>
    <w:rsid w:val="0089230F"/>
    <w:rsid w:val="00893593"/>
    <w:rsid w:val="008A7C31"/>
    <w:rsid w:val="008B55BB"/>
    <w:rsid w:val="008B744B"/>
    <w:rsid w:val="008C1169"/>
    <w:rsid w:val="008C18B5"/>
    <w:rsid w:val="008C2117"/>
    <w:rsid w:val="008C29BB"/>
    <w:rsid w:val="008C58CE"/>
    <w:rsid w:val="008D15E8"/>
    <w:rsid w:val="008D69A4"/>
    <w:rsid w:val="008D720E"/>
    <w:rsid w:val="008E1A03"/>
    <w:rsid w:val="008E7949"/>
    <w:rsid w:val="008F46A0"/>
    <w:rsid w:val="008F46AD"/>
    <w:rsid w:val="00902739"/>
    <w:rsid w:val="009051E3"/>
    <w:rsid w:val="00905694"/>
    <w:rsid w:val="00907BB2"/>
    <w:rsid w:val="009102BC"/>
    <w:rsid w:val="009158F0"/>
    <w:rsid w:val="00921D28"/>
    <w:rsid w:val="009250A9"/>
    <w:rsid w:val="00934017"/>
    <w:rsid w:val="00934D8D"/>
    <w:rsid w:val="00935358"/>
    <w:rsid w:val="00935CFA"/>
    <w:rsid w:val="00941AAE"/>
    <w:rsid w:val="00947541"/>
    <w:rsid w:val="00961718"/>
    <w:rsid w:val="009617C9"/>
    <w:rsid w:val="00963CA8"/>
    <w:rsid w:val="009650FF"/>
    <w:rsid w:val="009659A9"/>
    <w:rsid w:val="00976096"/>
    <w:rsid w:val="00982232"/>
    <w:rsid w:val="00995698"/>
    <w:rsid w:val="0099784C"/>
    <w:rsid w:val="009A20A4"/>
    <w:rsid w:val="009A361E"/>
    <w:rsid w:val="009A3C81"/>
    <w:rsid w:val="009A708B"/>
    <w:rsid w:val="009B6267"/>
    <w:rsid w:val="009B657D"/>
    <w:rsid w:val="009B6F69"/>
    <w:rsid w:val="009C020A"/>
    <w:rsid w:val="009C5866"/>
    <w:rsid w:val="009C6613"/>
    <w:rsid w:val="009D5B62"/>
    <w:rsid w:val="009D6A08"/>
    <w:rsid w:val="009D6E05"/>
    <w:rsid w:val="009D73A1"/>
    <w:rsid w:val="009E08CC"/>
    <w:rsid w:val="009E2590"/>
    <w:rsid w:val="009E4660"/>
    <w:rsid w:val="009E62D1"/>
    <w:rsid w:val="009E7016"/>
    <w:rsid w:val="009F0D80"/>
    <w:rsid w:val="009F5F3D"/>
    <w:rsid w:val="00A0020C"/>
    <w:rsid w:val="00A02E20"/>
    <w:rsid w:val="00A05A9E"/>
    <w:rsid w:val="00A11A7F"/>
    <w:rsid w:val="00A131B3"/>
    <w:rsid w:val="00A14029"/>
    <w:rsid w:val="00A213B3"/>
    <w:rsid w:val="00A23504"/>
    <w:rsid w:val="00A24760"/>
    <w:rsid w:val="00A27BCF"/>
    <w:rsid w:val="00A362C4"/>
    <w:rsid w:val="00A4171B"/>
    <w:rsid w:val="00A42001"/>
    <w:rsid w:val="00A43283"/>
    <w:rsid w:val="00A4478C"/>
    <w:rsid w:val="00A45141"/>
    <w:rsid w:val="00A62441"/>
    <w:rsid w:val="00A62F7D"/>
    <w:rsid w:val="00A710CB"/>
    <w:rsid w:val="00A72B52"/>
    <w:rsid w:val="00A74149"/>
    <w:rsid w:val="00A76684"/>
    <w:rsid w:val="00A86F8B"/>
    <w:rsid w:val="00A8783F"/>
    <w:rsid w:val="00A87EC9"/>
    <w:rsid w:val="00A90226"/>
    <w:rsid w:val="00A90F38"/>
    <w:rsid w:val="00A91199"/>
    <w:rsid w:val="00A95AB9"/>
    <w:rsid w:val="00AA07AA"/>
    <w:rsid w:val="00AA1593"/>
    <w:rsid w:val="00AA19A5"/>
    <w:rsid w:val="00AA49AA"/>
    <w:rsid w:val="00AA4D78"/>
    <w:rsid w:val="00AA7D7B"/>
    <w:rsid w:val="00AB0D97"/>
    <w:rsid w:val="00AB2975"/>
    <w:rsid w:val="00AB312B"/>
    <w:rsid w:val="00AB4A2C"/>
    <w:rsid w:val="00AB6091"/>
    <w:rsid w:val="00AC19D6"/>
    <w:rsid w:val="00AC1B09"/>
    <w:rsid w:val="00AC2E96"/>
    <w:rsid w:val="00AC77B8"/>
    <w:rsid w:val="00AD1778"/>
    <w:rsid w:val="00AD1DC0"/>
    <w:rsid w:val="00AD2088"/>
    <w:rsid w:val="00AD42E9"/>
    <w:rsid w:val="00AD477A"/>
    <w:rsid w:val="00AD659F"/>
    <w:rsid w:val="00AE0881"/>
    <w:rsid w:val="00AE1F2B"/>
    <w:rsid w:val="00AF40A8"/>
    <w:rsid w:val="00AF5A4B"/>
    <w:rsid w:val="00B0443A"/>
    <w:rsid w:val="00B1043F"/>
    <w:rsid w:val="00B142B4"/>
    <w:rsid w:val="00B157A2"/>
    <w:rsid w:val="00B20035"/>
    <w:rsid w:val="00B20D12"/>
    <w:rsid w:val="00B20F52"/>
    <w:rsid w:val="00B21EB8"/>
    <w:rsid w:val="00B227C1"/>
    <w:rsid w:val="00B2676A"/>
    <w:rsid w:val="00B306D9"/>
    <w:rsid w:val="00B30E88"/>
    <w:rsid w:val="00B323FA"/>
    <w:rsid w:val="00B40D4C"/>
    <w:rsid w:val="00B42CAE"/>
    <w:rsid w:val="00B42E9F"/>
    <w:rsid w:val="00B436A2"/>
    <w:rsid w:val="00B4401D"/>
    <w:rsid w:val="00B476F9"/>
    <w:rsid w:val="00B54AB5"/>
    <w:rsid w:val="00B55C19"/>
    <w:rsid w:val="00B569B5"/>
    <w:rsid w:val="00B63468"/>
    <w:rsid w:val="00B75A41"/>
    <w:rsid w:val="00B80FD2"/>
    <w:rsid w:val="00B90AE7"/>
    <w:rsid w:val="00BA29B2"/>
    <w:rsid w:val="00BA3178"/>
    <w:rsid w:val="00BA4C82"/>
    <w:rsid w:val="00BB2AB3"/>
    <w:rsid w:val="00BB5689"/>
    <w:rsid w:val="00BB5B5A"/>
    <w:rsid w:val="00BB6E8D"/>
    <w:rsid w:val="00BC039B"/>
    <w:rsid w:val="00BC09CE"/>
    <w:rsid w:val="00BC6F88"/>
    <w:rsid w:val="00BD18B8"/>
    <w:rsid w:val="00BD42E8"/>
    <w:rsid w:val="00BD65FA"/>
    <w:rsid w:val="00BD6E33"/>
    <w:rsid w:val="00BD70E2"/>
    <w:rsid w:val="00BE3791"/>
    <w:rsid w:val="00BE4249"/>
    <w:rsid w:val="00BE73E0"/>
    <w:rsid w:val="00BE7C92"/>
    <w:rsid w:val="00BF1448"/>
    <w:rsid w:val="00BF27AC"/>
    <w:rsid w:val="00BF6A20"/>
    <w:rsid w:val="00BF7963"/>
    <w:rsid w:val="00C009B4"/>
    <w:rsid w:val="00C02A2D"/>
    <w:rsid w:val="00C02E7F"/>
    <w:rsid w:val="00C06F52"/>
    <w:rsid w:val="00C11B6E"/>
    <w:rsid w:val="00C159D7"/>
    <w:rsid w:val="00C321A0"/>
    <w:rsid w:val="00C34619"/>
    <w:rsid w:val="00C51581"/>
    <w:rsid w:val="00C52B38"/>
    <w:rsid w:val="00C565B5"/>
    <w:rsid w:val="00C57A6C"/>
    <w:rsid w:val="00C61A54"/>
    <w:rsid w:val="00C62DEB"/>
    <w:rsid w:val="00C632C8"/>
    <w:rsid w:val="00C70C68"/>
    <w:rsid w:val="00C76A28"/>
    <w:rsid w:val="00C777B8"/>
    <w:rsid w:val="00C82C23"/>
    <w:rsid w:val="00C8516A"/>
    <w:rsid w:val="00C86FD8"/>
    <w:rsid w:val="00C97C53"/>
    <w:rsid w:val="00CA59F4"/>
    <w:rsid w:val="00CA655C"/>
    <w:rsid w:val="00CB19A8"/>
    <w:rsid w:val="00CB3278"/>
    <w:rsid w:val="00CB37B6"/>
    <w:rsid w:val="00CB3B15"/>
    <w:rsid w:val="00CB4A21"/>
    <w:rsid w:val="00CB566C"/>
    <w:rsid w:val="00CB66DD"/>
    <w:rsid w:val="00CC1F23"/>
    <w:rsid w:val="00CC45F3"/>
    <w:rsid w:val="00CC72D9"/>
    <w:rsid w:val="00CC787D"/>
    <w:rsid w:val="00CD7218"/>
    <w:rsid w:val="00CE00F5"/>
    <w:rsid w:val="00CE06CA"/>
    <w:rsid w:val="00CE381D"/>
    <w:rsid w:val="00CE583B"/>
    <w:rsid w:val="00CF1521"/>
    <w:rsid w:val="00CF2D19"/>
    <w:rsid w:val="00D00A5D"/>
    <w:rsid w:val="00D00E0D"/>
    <w:rsid w:val="00D0337C"/>
    <w:rsid w:val="00D03ED8"/>
    <w:rsid w:val="00D06E9B"/>
    <w:rsid w:val="00D11704"/>
    <w:rsid w:val="00D13823"/>
    <w:rsid w:val="00D14459"/>
    <w:rsid w:val="00D14CF9"/>
    <w:rsid w:val="00D22486"/>
    <w:rsid w:val="00D253AC"/>
    <w:rsid w:val="00D26965"/>
    <w:rsid w:val="00D26C30"/>
    <w:rsid w:val="00D32198"/>
    <w:rsid w:val="00D33A1A"/>
    <w:rsid w:val="00D34ACC"/>
    <w:rsid w:val="00D365B1"/>
    <w:rsid w:val="00D45D0E"/>
    <w:rsid w:val="00D47D4A"/>
    <w:rsid w:val="00D521F6"/>
    <w:rsid w:val="00D53ACA"/>
    <w:rsid w:val="00D623CD"/>
    <w:rsid w:val="00D62553"/>
    <w:rsid w:val="00D62625"/>
    <w:rsid w:val="00D6353A"/>
    <w:rsid w:val="00D6460C"/>
    <w:rsid w:val="00D648C4"/>
    <w:rsid w:val="00D650EC"/>
    <w:rsid w:val="00D70268"/>
    <w:rsid w:val="00D7260A"/>
    <w:rsid w:val="00D72D11"/>
    <w:rsid w:val="00D72DA2"/>
    <w:rsid w:val="00D817DE"/>
    <w:rsid w:val="00D8189A"/>
    <w:rsid w:val="00D90A7B"/>
    <w:rsid w:val="00D96266"/>
    <w:rsid w:val="00D96340"/>
    <w:rsid w:val="00D96CB0"/>
    <w:rsid w:val="00DA2928"/>
    <w:rsid w:val="00DA799A"/>
    <w:rsid w:val="00DB247A"/>
    <w:rsid w:val="00DB3EB2"/>
    <w:rsid w:val="00DB6D04"/>
    <w:rsid w:val="00DB7566"/>
    <w:rsid w:val="00DC0890"/>
    <w:rsid w:val="00DC0ED0"/>
    <w:rsid w:val="00DC2B05"/>
    <w:rsid w:val="00DC2B8E"/>
    <w:rsid w:val="00DC7F79"/>
    <w:rsid w:val="00DD64C9"/>
    <w:rsid w:val="00DE2D72"/>
    <w:rsid w:val="00DE311A"/>
    <w:rsid w:val="00DE3C2A"/>
    <w:rsid w:val="00DE5510"/>
    <w:rsid w:val="00DE63ED"/>
    <w:rsid w:val="00DF3CCB"/>
    <w:rsid w:val="00DF54CD"/>
    <w:rsid w:val="00DF5C20"/>
    <w:rsid w:val="00DF71D1"/>
    <w:rsid w:val="00DF7E4C"/>
    <w:rsid w:val="00E004AB"/>
    <w:rsid w:val="00E04E72"/>
    <w:rsid w:val="00E0794E"/>
    <w:rsid w:val="00E171D1"/>
    <w:rsid w:val="00E17ADB"/>
    <w:rsid w:val="00E21384"/>
    <w:rsid w:val="00E21BBD"/>
    <w:rsid w:val="00E23C07"/>
    <w:rsid w:val="00E261C4"/>
    <w:rsid w:val="00E27837"/>
    <w:rsid w:val="00E27F75"/>
    <w:rsid w:val="00E27F99"/>
    <w:rsid w:val="00E32B70"/>
    <w:rsid w:val="00E34BBB"/>
    <w:rsid w:val="00E355BD"/>
    <w:rsid w:val="00E41FC5"/>
    <w:rsid w:val="00E47192"/>
    <w:rsid w:val="00E507A2"/>
    <w:rsid w:val="00E52119"/>
    <w:rsid w:val="00E54995"/>
    <w:rsid w:val="00E55F37"/>
    <w:rsid w:val="00E60582"/>
    <w:rsid w:val="00E64D91"/>
    <w:rsid w:val="00E65940"/>
    <w:rsid w:val="00E66DB1"/>
    <w:rsid w:val="00E723E4"/>
    <w:rsid w:val="00E761FE"/>
    <w:rsid w:val="00E80609"/>
    <w:rsid w:val="00E83F7F"/>
    <w:rsid w:val="00E92EA8"/>
    <w:rsid w:val="00E95BDA"/>
    <w:rsid w:val="00EA09B6"/>
    <w:rsid w:val="00EA2F47"/>
    <w:rsid w:val="00EA39A5"/>
    <w:rsid w:val="00EA4966"/>
    <w:rsid w:val="00EA4B1B"/>
    <w:rsid w:val="00EB2341"/>
    <w:rsid w:val="00EB4D6D"/>
    <w:rsid w:val="00EB66F2"/>
    <w:rsid w:val="00EC00FC"/>
    <w:rsid w:val="00EC48CB"/>
    <w:rsid w:val="00ED235A"/>
    <w:rsid w:val="00EE2B59"/>
    <w:rsid w:val="00EE539E"/>
    <w:rsid w:val="00EE5684"/>
    <w:rsid w:val="00EE6B68"/>
    <w:rsid w:val="00EE75F2"/>
    <w:rsid w:val="00EE7CA1"/>
    <w:rsid w:val="00EF0384"/>
    <w:rsid w:val="00EF067C"/>
    <w:rsid w:val="00EF12C8"/>
    <w:rsid w:val="00EF12D3"/>
    <w:rsid w:val="00EF7BD1"/>
    <w:rsid w:val="00F037DD"/>
    <w:rsid w:val="00F05FE1"/>
    <w:rsid w:val="00F06C98"/>
    <w:rsid w:val="00F172B2"/>
    <w:rsid w:val="00F23A3D"/>
    <w:rsid w:val="00F24837"/>
    <w:rsid w:val="00F25A25"/>
    <w:rsid w:val="00F31A0E"/>
    <w:rsid w:val="00F33353"/>
    <w:rsid w:val="00F406F2"/>
    <w:rsid w:val="00F52D0A"/>
    <w:rsid w:val="00F52E1E"/>
    <w:rsid w:val="00F5605D"/>
    <w:rsid w:val="00F57909"/>
    <w:rsid w:val="00F60079"/>
    <w:rsid w:val="00F60CB7"/>
    <w:rsid w:val="00F642E4"/>
    <w:rsid w:val="00F66458"/>
    <w:rsid w:val="00F700A0"/>
    <w:rsid w:val="00F72593"/>
    <w:rsid w:val="00F7663A"/>
    <w:rsid w:val="00F80F6E"/>
    <w:rsid w:val="00F8141D"/>
    <w:rsid w:val="00F86F43"/>
    <w:rsid w:val="00F9015A"/>
    <w:rsid w:val="00F90EA9"/>
    <w:rsid w:val="00F923F1"/>
    <w:rsid w:val="00F938D2"/>
    <w:rsid w:val="00F9608B"/>
    <w:rsid w:val="00F9710A"/>
    <w:rsid w:val="00FA05ED"/>
    <w:rsid w:val="00FA435E"/>
    <w:rsid w:val="00FA524C"/>
    <w:rsid w:val="00FB1B78"/>
    <w:rsid w:val="00FB4BD9"/>
    <w:rsid w:val="00FC0BE2"/>
    <w:rsid w:val="00FC5433"/>
    <w:rsid w:val="00FC6254"/>
    <w:rsid w:val="00FC713F"/>
    <w:rsid w:val="00FD066C"/>
    <w:rsid w:val="00FD1589"/>
    <w:rsid w:val="00FD389D"/>
    <w:rsid w:val="00FD6CBC"/>
    <w:rsid w:val="00FD7BD8"/>
    <w:rsid w:val="00FD7E21"/>
    <w:rsid w:val="00FE2F81"/>
    <w:rsid w:val="00FE482F"/>
    <w:rsid w:val="00FE7EAE"/>
    <w:rsid w:val="00FF5FDE"/>
    <w:rsid w:val="00FF6DC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12B"/>
    <w:pPr>
      <w:spacing w:after="200" w:line="276" w:lineRule="auto"/>
    </w:pPr>
    <w:rPr>
      <w:sz w:val="22"/>
      <w:szCs w:val="22"/>
      <w:lang w:val="es-CR" w:eastAsia="en-US"/>
    </w:rPr>
  </w:style>
  <w:style w:type="paragraph" w:styleId="Ttulo1">
    <w:name w:val="heading 1"/>
    <w:basedOn w:val="Normal"/>
    <w:next w:val="Normal"/>
    <w:link w:val="Ttulo1Car"/>
    <w:qFormat/>
    <w:rsid w:val="00A27BCF"/>
    <w:pPr>
      <w:keepNext/>
      <w:spacing w:after="0" w:line="240" w:lineRule="auto"/>
      <w:outlineLvl w:val="0"/>
    </w:pPr>
    <w:rPr>
      <w:rFonts w:ascii="Garamond" w:eastAsia="Times" w:hAnsi="Garamond"/>
      <w:i/>
      <w:sz w:val="24"/>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nhideWhenUsed/>
    <w:qFormat/>
    <w:rsid w:val="0075315F"/>
    <w:pPr>
      <w:spacing w:after="0" w:line="240" w:lineRule="auto"/>
    </w:pPr>
    <w:rPr>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sid w:val="0075315F"/>
    <w:rPr>
      <w:sz w:val="20"/>
      <w:szCs w:val="20"/>
    </w:rPr>
  </w:style>
  <w:style w:type="paragraph" w:styleId="Encabezado">
    <w:name w:val="header"/>
    <w:basedOn w:val="Normal"/>
    <w:link w:val="EncabezadoCar"/>
    <w:uiPriority w:val="99"/>
    <w:unhideWhenUsed/>
    <w:rsid w:val="007531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315F"/>
  </w:style>
  <w:style w:type="paragraph" w:styleId="Piedepgina">
    <w:name w:val="footer"/>
    <w:basedOn w:val="Normal"/>
    <w:link w:val="PiedepginaCar"/>
    <w:uiPriority w:val="99"/>
    <w:semiHidden/>
    <w:unhideWhenUsed/>
    <w:rsid w:val="007531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75315F"/>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75315F"/>
    <w:rPr>
      <w:vertAlign w:val="superscript"/>
    </w:rPr>
  </w:style>
  <w:style w:type="character" w:styleId="Nmerodepgina">
    <w:name w:val="page number"/>
    <w:basedOn w:val="Fuentedeprrafopredeter"/>
    <w:uiPriority w:val="99"/>
    <w:rsid w:val="0075315F"/>
  </w:style>
  <w:style w:type="paragraph" w:styleId="Textonotaalfinal">
    <w:name w:val="endnote text"/>
    <w:basedOn w:val="Normal"/>
    <w:link w:val="TextonotaalfinalCar"/>
    <w:uiPriority w:val="99"/>
    <w:semiHidden/>
    <w:unhideWhenUsed/>
    <w:rsid w:val="00902739"/>
    <w:pPr>
      <w:spacing w:after="0" w:line="240" w:lineRule="auto"/>
    </w:pPr>
    <w:rPr>
      <w:sz w:val="20"/>
      <w:szCs w:val="20"/>
    </w:rPr>
  </w:style>
  <w:style w:type="character" w:customStyle="1" w:styleId="TextonotaalfinalCar">
    <w:name w:val="Texto nota al final Car"/>
    <w:link w:val="Textonotaalfinal"/>
    <w:uiPriority w:val="99"/>
    <w:semiHidden/>
    <w:rsid w:val="00902739"/>
    <w:rPr>
      <w:sz w:val="20"/>
      <w:szCs w:val="20"/>
    </w:rPr>
  </w:style>
  <w:style w:type="character" w:styleId="Refdenotaalfinal">
    <w:name w:val="endnote reference"/>
    <w:uiPriority w:val="99"/>
    <w:semiHidden/>
    <w:unhideWhenUsed/>
    <w:rsid w:val="00902739"/>
    <w:rPr>
      <w:vertAlign w:val="superscript"/>
    </w:rPr>
  </w:style>
  <w:style w:type="paragraph" w:styleId="Prrafodelista">
    <w:name w:val="List Paragraph"/>
    <w:aliases w:val="Footnote,Colorful List - Accent 11"/>
    <w:basedOn w:val="Normal"/>
    <w:link w:val="PrrafodelistaCar"/>
    <w:uiPriority w:val="99"/>
    <w:qFormat/>
    <w:rsid w:val="00A45141"/>
    <w:pPr>
      <w:ind w:left="720"/>
      <w:contextualSpacing/>
    </w:pPr>
  </w:style>
  <w:style w:type="character" w:customStyle="1" w:styleId="FootnoteCharacters">
    <w:name w:val="Footnote Characters"/>
    <w:rsid w:val="00805633"/>
    <w:rPr>
      <w:sz w:val="20"/>
      <w:vertAlign w:val="superscript"/>
    </w:rPr>
  </w:style>
  <w:style w:type="paragraph" w:customStyle="1" w:styleId="Prrafodelista2">
    <w:name w:val="Párrafo de lista2"/>
    <w:basedOn w:val="Normal"/>
    <w:uiPriority w:val="99"/>
    <w:rsid w:val="00A23504"/>
    <w:pPr>
      <w:spacing w:after="0" w:line="240" w:lineRule="auto"/>
      <w:ind w:left="720"/>
    </w:pPr>
    <w:rPr>
      <w:rFonts w:ascii="Verdana" w:eastAsia="MS Mincho" w:hAnsi="Verdana" w:cs="Verdana"/>
      <w:sz w:val="20"/>
      <w:szCs w:val="20"/>
      <w:lang w:val="es-ES_tradnl"/>
    </w:rPr>
  </w:style>
  <w:style w:type="paragraph" w:styleId="NormalWeb">
    <w:name w:val="Normal (Web)"/>
    <w:basedOn w:val="Normal"/>
    <w:uiPriority w:val="99"/>
    <w:semiHidden/>
    <w:unhideWhenUsed/>
    <w:rsid w:val="00043A38"/>
    <w:rPr>
      <w:rFonts w:ascii="Times New Roman" w:hAnsi="Times New Roman"/>
      <w:sz w:val="24"/>
      <w:szCs w:val="24"/>
    </w:rPr>
  </w:style>
  <w:style w:type="character" w:customStyle="1" w:styleId="FootnoteTextChar3">
    <w:name w:val="Footnote Text Char3"/>
    <w:aliases w:val="Footnote Text Char Char Char Char Char Char3,Footnote Text Char Char Char Char Char4,Footnote reference Char3,FA Fu Char3,Footnote Text Char Char Char Char4,Footnote Text Cha Char3,FA Fußnotentext Char3,FA Fuﬂnotentext Char3,Ca Char3"/>
    <w:uiPriority w:val="99"/>
    <w:rsid w:val="00EF12D3"/>
    <w:rPr>
      <w:rFonts w:ascii="Verdana" w:eastAsia="Times New Roman" w:hAnsi="Verdana" w:cs="Verdana"/>
      <w:sz w:val="16"/>
      <w:szCs w:val="16"/>
      <w:lang w:val="es-ES_tradnl"/>
    </w:rPr>
  </w:style>
  <w:style w:type="character" w:customStyle="1" w:styleId="PrrafodelistaCar">
    <w:name w:val="Párrafo de lista Car"/>
    <w:aliases w:val="Footnote Car,Colorful List - Accent 11 Car"/>
    <w:basedOn w:val="Fuentedeprrafopredeter"/>
    <w:link w:val="Prrafodelista"/>
    <w:uiPriority w:val="99"/>
    <w:rsid w:val="00EF12D3"/>
  </w:style>
  <w:style w:type="character" w:customStyle="1" w:styleId="ListParagraphChar1">
    <w:name w:val="List Paragraph Char1"/>
    <w:uiPriority w:val="34"/>
    <w:rsid w:val="00EE7CA1"/>
    <w:rPr>
      <w:rFonts w:ascii="Verdana" w:eastAsia="Times New Roman" w:hAnsi="Verdana" w:cs="Verdana"/>
      <w:sz w:val="20"/>
      <w:szCs w:val="20"/>
      <w:lang w:val="es-ES_tradnl"/>
    </w:rPr>
  </w:style>
  <w:style w:type="character" w:customStyle="1" w:styleId="apple-converted-space">
    <w:name w:val="apple-converted-space"/>
    <w:basedOn w:val="Fuentedeprrafopredeter"/>
    <w:rsid w:val="00A90F38"/>
  </w:style>
  <w:style w:type="paragraph" w:styleId="Textodeglobo">
    <w:name w:val="Balloon Text"/>
    <w:basedOn w:val="Normal"/>
    <w:link w:val="TextodegloboCar"/>
    <w:uiPriority w:val="99"/>
    <w:semiHidden/>
    <w:unhideWhenUsed/>
    <w:rsid w:val="00C02E7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C02E7F"/>
    <w:rPr>
      <w:rFonts w:ascii="Tahoma" w:hAnsi="Tahoma" w:cs="Tahoma"/>
      <w:sz w:val="16"/>
      <w:szCs w:val="16"/>
    </w:rPr>
  </w:style>
  <w:style w:type="character" w:styleId="Hipervnculo">
    <w:name w:val="Hyperlink"/>
    <w:rsid w:val="00CC72D9"/>
    <w:rPr>
      <w:strike w:val="0"/>
      <w:dstrike w:val="0"/>
      <w:color w:val="FFFFFF"/>
      <w:u w:val="none"/>
      <w:effect w:val="none"/>
    </w:rPr>
  </w:style>
  <w:style w:type="paragraph" w:customStyle="1" w:styleId="Textoindependiente1">
    <w:name w:val="Texto independiente1"/>
    <w:basedOn w:val="Normal"/>
    <w:rsid w:val="00E23C07"/>
    <w:pPr>
      <w:widowControl w:val="0"/>
      <w:spacing w:after="0" w:line="240" w:lineRule="auto"/>
      <w:jc w:val="both"/>
    </w:pPr>
    <w:rPr>
      <w:rFonts w:ascii="New York" w:eastAsia="Times New Roman" w:hAnsi="New York"/>
      <w:sz w:val="24"/>
      <w:szCs w:val="20"/>
      <w:lang w:val="es-ES_tradnl"/>
    </w:rPr>
  </w:style>
  <w:style w:type="character" w:styleId="Nmerodelnea">
    <w:name w:val="line number"/>
    <w:uiPriority w:val="99"/>
    <w:unhideWhenUsed/>
    <w:rsid w:val="00006243"/>
    <w:rPr>
      <w:rFonts w:ascii="Verdana" w:hAnsi="Verdana"/>
      <w:sz w:val="18"/>
    </w:rPr>
  </w:style>
  <w:style w:type="table" w:styleId="Tablaconcuadrcula">
    <w:name w:val="Table Grid"/>
    <w:basedOn w:val="Tablanormal"/>
    <w:uiPriority w:val="59"/>
    <w:rsid w:val="00EA4B1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376766"/>
    <w:rPr>
      <w:sz w:val="16"/>
      <w:szCs w:val="16"/>
    </w:rPr>
  </w:style>
  <w:style w:type="paragraph" w:styleId="Textocomentario">
    <w:name w:val="annotation text"/>
    <w:basedOn w:val="Normal"/>
    <w:link w:val="TextocomentarioCar"/>
    <w:uiPriority w:val="99"/>
    <w:semiHidden/>
    <w:unhideWhenUsed/>
    <w:rsid w:val="00376766"/>
    <w:pPr>
      <w:spacing w:line="240" w:lineRule="auto"/>
    </w:pPr>
    <w:rPr>
      <w:sz w:val="20"/>
      <w:szCs w:val="20"/>
    </w:rPr>
  </w:style>
  <w:style w:type="character" w:customStyle="1" w:styleId="TextocomentarioCar">
    <w:name w:val="Texto comentario Car"/>
    <w:link w:val="Textocomentario"/>
    <w:uiPriority w:val="99"/>
    <w:semiHidden/>
    <w:rsid w:val="00376766"/>
    <w:rPr>
      <w:sz w:val="20"/>
      <w:szCs w:val="20"/>
    </w:rPr>
  </w:style>
  <w:style w:type="paragraph" w:styleId="Asuntodelcomentario">
    <w:name w:val="annotation subject"/>
    <w:basedOn w:val="Textocomentario"/>
    <w:next w:val="Textocomentario"/>
    <w:link w:val="AsuntodelcomentarioCar"/>
    <w:uiPriority w:val="99"/>
    <w:semiHidden/>
    <w:unhideWhenUsed/>
    <w:rsid w:val="00376766"/>
    <w:rPr>
      <w:b/>
      <w:bCs/>
    </w:rPr>
  </w:style>
  <w:style w:type="character" w:customStyle="1" w:styleId="AsuntodelcomentarioCar">
    <w:name w:val="Asunto del comentario Car"/>
    <w:link w:val="Asuntodelcomentario"/>
    <w:uiPriority w:val="99"/>
    <w:semiHidden/>
    <w:rsid w:val="00376766"/>
    <w:rPr>
      <w:b/>
      <w:bCs/>
      <w:sz w:val="20"/>
      <w:szCs w:val="20"/>
    </w:rPr>
  </w:style>
  <w:style w:type="character" w:styleId="Hipervnculovisitado">
    <w:name w:val="FollowedHyperlink"/>
    <w:uiPriority w:val="99"/>
    <w:semiHidden/>
    <w:unhideWhenUsed/>
    <w:rsid w:val="00DB247A"/>
    <w:rPr>
      <w:color w:val="800080"/>
      <w:u w:val="single"/>
    </w:rPr>
  </w:style>
  <w:style w:type="character" w:customStyle="1" w:styleId="Ttulo1Car">
    <w:name w:val="Título 1 Car"/>
    <w:link w:val="Ttulo1"/>
    <w:rsid w:val="00A27BCF"/>
    <w:rPr>
      <w:rFonts w:ascii="Garamond" w:eastAsia="Times" w:hAnsi="Garamond" w:cs="Times New Roman"/>
      <w:i/>
      <w:sz w:val="24"/>
      <w:szCs w:val="20"/>
      <w:lang w:val="es-ES_tradnl"/>
    </w:rPr>
  </w:style>
  <w:style w:type="paragraph" w:customStyle="1" w:styleId="citaindirecta">
    <w:name w:val="cita indirecta"/>
    <w:basedOn w:val="Normal"/>
    <w:rsid w:val="003C67B7"/>
    <w:pPr>
      <w:spacing w:after="0" w:line="240" w:lineRule="auto"/>
      <w:ind w:left="708"/>
      <w:jc w:val="both"/>
    </w:pPr>
    <w:rPr>
      <w:rFonts w:ascii="Verdana" w:eastAsia="Times New Roman" w:hAnsi="Verdana"/>
      <w:sz w:val="20"/>
      <w:szCs w:val="20"/>
      <w:lang w:val="es-ES_tradnl"/>
    </w:rPr>
  </w:style>
  <w:style w:type="paragraph" w:customStyle="1" w:styleId="Default">
    <w:name w:val="Default"/>
    <w:rsid w:val="00CE583B"/>
    <w:pPr>
      <w:autoSpaceDE w:val="0"/>
      <w:autoSpaceDN w:val="0"/>
      <w:adjustRightInd w:val="0"/>
    </w:pPr>
    <w:rPr>
      <w:rFonts w:ascii="Cambria" w:hAnsi="Cambria" w:cs="Cambria"/>
      <w:color w:val="000000"/>
      <w:sz w:val="24"/>
      <w:szCs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994223">
      <w:bodyDiv w:val="1"/>
      <w:marLeft w:val="0"/>
      <w:marRight w:val="0"/>
      <w:marTop w:val="0"/>
      <w:marBottom w:val="0"/>
      <w:divBdr>
        <w:top w:val="none" w:sz="0" w:space="0" w:color="auto"/>
        <w:left w:val="none" w:sz="0" w:space="0" w:color="auto"/>
        <w:bottom w:val="none" w:sz="0" w:space="0" w:color="auto"/>
        <w:right w:val="none" w:sz="0" w:space="0" w:color="auto"/>
      </w:divBdr>
    </w:div>
    <w:div w:id="536937140">
      <w:bodyDiv w:val="1"/>
      <w:marLeft w:val="0"/>
      <w:marRight w:val="0"/>
      <w:marTop w:val="0"/>
      <w:marBottom w:val="0"/>
      <w:divBdr>
        <w:top w:val="none" w:sz="0" w:space="0" w:color="auto"/>
        <w:left w:val="none" w:sz="0" w:space="0" w:color="auto"/>
        <w:bottom w:val="none" w:sz="0" w:space="0" w:color="auto"/>
        <w:right w:val="none" w:sz="0" w:space="0" w:color="auto"/>
      </w:divBdr>
    </w:div>
    <w:div w:id="913471650">
      <w:bodyDiv w:val="1"/>
      <w:marLeft w:val="0"/>
      <w:marRight w:val="0"/>
      <w:marTop w:val="0"/>
      <w:marBottom w:val="0"/>
      <w:divBdr>
        <w:top w:val="none" w:sz="0" w:space="0" w:color="auto"/>
        <w:left w:val="none" w:sz="0" w:space="0" w:color="auto"/>
        <w:bottom w:val="none" w:sz="0" w:space="0" w:color="auto"/>
        <w:right w:val="none" w:sz="0" w:space="0" w:color="auto"/>
      </w:divBdr>
    </w:div>
    <w:div w:id="1191068325">
      <w:bodyDiv w:val="1"/>
      <w:marLeft w:val="0"/>
      <w:marRight w:val="0"/>
      <w:marTop w:val="0"/>
      <w:marBottom w:val="0"/>
      <w:divBdr>
        <w:top w:val="none" w:sz="0" w:space="0" w:color="auto"/>
        <w:left w:val="none" w:sz="0" w:space="0" w:color="auto"/>
        <w:bottom w:val="none" w:sz="0" w:space="0" w:color="auto"/>
        <w:right w:val="none" w:sz="0" w:space="0" w:color="auto"/>
      </w:divBdr>
    </w:div>
    <w:div w:id="146939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joomla.corteidh.or.cr:8080/joomla/es/jurisprudencia-oc/38-jurisprudencia/896-corte-idh-caso-escher-y-otros-vs-brasil-interpretacion-de-la-sentencia-de-excepciones-preliminares-fondo-reparaciones-y-costas-sentencia-de-20-de-noviembre-de-2009-serie-c-no-20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29C4C-0D56-46D6-BFC5-A858C782C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2503</Words>
  <Characters>13767</Characters>
  <Application>Microsoft Office Word</Application>
  <DocSecurity>0</DocSecurity>
  <Lines>114</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16238</CharactersWithSpaces>
  <SharedDoc>false</SharedDoc>
  <HLinks>
    <vt:vector size="6" baseType="variant">
      <vt:variant>
        <vt:i4>3211380</vt:i4>
      </vt:variant>
      <vt:variant>
        <vt:i4>0</vt:i4>
      </vt:variant>
      <vt:variant>
        <vt:i4>0</vt:i4>
      </vt:variant>
      <vt:variant>
        <vt:i4>5</vt:i4>
      </vt:variant>
      <vt:variant>
        <vt:lpwstr>http://joomla.corteidh.or.cr:8080/joomla/es/jurisprudencia-oc/38-jurisprudencia/896-corte-idh-caso-escher-y-otros-vs-brasil-interpretacion-de-la-sentencia-de-excepciones-preliminares-fondo-reparaciones-y-costas-sentencia-de-20-de-noviembre-de-2009-serie-c-no-208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2017-07-28T21:29:00Z</cp:lastPrinted>
  <dcterms:created xsi:type="dcterms:W3CDTF">2017-07-28T21:28:00Z</dcterms:created>
  <dcterms:modified xsi:type="dcterms:W3CDTF">2017-07-28T21:29:00Z</dcterms:modified>
</cp:coreProperties>
</file>