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4721A5">
      <w:pPr>
        <w:jc w:val="center"/>
        <w:rPr>
          <w:b/>
          <w:szCs w:val="20"/>
          <w:lang w:val="es-ES_tradnl"/>
        </w:rPr>
      </w:pPr>
      <w:bookmarkStart w:id="0" w:name="_GoBack"/>
      <w:bookmarkEnd w:id="0"/>
      <w:r>
        <w:rPr>
          <w:b/>
          <w:szCs w:val="20"/>
          <w:lang w:val="es-ES_tradnl"/>
        </w:rPr>
        <w:t>Corte Interamericana de Derechos Humanos</w:t>
      </w:r>
    </w:p>
    <w:p w:rsidR="00000000" w:rsidRDefault="004721A5">
      <w:pPr>
        <w:jc w:val="center"/>
        <w:rPr>
          <w:b/>
          <w:szCs w:val="20"/>
          <w:lang w:val="es-ES_tradnl"/>
        </w:rPr>
      </w:pPr>
    </w:p>
    <w:p w:rsidR="00000000" w:rsidRDefault="004721A5">
      <w:pPr>
        <w:jc w:val="center"/>
        <w:rPr>
          <w:b/>
          <w:szCs w:val="20"/>
          <w:lang w:val="es-ES_tradnl"/>
        </w:rPr>
      </w:pPr>
    </w:p>
    <w:p w:rsidR="00000000" w:rsidRDefault="004721A5">
      <w:pPr>
        <w:spacing w:before="120" w:after="120"/>
        <w:jc w:val="center"/>
        <w:rPr>
          <w:rFonts w:cs="Verdana"/>
          <w:b/>
          <w:bCs/>
          <w:szCs w:val="20"/>
        </w:rPr>
      </w:pPr>
      <w:r>
        <w:rPr>
          <w:rFonts w:cs="Verdana"/>
          <w:b/>
          <w:bCs/>
          <w:szCs w:val="20"/>
        </w:rPr>
        <w:t xml:space="preserve">Caso Chaparro Álvarez y Lapo Íñiguez </w:t>
      </w:r>
      <w:r>
        <w:rPr>
          <w:rFonts w:cs="Verdana"/>
          <w:b/>
          <w:bCs/>
          <w:i/>
          <w:iCs/>
          <w:szCs w:val="20"/>
        </w:rPr>
        <w:t xml:space="preserve">vs. </w:t>
      </w:r>
      <w:r>
        <w:rPr>
          <w:rFonts w:cs="Verdana"/>
          <w:b/>
          <w:bCs/>
          <w:iCs/>
          <w:szCs w:val="20"/>
        </w:rPr>
        <w:t>Ecuador</w:t>
      </w:r>
    </w:p>
    <w:p w:rsidR="00000000" w:rsidRDefault="004721A5">
      <w:pPr>
        <w:jc w:val="center"/>
        <w:rPr>
          <w:b/>
          <w:szCs w:val="20"/>
          <w:lang w:val="es-ES_tradnl"/>
        </w:rPr>
      </w:pPr>
    </w:p>
    <w:p w:rsidR="00000000" w:rsidRDefault="004721A5">
      <w:pPr>
        <w:jc w:val="center"/>
        <w:rPr>
          <w:b/>
          <w:szCs w:val="20"/>
          <w:lang w:val="es-ES_tradnl"/>
        </w:rPr>
      </w:pPr>
    </w:p>
    <w:p w:rsidR="00000000" w:rsidRDefault="004721A5">
      <w:pPr>
        <w:jc w:val="center"/>
        <w:rPr>
          <w:b/>
          <w:bCs/>
          <w:szCs w:val="20"/>
          <w:lang w:val="es-ES_tradnl"/>
        </w:rPr>
      </w:pPr>
      <w:r>
        <w:rPr>
          <w:b/>
          <w:bCs/>
          <w:szCs w:val="20"/>
          <w:lang w:val="es-ES_tradnl"/>
        </w:rPr>
        <w:t>Sentencia de 26 de noviembre de 2008</w:t>
      </w:r>
    </w:p>
    <w:p w:rsidR="00000000" w:rsidRDefault="004721A5">
      <w:pPr>
        <w:jc w:val="center"/>
        <w:rPr>
          <w:b/>
          <w:bCs/>
          <w:szCs w:val="20"/>
          <w:lang w:val="es-ES_tradnl"/>
        </w:rPr>
      </w:pPr>
    </w:p>
    <w:p w:rsidR="00000000" w:rsidRDefault="004721A5">
      <w:pPr>
        <w:jc w:val="center"/>
        <w:rPr>
          <w:b/>
          <w:i/>
          <w:szCs w:val="18"/>
          <w:lang w:val="es-ES_tradnl"/>
        </w:rPr>
      </w:pPr>
      <w:r>
        <w:rPr>
          <w:b/>
          <w:i/>
          <w:szCs w:val="18"/>
          <w:lang w:val="es-ES_tradnl"/>
        </w:rPr>
        <w:t xml:space="preserve">(Interpretación de </w:t>
      </w:r>
      <w:smartTag w:uri="urn:schemas-microsoft-com:office:smarttags" w:element="PersonName">
        <w:smartTagPr>
          <w:attr w:name="ProductID" w:val="la Sentencia"/>
        </w:smartTagPr>
        <w:r>
          <w:rPr>
            <w:b/>
            <w:i/>
            <w:szCs w:val="18"/>
            <w:lang w:val="es-ES_tradnl"/>
          </w:rPr>
          <w:t>la Sentencia</w:t>
        </w:r>
      </w:smartTag>
      <w:r>
        <w:rPr>
          <w:b/>
          <w:i/>
          <w:szCs w:val="18"/>
          <w:lang w:val="es-ES_tradnl"/>
        </w:rPr>
        <w:t xml:space="preserve"> de Excepciones Preliminares, Fondo, Reparaciones y Costas</w:t>
      </w:r>
      <w:r>
        <w:rPr>
          <w:b/>
          <w:szCs w:val="18"/>
          <w:lang w:val="es-ES_tradnl"/>
        </w:rPr>
        <w:t>)</w:t>
      </w:r>
      <w:r>
        <w:rPr>
          <w:b/>
          <w:i/>
          <w:szCs w:val="18"/>
          <w:lang w:val="es-ES_tradnl"/>
        </w:rPr>
        <w:t xml:space="preserve"> </w:t>
      </w:r>
    </w:p>
    <w:p w:rsidR="00000000" w:rsidRDefault="004721A5">
      <w:pPr>
        <w:jc w:val="center"/>
        <w:rPr>
          <w:b/>
          <w:smallCaps/>
          <w:sz w:val="18"/>
          <w:szCs w:val="18"/>
          <w:lang w:val="es-ES_tradnl"/>
        </w:rPr>
      </w:pPr>
    </w:p>
    <w:p w:rsidR="00000000" w:rsidRDefault="004721A5">
      <w:pPr>
        <w:jc w:val="center"/>
        <w:rPr>
          <w:b/>
          <w:smallCaps/>
          <w:szCs w:val="20"/>
          <w:lang w:val="es-ES_tradnl"/>
        </w:rPr>
      </w:pPr>
    </w:p>
    <w:p w:rsidR="00000000" w:rsidRDefault="004721A5">
      <w:pPr>
        <w:jc w:val="center"/>
        <w:rPr>
          <w:b/>
          <w:smallCaps/>
          <w:szCs w:val="20"/>
          <w:lang w:val="es-ES_tradnl"/>
        </w:rPr>
      </w:pPr>
    </w:p>
    <w:p w:rsidR="00000000" w:rsidRDefault="004721A5">
      <w:pPr>
        <w:jc w:val="center"/>
        <w:rPr>
          <w:b/>
          <w:smallCaps/>
          <w:szCs w:val="20"/>
          <w:lang w:val="es-ES_tradnl"/>
        </w:rPr>
      </w:pPr>
    </w:p>
    <w:p w:rsidR="00000000" w:rsidRDefault="004721A5">
      <w:pPr>
        <w:rPr>
          <w:i/>
          <w:szCs w:val="20"/>
          <w:lang w:val="es-ES_tradnl"/>
        </w:rPr>
      </w:pPr>
      <w:r>
        <w:rPr>
          <w:smallCaps/>
          <w:szCs w:val="20"/>
          <w:lang w:val="es-ES_tradnl"/>
        </w:rPr>
        <w:t>E</w:t>
      </w:r>
      <w:r>
        <w:rPr>
          <w:szCs w:val="20"/>
          <w:lang w:val="es-ES_tradnl"/>
        </w:rPr>
        <w:t xml:space="preserve">n el </w:t>
      </w:r>
      <w:r>
        <w:rPr>
          <w:i/>
          <w:szCs w:val="20"/>
          <w:lang w:val="es-ES_tradnl"/>
        </w:rPr>
        <w:t xml:space="preserve">caso Chaparro Álvarez </w:t>
      </w:r>
      <w:r>
        <w:rPr>
          <w:i/>
          <w:szCs w:val="20"/>
          <w:lang w:val="es-ES_tradnl"/>
        </w:rPr>
        <w:t>y Lapo Íñiguez,</w:t>
      </w:r>
    </w:p>
    <w:p w:rsidR="00000000" w:rsidRDefault="004721A5">
      <w:pPr>
        <w:rPr>
          <w:i/>
          <w:szCs w:val="20"/>
          <w:lang w:val="es-ES_tradnl"/>
        </w:rPr>
      </w:pPr>
    </w:p>
    <w:p w:rsidR="00000000" w:rsidRDefault="004721A5">
      <w:pPr>
        <w:rPr>
          <w:i/>
          <w:szCs w:val="20"/>
          <w:lang w:val="es-ES_tradnl"/>
        </w:rPr>
      </w:pPr>
    </w:p>
    <w:p w:rsidR="00000000" w:rsidRDefault="004721A5">
      <w:pPr>
        <w:rPr>
          <w:szCs w:val="20"/>
          <w:lang w:val="es-ES_tradnl"/>
        </w:rPr>
      </w:pPr>
      <w:proofErr w:type="gramStart"/>
      <w:smartTag w:uri="urn:schemas-microsoft-com:office:smarttags" w:element="PersonName">
        <w:smartTagPr>
          <w:attr w:name="ProductID" w:val="la Corte Interamericana"/>
        </w:smartTagPr>
        <w:r>
          <w:rPr>
            <w:szCs w:val="20"/>
            <w:lang w:val="es-ES_tradnl"/>
          </w:rPr>
          <w:t>la</w:t>
        </w:r>
        <w:proofErr w:type="gramEnd"/>
        <w:r>
          <w:rPr>
            <w:szCs w:val="20"/>
            <w:lang w:val="es-ES_tradnl"/>
          </w:rPr>
          <w:t xml:space="preserve"> Corte Interamericana</w:t>
        </w:r>
      </w:smartTag>
      <w:r>
        <w:rPr>
          <w:szCs w:val="20"/>
          <w:lang w:val="es-ES_tradnl"/>
        </w:rPr>
        <w:t xml:space="preserve"> de Derechos Humanos (en adelante “</w:t>
      </w:r>
      <w:smartTag w:uri="urn:schemas-microsoft-com:office:smarttags" w:element="PersonName">
        <w:smartTagPr>
          <w:attr w:name="ProductID" w:val="la Corte Interamericana"/>
        </w:smartTagPr>
        <w:r>
          <w:rPr>
            <w:szCs w:val="20"/>
            <w:lang w:val="es-ES_tradnl"/>
          </w:rPr>
          <w:t>la Corte Interamericana</w:t>
        </w:r>
      </w:smartTag>
      <w:r>
        <w:rPr>
          <w:szCs w:val="20"/>
          <w:lang w:val="es-ES_tradnl"/>
        </w:rPr>
        <w:t>”, “</w:t>
      </w:r>
      <w:smartTag w:uri="urn:schemas-microsoft-com:office:smarttags" w:element="PersonName">
        <w:smartTagPr>
          <w:attr w:name="ProductID" w:val="la Corte"/>
        </w:smartTagPr>
        <w:r>
          <w:rPr>
            <w:szCs w:val="20"/>
            <w:lang w:val="es-ES_tradnl"/>
          </w:rPr>
          <w:t>la Corte</w:t>
        </w:r>
      </w:smartTag>
      <w:r>
        <w:rPr>
          <w:szCs w:val="20"/>
          <w:lang w:val="es-ES_tradnl"/>
        </w:rPr>
        <w:t>” o “el Tribunal”), integrada por los siguientes jueces:</w:t>
      </w:r>
    </w:p>
    <w:p w:rsidR="00000000" w:rsidRDefault="004721A5">
      <w:pPr>
        <w:ind w:right="-720"/>
        <w:rPr>
          <w:szCs w:val="20"/>
          <w:lang w:val="es-ES_tradnl"/>
        </w:rPr>
      </w:pPr>
    </w:p>
    <w:p w:rsidR="00000000" w:rsidRDefault="004721A5">
      <w:pPr>
        <w:widowControl/>
        <w:suppressAutoHyphens w:val="0"/>
        <w:ind w:firstLine="708"/>
        <w:rPr>
          <w:rFonts w:cs="Verdana"/>
          <w:szCs w:val="20"/>
          <w:lang w:val="es-ES_tradnl" w:eastAsia="en-US"/>
        </w:rPr>
      </w:pPr>
      <w:r>
        <w:rPr>
          <w:rFonts w:cs="Verdana"/>
          <w:szCs w:val="20"/>
          <w:lang w:val="es-ES_tradnl" w:eastAsia="en-US"/>
        </w:rPr>
        <w:t>Sergio García Ramírez, Presidente;</w:t>
      </w:r>
    </w:p>
    <w:p w:rsidR="00000000" w:rsidRDefault="004721A5">
      <w:pPr>
        <w:widowControl/>
        <w:suppressAutoHyphens w:val="0"/>
        <w:rPr>
          <w:rFonts w:cs="Verdana"/>
          <w:szCs w:val="20"/>
          <w:lang w:val="es-ES_tradnl" w:eastAsia="en-US"/>
        </w:rPr>
      </w:pPr>
      <w:r>
        <w:rPr>
          <w:rFonts w:cs="Verdana"/>
          <w:szCs w:val="20"/>
          <w:lang w:val="es-ES_tradnl" w:eastAsia="en-US"/>
        </w:rPr>
        <w:tab/>
      </w:r>
      <w:smartTag w:uri="urn:schemas-microsoft-com:office:smarttags" w:element="PersonName">
        <w:r>
          <w:rPr>
            <w:rFonts w:cs="Verdana"/>
            <w:szCs w:val="20"/>
            <w:lang w:val="es-ES_tradnl" w:eastAsia="en-US"/>
          </w:rPr>
          <w:t>Cecilia Medina</w:t>
        </w:r>
      </w:smartTag>
      <w:r>
        <w:rPr>
          <w:rFonts w:cs="Verdana"/>
          <w:szCs w:val="20"/>
          <w:lang w:val="es-ES_tradnl" w:eastAsia="en-US"/>
        </w:rPr>
        <w:t xml:space="preserve"> Quiroga, Vicepresidenta; </w:t>
      </w:r>
    </w:p>
    <w:p w:rsidR="00000000" w:rsidRDefault="004721A5">
      <w:pPr>
        <w:widowControl/>
        <w:suppressAutoHyphens w:val="0"/>
        <w:rPr>
          <w:rFonts w:cs="Verdana"/>
          <w:szCs w:val="20"/>
          <w:lang w:val="es-ES_tradnl" w:eastAsia="en-US"/>
        </w:rPr>
      </w:pPr>
      <w:r>
        <w:rPr>
          <w:rFonts w:cs="Verdana"/>
          <w:szCs w:val="20"/>
          <w:lang w:val="es-ES_tradnl" w:eastAsia="en-US"/>
        </w:rPr>
        <w:tab/>
        <w:t>Manuel E.</w:t>
      </w:r>
      <w:r>
        <w:rPr>
          <w:rFonts w:cs="Verdana"/>
          <w:szCs w:val="20"/>
          <w:lang w:val="es-ES_tradnl" w:eastAsia="en-US"/>
        </w:rPr>
        <w:t xml:space="preserve"> Ventura Robles, Juez;</w:t>
      </w:r>
    </w:p>
    <w:p w:rsidR="00000000" w:rsidRDefault="004721A5">
      <w:pPr>
        <w:widowControl/>
        <w:suppressAutoHyphens w:val="0"/>
        <w:rPr>
          <w:rFonts w:cs="Verdana"/>
          <w:szCs w:val="20"/>
          <w:lang w:val="es-ES_tradnl" w:eastAsia="en-US"/>
        </w:rPr>
      </w:pPr>
      <w:r>
        <w:rPr>
          <w:rFonts w:cs="Verdana"/>
          <w:szCs w:val="20"/>
          <w:lang w:val="es-ES_tradnl" w:eastAsia="en-US"/>
        </w:rPr>
        <w:tab/>
        <w:t xml:space="preserve">Diego García-Sayán, Juez; </w:t>
      </w:r>
    </w:p>
    <w:p w:rsidR="00000000" w:rsidRDefault="004721A5">
      <w:pPr>
        <w:widowControl/>
        <w:suppressAutoHyphens w:val="0"/>
        <w:rPr>
          <w:rFonts w:cs="Verdana"/>
          <w:szCs w:val="20"/>
          <w:lang w:val="es-ES_tradnl" w:eastAsia="en-US"/>
        </w:rPr>
      </w:pPr>
      <w:r>
        <w:rPr>
          <w:rFonts w:cs="Verdana"/>
          <w:szCs w:val="20"/>
          <w:lang w:val="es-ES_tradnl" w:eastAsia="en-US"/>
        </w:rPr>
        <w:tab/>
        <w:t>Leonardo A. Franco, Juez;</w:t>
      </w:r>
    </w:p>
    <w:p w:rsidR="00000000" w:rsidRDefault="004721A5">
      <w:pPr>
        <w:widowControl/>
        <w:suppressAutoHyphens w:val="0"/>
        <w:rPr>
          <w:rFonts w:cs="Verdana"/>
          <w:szCs w:val="20"/>
          <w:lang w:val="es-ES_tradnl" w:eastAsia="en-US"/>
        </w:rPr>
      </w:pPr>
      <w:r>
        <w:rPr>
          <w:rFonts w:cs="Verdana"/>
          <w:szCs w:val="20"/>
          <w:lang w:val="es-ES_tradnl" w:eastAsia="en-US"/>
        </w:rPr>
        <w:tab/>
        <w:t>Margarette May Macaulay, Jueza, y</w:t>
      </w:r>
    </w:p>
    <w:p w:rsidR="00000000" w:rsidRDefault="004721A5">
      <w:pPr>
        <w:ind w:right="-720" w:firstLine="720"/>
        <w:rPr>
          <w:szCs w:val="20"/>
          <w:lang w:val="es-ES_tradnl"/>
        </w:rPr>
      </w:pPr>
      <w:r>
        <w:rPr>
          <w:rFonts w:cs="Verdana"/>
          <w:szCs w:val="20"/>
          <w:lang w:val="es-ES_tradnl" w:eastAsia="en-US"/>
        </w:rPr>
        <w:t>Rhadys Abreu Blondet, Jueza</w:t>
      </w:r>
      <w:r>
        <w:rPr>
          <w:rFonts w:cs="Verdana"/>
          <w:i/>
          <w:szCs w:val="20"/>
          <w:lang w:val="es-ES_tradnl" w:eastAsia="en-US"/>
        </w:rPr>
        <w:t>;</w:t>
      </w:r>
    </w:p>
    <w:p w:rsidR="00000000" w:rsidRDefault="004721A5">
      <w:pPr>
        <w:rPr>
          <w:szCs w:val="20"/>
          <w:lang w:val="es-ES_tradnl"/>
        </w:rPr>
      </w:pPr>
    </w:p>
    <w:p w:rsidR="00000000" w:rsidRDefault="004721A5">
      <w:pPr>
        <w:rPr>
          <w:szCs w:val="20"/>
          <w:lang w:val="es-ES_tradnl"/>
        </w:rPr>
      </w:pPr>
      <w:proofErr w:type="gramStart"/>
      <w:r>
        <w:rPr>
          <w:szCs w:val="20"/>
          <w:lang w:val="es-ES_tradnl"/>
        </w:rPr>
        <w:t>presente</w:t>
      </w:r>
      <w:proofErr w:type="gramEnd"/>
      <w:r>
        <w:rPr>
          <w:szCs w:val="20"/>
          <w:lang w:val="es-ES_tradnl"/>
        </w:rPr>
        <w:t>, además,</w:t>
      </w:r>
    </w:p>
    <w:p w:rsidR="00000000" w:rsidRDefault="004721A5">
      <w:pPr>
        <w:rPr>
          <w:szCs w:val="20"/>
          <w:lang w:val="es-ES_tradnl"/>
        </w:rPr>
      </w:pPr>
    </w:p>
    <w:p w:rsidR="00000000" w:rsidRDefault="004721A5">
      <w:pPr>
        <w:ind w:left="720"/>
        <w:rPr>
          <w:szCs w:val="20"/>
          <w:lang w:val="es-ES_tradnl"/>
        </w:rPr>
      </w:pPr>
      <w:smartTag w:uri="urn:schemas-microsoft-com:office:smarttags" w:element="PersonName">
        <w:r>
          <w:rPr>
            <w:szCs w:val="20"/>
            <w:lang w:val="es-ES_tradnl"/>
          </w:rPr>
          <w:t>Pablo Saavedra</w:t>
        </w:r>
      </w:smartTag>
      <w:r>
        <w:rPr>
          <w:szCs w:val="20"/>
          <w:lang w:val="es-ES_tradnl"/>
        </w:rPr>
        <w:t xml:space="preserve"> Alessandri, Secretario</w:t>
      </w:r>
      <w:r>
        <w:rPr>
          <w:rStyle w:val="Refdenotaalpie"/>
          <w:szCs w:val="20"/>
          <w:lang w:val="es-ES_tradnl"/>
        </w:rPr>
        <w:footnoteReference w:id="1"/>
      </w:r>
      <w:r>
        <w:rPr>
          <w:szCs w:val="20"/>
          <w:lang w:val="es-ES_tradnl"/>
        </w:rPr>
        <w:t>,</w:t>
      </w:r>
    </w:p>
    <w:p w:rsidR="00000000" w:rsidRDefault="004721A5">
      <w:pPr>
        <w:rPr>
          <w:szCs w:val="20"/>
          <w:lang w:val="es-ES_tradnl"/>
        </w:rPr>
      </w:pPr>
    </w:p>
    <w:p w:rsidR="00000000" w:rsidRDefault="004721A5">
      <w:pPr>
        <w:rPr>
          <w:szCs w:val="20"/>
          <w:lang w:val="es-ES_tradnl"/>
        </w:rPr>
      </w:pPr>
    </w:p>
    <w:p w:rsidR="00000000" w:rsidRDefault="004721A5">
      <w:pPr>
        <w:rPr>
          <w:szCs w:val="20"/>
          <w:lang w:val="es-ES_tradnl"/>
        </w:rPr>
      </w:pPr>
      <w:proofErr w:type="gramStart"/>
      <w:r>
        <w:rPr>
          <w:szCs w:val="20"/>
          <w:lang w:val="es-ES_tradnl"/>
        </w:rPr>
        <w:t>de</w:t>
      </w:r>
      <w:proofErr w:type="gramEnd"/>
      <w:r>
        <w:rPr>
          <w:szCs w:val="20"/>
          <w:lang w:val="es-ES_tradnl"/>
        </w:rPr>
        <w:t xml:space="preserve"> conformidad con el artículo 67 de </w:t>
      </w:r>
      <w:smartTag w:uri="urn:schemas-microsoft-com:office:smarttags" w:element="PersonName">
        <w:smartTagPr>
          <w:attr w:name="ProductID" w:val="la Convención Americana"/>
        </w:smartTagPr>
        <w:r>
          <w:rPr>
            <w:szCs w:val="20"/>
            <w:lang w:val="es-ES_tradnl"/>
          </w:rPr>
          <w:t>la Convención A</w:t>
        </w:r>
        <w:r>
          <w:rPr>
            <w:szCs w:val="20"/>
            <w:lang w:val="es-ES_tradnl"/>
          </w:rPr>
          <w:t>mericana</w:t>
        </w:r>
      </w:smartTag>
      <w:r>
        <w:rPr>
          <w:szCs w:val="20"/>
          <w:lang w:val="es-ES_tradnl"/>
        </w:rPr>
        <w:t xml:space="preserve"> sobre Derechos Humanos (en adelante “</w:t>
      </w:r>
      <w:smartTag w:uri="urn:schemas-microsoft-com:office:smarttags" w:element="PersonName">
        <w:smartTagPr>
          <w:attr w:name="ProductID" w:val="la Convención"/>
        </w:smartTagPr>
        <w:r>
          <w:rPr>
            <w:szCs w:val="20"/>
            <w:lang w:val="es-ES_tradnl"/>
          </w:rPr>
          <w:t>la Convención</w:t>
        </w:r>
      </w:smartTag>
      <w:r>
        <w:rPr>
          <w:szCs w:val="20"/>
          <w:lang w:val="es-ES_tradnl"/>
        </w:rPr>
        <w:t>” o “</w:t>
      </w:r>
      <w:smartTag w:uri="urn:schemas-microsoft-com:office:smarttags" w:element="PersonName">
        <w:smartTagPr>
          <w:attr w:name="ProductID" w:val="la Convención Americana"/>
        </w:smartTagPr>
        <w:r>
          <w:rPr>
            <w:szCs w:val="20"/>
            <w:lang w:val="es-ES_tradnl"/>
          </w:rPr>
          <w:t>la Convención Americana</w:t>
        </w:r>
      </w:smartTag>
      <w:r>
        <w:rPr>
          <w:szCs w:val="20"/>
          <w:lang w:val="es-ES_tradnl"/>
        </w:rPr>
        <w:t xml:space="preserve">”) y el artículo 59 del Reglamento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(en adelante “el Reglamento”), resuelve la demanda de interpretación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excepciones preliminares, fondo, r</w:t>
      </w:r>
      <w:r>
        <w:rPr>
          <w:szCs w:val="20"/>
          <w:lang w:val="es-ES_tradnl"/>
        </w:rPr>
        <w:t xml:space="preserve">eparaciones y costas dictada por </w:t>
      </w:r>
      <w:smartTag w:uri="urn:schemas-microsoft-com:office:smarttags" w:element="PersonName">
        <w:smartTagPr>
          <w:attr w:name="ProductID" w:val="la Corte"/>
        </w:smartTagPr>
        <w:r>
          <w:rPr>
            <w:szCs w:val="20"/>
            <w:lang w:val="es-ES_tradnl"/>
          </w:rPr>
          <w:t>la Corte</w:t>
        </w:r>
      </w:smartTag>
      <w:r>
        <w:rPr>
          <w:szCs w:val="20"/>
          <w:lang w:val="es-ES_tradnl"/>
        </w:rPr>
        <w:t xml:space="preserve"> el 21 de noviembre de 2007 en el caso</w:t>
      </w:r>
      <w:r>
        <w:rPr>
          <w:i/>
          <w:szCs w:val="20"/>
          <w:lang w:val="es-ES_tradnl"/>
        </w:rPr>
        <w:t xml:space="preserve"> Chaparro Álvarez y Lapo Íñiguez vs. Ecuador </w:t>
      </w:r>
      <w:r>
        <w:rPr>
          <w:szCs w:val="20"/>
          <w:lang w:val="es-ES_tradnl"/>
        </w:rPr>
        <w:t xml:space="preserve">(en adelante “la demanda de interpretación”), interpuesta por </w:t>
      </w:r>
      <w:smartTag w:uri="urn:schemas-microsoft-com:office:smarttags" w:element="PersonName">
        <w:smartTagPr>
          <w:attr w:name="ProductID" w:val="la República"/>
        </w:smartTagPr>
        <w:r>
          <w:rPr>
            <w:szCs w:val="20"/>
            <w:lang w:val="es-ES_tradnl"/>
          </w:rPr>
          <w:t>la República</w:t>
        </w:r>
      </w:smartTag>
      <w:r>
        <w:rPr>
          <w:szCs w:val="20"/>
          <w:lang w:val="es-ES_tradnl"/>
        </w:rPr>
        <w:t xml:space="preserve"> del Ecuador (en adelante “el Estado” o “Ecuador”).</w:t>
      </w:r>
    </w:p>
    <w:p w:rsidR="00000000" w:rsidRDefault="004721A5">
      <w:pPr>
        <w:rPr>
          <w:szCs w:val="20"/>
          <w:lang w:val="es-ES_tradnl"/>
        </w:rPr>
      </w:pPr>
    </w:p>
    <w:p w:rsidR="00000000" w:rsidRDefault="004721A5">
      <w:pPr>
        <w:jc w:val="center"/>
        <w:rPr>
          <w:b/>
          <w:szCs w:val="20"/>
          <w:lang w:val="es-ES_tradnl"/>
        </w:rPr>
      </w:pPr>
      <w:r>
        <w:rPr>
          <w:b/>
          <w:szCs w:val="20"/>
          <w:lang w:val="es-ES_tradnl"/>
        </w:rPr>
        <w:t>I</w:t>
      </w:r>
    </w:p>
    <w:p w:rsidR="00000000" w:rsidRDefault="004721A5">
      <w:pPr>
        <w:jc w:val="center"/>
        <w:rPr>
          <w:b/>
          <w:szCs w:val="20"/>
          <w:lang w:val="es-ES_tradnl"/>
        </w:rPr>
      </w:pPr>
      <w:r>
        <w:rPr>
          <w:b/>
          <w:szCs w:val="20"/>
          <w:lang w:val="es-ES_tradnl"/>
        </w:rPr>
        <w:t>Int</w:t>
      </w:r>
      <w:r>
        <w:rPr>
          <w:b/>
          <w:szCs w:val="20"/>
          <w:lang w:val="es-ES_tradnl"/>
        </w:rPr>
        <w:t xml:space="preserve">roducción de la demanda de interpretación </w:t>
      </w:r>
    </w:p>
    <w:p w:rsidR="00000000" w:rsidRDefault="004721A5">
      <w:pPr>
        <w:jc w:val="center"/>
        <w:rPr>
          <w:b/>
          <w:szCs w:val="20"/>
          <w:lang w:val="es-ES_tradnl"/>
        </w:rPr>
      </w:pPr>
      <w:proofErr w:type="gramStart"/>
      <w:r>
        <w:rPr>
          <w:b/>
          <w:szCs w:val="20"/>
          <w:lang w:val="es-ES_tradnl"/>
        </w:rPr>
        <w:t>y</w:t>
      </w:r>
      <w:proofErr w:type="gramEnd"/>
      <w:r>
        <w:rPr>
          <w:b/>
          <w:szCs w:val="20"/>
          <w:lang w:val="es-ES_tradnl"/>
        </w:rPr>
        <w:t xml:space="preserve"> procedimiento ante </w:t>
      </w:r>
      <w:smartTag w:uri="urn:schemas-microsoft-com:office:smarttags" w:element="PersonName">
        <w:smartTagPr>
          <w:attr w:name="ProductID" w:val="la Corte"/>
        </w:smartTagPr>
        <w:r>
          <w:rPr>
            <w:b/>
            <w:szCs w:val="20"/>
            <w:lang w:val="es-ES_tradnl"/>
          </w:rPr>
          <w:t>la Corte</w:t>
        </w:r>
      </w:smartTag>
    </w:p>
    <w:p w:rsidR="00000000" w:rsidRDefault="004721A5">
      <w:pPr>
        <w:jc w:val="center"/>
        <w:rPr>
          <w:b/>
          <w:szCs w:val="20"/>
          <w:lang w:val="es-ES_tradnl"/>
        </w:rPr>
      </w:pPr>
    </w:p>
    <w:p w:rsidR="00000000" w:rsidRDefault="004721A5">
      <w:pPr>
        <w:spacing w:before="120" w:after="120"/>
        <w:rPr>
          <w:b/>
          <w:szCs w:val="20"/>
          <w:lang w:val="es-ES_tradnl"/>
        </w:rPr>
      </w:pPr>
      <w:r>
        <w:rPr>
          <w:szCs w:val="20"/>
          <w:lang w:val="es-ES_tradnl"/>
        </w:rPr>
        <w:t>1.</w:t>
      </w:r>
      <w:r>
        <w:rPr>
          <w:szCs w:val="20"/>
          <w:lang w:val="es-ES_tradnl"/>
        </w:rPr>
        <w:tab/>
        <w:t xml:space="preserve">El 18 de enero de 2008 el Estado presentó una demanda de interpretación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excepciones preliminares, fondo, reparaciones y costas emitida en este caso el 21 de nov</w:t>
      </w:r>
      <w:r>
        <w:rPr>
          <w:szCs w:val="20"/>
          <w:lang w:val="es-ES_tradnl"/>
        </w:rPr>
        <w:t>iembre de 2007</w:t>
      </w:r>
      <w:r>
        <w:rPr>
          <w:rStyle w:val="Refdenotaalpie"/>
          <w:szCs w:val="20"/>
          <w:lang w:val="es-ES_tradnl"/>
        </w:rPr>
        <w:footnoteReference w:id="2"/>
      </w:r>
      <w:r>
        <w:rPr>
          <w:szCs w:val="20"/>
          <w:lang w:val="es-ES_tradnl"/>
        </w:rPr>
        <w:t xml:space="preserve"> (en adelante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con fundamento en los </w:t>
      </w:r>
      <w:r>
        <w:rPr>
          <w:szCs w:val="20"/>
          <w:lang w:val="es-ES_tradnl"/>
        </w:rPr>
        <w:lastRenderedPageBreak/>
        <w:t xml:space="preserve">artículos 67 de </w:t>
      </w:r>
      <w:smartTag w:uri="urn:schemas-microsoft-com:office:smarttags" w:element="PersonName">
        <w:smartTagPr>
          <w:attr w:name="ProductID" w:val="la Convención"/>
        </w:smartTagPr>
        <w:r>
          <w:rPr>
            <w:szCs w:val="20"/>
            <w:lang w:val="es-ES_tradnl"/>
          </w:rPr>
          <w:t>la Convención</w:t>
        </w:r>
      </w:smartTag>
      <w:r>
        <w:rPr>
          <w:szCs w:val="20"/>
          <w:lang w:val="es-ES_tradnl"/>
        </w:rPr>
        <w:t xml:space="preserve"> y 59 del Reglamento. En su demanda el Estado se refirió a la medida de reparación que ordena constituir un “tribunal arbitral” para la determinación del porce</w:t>
      </w:r>
      <w:r>
        <w:rPr>
          <w:szCs w:val="20"/>
          <w:lang w:val="es-ES_tradnl"/>
        </w:rPr>
        <w:t>ntaje de “pérdidas que sufrió el señor Chaparro como consecuencia de la aprehensión y depósito de la fábrica Plumavit” por parte del Estado. El Ecuador señaló que “rechaza esta medida de reparación” y solicitó que “</w:t>
      </w:r>
      <w:smartTag w:uri="urn:schemas-microsoft-com:office:smarttags" w:element="PersonName">
        <w:smartTagPr>
          <w:attr w:name="ProductID" w:val="la Corte Interamericana"/>
        </w:smartTagPr>
        <w:r>
          <w:rPr>
            <w:szCs w:val="20"/>
            <w:lang w:val="es-ES_tradnl"/>
          </w:rPr>
          <w:t>la Corte Interamericana</w:t>
        </w:r>
      </w:smartTag>
      <w:r>
        <w:rPr>
          <w:szCs w:val="20"/>
          <w:lang w:val="es-ES_tradnl"/>
        </w:rPr>
        <w:t xml:space="preserve"> explique el alcan</w:t>
      </w:r>
      <w:r>
        <w:rPr>
          <w:szCs w:val="20"/>
          <w:lang w:val="es-ES_tradnl"/>
        </w:rPr>
        <w:t xml:space="preserve">ce, finalidad y sobretodo fundamento para </w:t>
      </w:r>
      <w:r>
        <w:rPr>
          <w:szCs w:val="20"/>
          <w:u w:val="single"/>
          <w:lang w:val="es-ES_tradnl"/>
        </w:rPr>
        <w:t>imponer un arbitraje</w:t>
      </w:r>
      <w:r>
        <w:rPr>
          <w:i/>
          <w:szCs w:val="20"/>
          <w:lang w:val="es-ES_tradnl"/>
        </w:rPr>
        <w:t xml:space="preserve"> </w:t>
      </w:r>
      <w:r>
        <w:rPr>
          <w:szCs w:val="20"/>
          <w:lang w:val="es-ES_tradnl"/>
        </w:rPr>
        <w:t xml:space="preserve">al Estado ecuatoriano” (resaltado en el original). El 23 de enero de 2008 </w:t>
      </w:r>
      <w:smartTag w:uri="urn:schemas-microsoft-com:office:smarttags" w:element="PersonName">
        <w:smartTagPr>
          <w:attr w:name="ProductID" w:val="la Secretaría"/>
        </w:smartTagPr>
        <w:r>
          <w:rPr>
            <w:szCs w:val="20"/>
            <w:lang w:val="es-ES_tradnl"/>
          </w:rPr>
          <w:t>la Secretaría</w:t>
        </w:r>
      </w:smartTag>
      <w:r>
        <w:rPr>
          <w:szCs w:val="20"/>
          <w:lang w:val="es-ES_tradnl"/>
        </w:rPr>
        <w:t xml:space="preserve">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(en adelante “</w:t>
      </w:r>
      <w:smartTag w:uri="urn:schemas-microsoft-com:office:smarttags" w:element="PersonName">
        <w:smartTagPr>
          <w:attr w:name="ProductID" w:val="la Secretaría"/>
        </w:smartTagPr>
        <w:r>
          <w:rPr>
            <w:szCs w:val="20"/>
            <w:lang w:val="es-ES_tradnl"/>
          </w:rPr>
          <w:t>la Secretaría</w:t>
        </w:r>
      </w:smartTag>
      <w:r>
        <w:rPr>
          <w:szCs w:val="20"/>
          <w:lang w:val="es-ES_tradnl"/>
        </w:rPr>
        <w:t xml:space="preserve">”), siguiendo instrucciones de </w:t>
      </w:r>
      <w:smartTag w:uri="urn:schemas-microsoft-com:office:smarttags" w:element="PersonName">
        <w:smartTagPr>
          <w:attr w:name="ProductID" w:val="la Presidencia"/>
        </w:smartTagPr>
        <w:r>
          <w:rPr>
            <w:szCs w:val="20"/>
            <w:lang w:val="es-ES_tradnl"/>
          </w:rPr>
          <w:t>la Presidencia</w:t>
        </w:r>
      </w:smartTag>
      <w:r>
        <w:rPr>
          <w:szCs w:val="20"/>
          <w:lang w:val="es-ES_tradnl"/>
        </w:rPr>
        <w:t xml:space="preserve">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(en adel</w:t>
      </w:r>
      <w:r>
        <w:rPr>
          <w:szCs w:val="20"/>
          <w:lang w:val="es-ES_tradnl"/>
        </w:rPr>
        <w:t>ante “</w:t>
      </w:r>
      <w:smartTag w:uri="urn:schemas-microsoft-com:office:smarttags" w:element="PersonName">
        <w:smartTagPr>
          <w:attr w:name="ProductID" w:val="la Presidencia"/>
        </w:smartTagPr>
        <w:r>
          <w:rPr>
            <w:szCs w:val="20"/>
            <w:lang w:val="es-ES_tradnl"/>
          </w:rPr>
          <w:t>la Presidencia</w:t>
        </w:r>
      </w:smartTag>
      <w:r>
        <w:rPr>
          <w:szCs w:val="20"/>
          <w:lang w:val="es-ES_tradnl"/>
        </w:rPr>
        <w:t>”), recordó al Estado que, de conformidad con lo dispuesto en el artículo 59.4 del Reglamento, “[l]a demanda de interpretación no suspende la ejecución de la Sentencia”</w:t>
      </w:r>
      <w:r>
        <w:rPr>
          <w:rStyle w:val="Refdenotaalpie"/>
          <w:szCs w:val="20"/>
          <w:lang w:val="es-ES_tradnl"/>
        </w:rPr>
        <w:footnoteReference w:id="3"/>
      </w:r>
      <w:r>
        <w:rPr>
          <w:szCs w:val="20"/>
          <w:lang w:val="es-ES_tradnl"/>
        </w:rPr>
        <w:t>.</w:t>
      </w:r>
      <w:r>
        <w:rPr>
          <w:b/>
          <w:szCs w:val="20"/>
          <w:lang w:val="es-ES_tradnl"/>
        </w:rPr>
        <w:t xml:space="preserve"> </w:t>
      </w:r>
      <w:r>
        <w:rPr>
          <w:szCs w:val="20"/>
          <w:lang w:val="es-ES_tradnl"/>
        </w:rPr>
        <w:t>El 27 de febrero de 2008 se recibió el original de la demanda con</w:t>
      </w:r>
      <w:r>
        <w:rPr>
          <w:szCs w:val="20"/>
          <w:lang w:val="es-ES_tradnl"/>
        </w:rPr>
        <w:t xml:space="preserve"> una nota en la que se indicaba que “el Estado Ecuatoriano […] no acepta el arbitraje [… y que e]n su lugar, […] </w:t>
      </w:r>
      <w:proofErr w:type="gramStart"/>
      <w:r>
        <w:rPr>
          <w:szCs w:val="20"/>
          <w:lang w:val="es-ES_tradnl"/>
        </w:rPr>
        <w:t>ofrec[</w:t>
      </w:r>
      <w:proofErr w:type="gramEnd"/>
      <w:r>
        <w:rPr>
          <w:szCs w:val="20"/>
          <w:lang w:val="es-ES_tradnl"/>
        </w:rPr>
        <w:t xml:space="preserve">ía] un proceso de mediación en el centro independiente y especializado con que cuenta </w:t>
      </w:r>
      <w:smartTag w:uri="urn:schemas-microsoft-com:office:smarttags" w:element="PersonName">
        <w:smartTagPr>
          <w:attr w:name="ProductID" w:val="la Procuraduría General"/>
        </w:smartTagPr>
        <w:r>
          <w:rPr>
            <w:szCs w:val="20"/>
            <w:lang w:val="es-ES_tradnl"/>
          </w:rPr>
          <w:t>la Procuraduría General</w:t>
        </w:r>
      </w:smartTag>
      <w:r>
        <w:rPr>
          <w:szCs w:val="20"/>
          <w:lang w:val="es-ES_tradnl"/>
        </w:rPr>
        <w:t xml:space="preserve"> del Estado”.</w:t>
      </w:r>
      <w:r>
        <w:rPr>
          <w:b/>
          <w:szCs w:val="20"/>
          <w:lang w:val="es-ES_tradnl"/>
        </w:rPr>
        <w:t xml:space="preserve"> </w:t>
      </w:r>
    </w:p>
    <w:p w:rsidR="00000000" w:rsidRDefault="004721A5">
      <w:pPr>
        <w:spacing w:before="120" w:after="120"/>
        <w:rPr>
          <w:szCs w:val="20"/>
          <w:lang w:val="es-ES_tradnl"/>
        </w:rPr>
      </w:pPr>
      <w:r>
        <w:rPr>
          <w:szCs w:val="20"/>
          <w:lang w:val="es-ES_tradnl"/>
        </w:rPr>
        <w:t>2.</w:t>
      </w:r>
      <w:r>
        <w:rPr>
          <w:szCs w:val="20"/>
          <w:lang w:val="es-ES_tradnl"/>
        </w:rPr>
        <w:tab/>
        <w:t>El 13 de f</w:t>
      </w:r>
      <w:r>
        <w:rPr>
          <w:szCs w:val="20"/>
          <w:lang w:val="es-ES_tradnl"/>
        </w:rPr>
        <w:t xml:space="preserve">ebrero de 2008 los representantes de las víctimas (en adelante “los representantes”) presentaron una comunicación mediante la cual alegaron una supuesta falta de voluntad del Estado para ejecutar </w:t>
      </w:r>
      <w:smartTag w:uri="urn:schemas-microsoft-com:office:smarttags" w:element="PersonName">
        <w:smartTagPr>
          <w:attr w:name="ProductID" w:val="la Sentencia"/>
        </w:smartTagPr>
        <w:r>
          <w:rPr>
            <w:szCs w:val="20"/>
            <w:lang w:val="es-ES_tradnl"/>
          </w:rPr>
          <w:t>la Sentencia</w:t>
        </w:r>
      </w:smartTag>
      <w:r>
        <w:rPr>
          <w:szCs w:val="20"/>
          <w:lang w:val="es-ES_tradnl"/>
        </w:rPr>
        <w:t>, en el sentido de que se estaría negando a part</w:t>
      </w:r>
      <w:r>
        <w:rPr>
          <w:szCs w:val="20"/>
          <w:lang w:val="es-ES_tradnl"/>
        </w:rPr>
        <w:t xml:space="preserve">icipar en el arbitraje ordenado. </w:t>
      </w:r>
    </w:p>
    <w:p w:rsidR="00000000" w:rsidRDefault="004721A5">
      <w:pPr>
        <w:spacing w:before="120" w:after="120"/>
        <w:rPr>
          <w:szCs w:val="20"/>
          <w:lang w:val="es-ES_tradnl"/>
        </w:rPr>
      </w:pPr>
      <w:r>
        <w:rPr>
          <w:szCs w:val="20"/>
          <w:lang w:val="es-ES_tradnl"/>
        </w:rPr>
        <w:t>3.</w:t>
      </w:r>
      <w:r>
        <w:rPr>
          <w:szCs w:val="20"/>
          <w:lang w:val="es-ES_tradnl"/>
        </w:rPr>
        <w:tab/>
        <w:t xml:space="preserve">El 18 de febrero de 2008 el Agente Alterno del Estado manifestó que “el Estado ecuatoriano se ve en la imposibilidad legal de cumplir con una obligación internacional contraria a la naturaleza del arbitraje”. </w:t>
      </w:r>
    </w:p>
    <w:p w:rsidR="00000000" w:rsidRDefault="004721A5">
      <w:pPr>
        <w:spacing w:before="120" w:after="120"/>
        <w:rPr>
          <w:szCs w:val="20"/>
          <w:lang w:val="es-ES_tradnl"/>
        </w:rPr>
      </w:pPr>
      <w:r>
        <w:rPr>
          <w:szCs w:val="20"/>
          <w:lang w:val="es-ES_tradnl"/>
        </w:rPr>
        <w:t>4.</w:t>
      </w:r>
      <w:r>
        <w:rPr>
          <w:szCs w:val="20"/>
          <w:lang w:val="es-ES_tradnl"/>
        </w:rPr>
        <w:tab/>
        <w:t xml:space="preserve">El 13 </w:t>
      </w:r>
      <w:r>
        <w:rPr>
          <w:szCs w:val="20"/>
          <w:lang w:val="es-ES_tradnl"/>
        </w:rPr>
        <w:t xml:space="preserve">de marzo de 2008 </w:t>
      </w:r>
      <w:smartTag w:uri="urn:schemas-microsoft-com:office:smarttags" w:element="PersonName">
        <w:smartTagPr>
          <w:attr w:name="ProductID" w:val="la Secretaría"/>
        </w:smartTagPr>
        <w:r>
          <w:rPr>
            <w:szCs w:val="20"/>
            <w:lang w:val="es-ES_tradnl"/>
          </w:rPr>
          <w:t>la Secretaría</w:t>
        </w:r>
      </w:smartTag>
      <w:r>
        <w:rPr>
          <w:szCs w:val="20"/>
          <w:lang w:val="es-ES_tradnl"/>
        </w:rPr>
        <w:t xml:space="preserve">, siguiendo instrucciones de </w:t>
      </w:r>
      <w:smartTag w:uri="urn:schemas-microsoft-com:office:smarttags" w:element="PersonName">
        <w:smartTagPr>
          <w:attr w:name="ProductID" w:val="la Presidencia"/>
        </w:smartTagPr>
        <w:r>
          <w:rPr>
            <w:szCs w:val="20"/>
            <w:lang w:val="es-ES_tradnl"/>
          </w:rPr>
          <w:t>la Presidencia</w:t>
        </w:r>
      </w:smartTag>
      <w:r>
        <w:rPr>
          <w:szCs w:val="20"/>
          <w:lang w:val="es-ES_tradnl"/>
        </w:rPr>
        <w:t xml:space="preserve">, solicitó al Ministerio de Relaciones Exteriores y a </w:t>
      </w:r>
      <w:smartTag w:uri="urn:schemas-microsoft-com:office:smarttags" w:element="PersonName">
        <w:smartTagPr>
          <w:attr w:name="ProductID" w:val="la Misión Permanente"/>
        </w:smartTagPr>
        <w:r>
          <w:rPr>
            <w:szCs w:val="20"/>
            <w:lang w:val="es-ES_tradnl"/>
          </w:rPr>
          <w:t>la Misión Permanente</w:t>
        </w:r>
      </w:smartTag>
      <w:r>
        <w:rPr>
          <w:szCs w:val="20"/>
          <w:lang w:val="es-ES_tradnl"/>
        </w:rPr>
        <w:t xml:space="preserve"> del Ecuador ante </w:t>
      </w:r>
      <w:smartTag w:uri="urn:schemas-microsoft-com:office:smarttags" w:element="PersonName">
        <w:smartTagPr>
          <w:attr w:name="ProductID" w:val="la OEA"/>
        </w:smartTagPr>
        <w:r>
          <w:rPr>
            <w:szCs w:val="20"/>
            <w:lang w:val="es-ES_tradnl"/>
          </w:rPr>
          <w:t>la OEA</w:t>
        </w:r>
      </w:smartTag>
      <w:r>
        <w:rPr>
          <w:szCs w:val="20"/>
          <w:lang w:val="es-ES_tradnl"/>
        </w:rPr>
        <w:t xml:space="preserve"> que, a más tardar el 27 de marzo de 2008, confirmaran si lo expresado por los Agente</w:t>
      </w:r>
      <w:r>
        <w:rPr>
          <w:szCs w:val="20"/>
          <w:lang w:val="es-ES_tradnl"/>
        </w:rPr>
        <w:t xml:space="preserve">s del Estado era “la posición oficial del Ilustrado Estado del Ecuador respecto al cumplimiento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emitida por el Tribunal en el presente caso”. El 2 de abril de 2008 el Estado “ratific[ó] su posición de no reconocer la constitución de un trib</w:t>
      </w:r>
      <w:r>
        <w:rPr>
          <w:szCs w:val="20"/>
          <w:lang w:val="es-ES_tradnl"/>
        </w:rPr>
        <w:t xml:space="preserve">unal arbitral”. </w:t>
      </w:r>
    </w:p>
    <w:p w:rsidR="00000000" w:rsidRDefault="004721A5">
      <w:pPr>
        <w:spacing w:before="120" w:after="120"/>
        <w:rPr>
          <w:szCs w:val="20"/>
          <w:lang w:val="es-ES_tradnl"/>
        </w:rPr>
      </w:pPr>
      <w:r>
        <w:rPr>
          <w:szCs w:val="20"/>
          <w:lang w:val="es-ES_tradnl"/>
        </w:rPr>
        <w:t>5.</w:t>
      </w:r>
      <w:r>
        <w:rPr>
          <w:szCs w:val="20"/>
          <w:lang w:val="es-ES_tradnl"/>
        </w:rPr>
        <w:tab/>
        <w:t xml:space="preserve">El 10 de abril de 2008, de conformidad con lo dispuesto en el artículo 59.2 del Reglamento y siguiendo instrucciones de </w:t>
      </w:r>
      <w:smartTag w:uri="urn:schemas-microsoft-com:office:smarttags" w:element="PersonName">
        <w:smartTagPr>
          <w:attr w:name="ProductID" w:val="la Presidencia"/>
        </w:smartTagPr>
        <w:r>
          <w:rPr>
            <w:szCs w:val="20"/>
            <w:lang w:val="es-ES_tradnl"/>
          </w:rPr>
          <w:t>la Presidencia</w:t>
        </w:r>
      </w:smartTag>
      <w:r>
        <w:rPr>
          <w:szCs w:val="20"/>
          <w:lang w:val="es-ES_tradnl"/>
        </w:rPr>
        <w:t xml:space="preserve">, </w:t>
      </w:r>
      <w:smartTag w:uri="urn:schemas-microsoft-com:office:smarttags" w:element="PersonName">
        <w:smartTagPr>
          <w:attr w:name="ProductID" w:val="la Secretaría"/>
        </w:smartTagPr>
        <w:r>
          <w:rPr>
            <w:szCs w:val="20"/>
            <w:lang w:val="es-ES_tradnl"/>
          </w:rPr>
          <w:t>la Secretaría</w:t>
        </w:r>
      </w:smartTag>
      <w:r>
        <w:rPr>
          <w:szCs w:val="20"/>
          <w:lang w:val="es-ES_tradnl"/>
        </w:rPr>
        <w:t xml:space="preserve"> transmitió copia de la demanda de interpretación, así como de los demás escritos del E</w:t>
      </w:r>
      <w:r>
        <w:rPr>
          <w:szCs w:val="20"/>
          <w:lang w:val="es-ES_tradnl"/>
        </w:rPr>
        <w:t xml:space="preserve">stado y notas de Secretaría, a </w:t>
      </w:r>
      <w:smartTag w:uri="urn:schemas-microsoft-com:office:smarttags" w:element="PersonName">
        <w:smartTagPr>
          <w:attr w:name="ProductID" w:val="la Comisión Interamericana"/>
        </w:smartTagPr>
        <w:r>
          <w:rPr>
            <w:szCs w:val="20"/>
            <w:lang w:val="es-ES_tradnl"/>
          </w:rPr>
          <w:t>la Comisión Interamericana</w:t>
        </w:r>
      </w:smartTag>
      <w:r>
        <w:rPr>
          <w:szCs w:val="20"/>
          <w:lang w:val="es-ES_tradnl"/>
        </w:rPr>
        <w:t xml:space="preserve"> de Derechos Humanos (en adelante “</w:t>
      </w:r>
      <w:smartTag w:uri="urn:schemas-microsoft-com:office:smarttags" w:element="PersonName">
        <w:smartTagPr>
          <w:attr w:name="ProductID" w:val="la Comisión"/>
        </w:smartTagPr>
        <w:r>
          <w:rPr>
            <w:szCs w:val="20"/>
            <w:lang w:val="es-ES_tradnl"/>
          </w:rPr>
          <w:t>la Comisión</w:t>
        </w:r>
      </w:smartTag>
      <w:r>
        <w:rPr>
          <w:szCs w:val="20"/>
          <w:lang w:val="es-ES_tradnl"/>
        </w:rPr>
        <w:t>”) y a los representantes, y les comunicó que contaban con un plazo improrrogable hasta el 12 de mayo de 2008 para que presentaran las alegaciones escrit</w:t>
      </w:r>
      <w:r>
        <w:rPr>
          <w:szCs w:val="20"/>
          <w:lang w:val="es-ES_tradnl"/>
        </w:rPr>
        <w:t xml:space="preserve">as que estimaren pertinentes. El 7 de mayo de 2008 el Estado remitió un nuevo oficio con la “confirmación de la posición estatal respecto a la orden de constitución de un tribunal arbitral”. El 9 de mayo de 2008 </w:t>
      </w:r>
      <w:smartTag w:uri="urn:schemas-microsoft-com:office:smarttags" w:element="PersonName">
        <w:smartTagPr>
          <w:attr w:name="ProductID" w:val="la Corte"/>
        </w:smartTagPr>
        <w:r>
          <w:rPr>
            <w:szCs w:val="20"/>
            <w:lang w:val="es-ES_tradnl"/>
          </w:rPr>
          <w:t>la Corte</w:t>
        </w:r>
      </w:smartTag>
      <w:r>
        <w:rPr>
          <w:szCs w:val="20"/>
          <w:lang w:val="es-ES_tradnl"/>
        </w:rPr>
        <w:t xml:space="preserve"> remitió dicho oficio a </w:t>
      </w:r>
      <w:smartTag w:uri="urn:schemas-microsoft-com:office:smarttags" w:element="PersonName">
        <w:smartTagPr>
          <w:attr w:name="ProductID" w:val="la Comisión"/>
        </w:smartTagPr>
        <w:r>
          <w:rPr>
            <w:szCs w:val="20"/>
            <w:lang w:val="es-ES_tradnl"/>
          </w:rPr>
          <w:t>la Comisión</w:t>
        </w:r>
      </w:smartTag>
      <w:r>
        <w:rPr>
          <w:szCs w:val="20"/>
          <w:lang w:val="es-ES_tradnl"/>
        </w:rPr>
        <w:t xml:space="preserve"> </w:t>
      </w:r>
      <w:r>
        <w:rPr>
          <w:szCs w:val="20"/>
          <w:lang w:val="es-ES_tradnl"/>
        </w:rPr>
        <w:t xml:space="preserve">y a los representantes, prorrogando hasta el 23 de mayo de 2008 el plazo para presentar sus observaciones a la demanda de interpretación. </w:t>
      </w:r>
    </w:p>
    <w:p w:rsidR="00000000" w:rsidRDefault="004721A5">
      <w:pPr>
        <w:spacing w:before="120" w:after="120"/>
        <w:rPr>
          <w:szCs w:val="20"/>
          <w:lang w:val="es-ES_tradnl"/>
        </w:rPr>
      </w:pPr>
      <w:r>
        <w:rPr>
          <w:szCs w:val="20"/>
          <w:lang w:val="es-ES_tradnl"/>
        </w:rPr>
        <w:t>6.</w:t>
      </w:r>
      <w:r>
        <w:rPr>
          <w:szCs w:val="20"/>
          <w:lang w:val="es-ES_tradnl"/>
        </w:rPr>
        <w:tab/>
        <w:t xml:space="preserve">El 23 de mayo de 2008 los representantes y </w:t>
      </w:r>
      <w:smartTag w:uri="urn:schemas-microsoft-com:office:smarttags" w:element="PersonName">
        <w:smartTagPr>
          <w:attr w:name="ProductID" w:val="la Comisión"/>
        </w:smartTagPr>
        <w:r>
          <w:rPr>
            <w:szCs w:val="20"/>
            <w:lang w:val="es-ES_tradnl"/>
          </w:rPr>
          <w:t>la Comisión</w:t>
        </w:r>
      </w:smartTag>
      <w:r>
        <w:rPr>
          <w:szCs w:val="20"/>
          <w:lang w:val="es-ES_tradnl"/>
        </w:rPr>
        <w:t xml:space="preserve"> presentaron las referidas alegaciones escritas. </w:t>
      </w:r>
    </w:p>
    <w:p w:rsidR="00000000" w:rsidRDefault="004721A5">
      <w:pPr>
        <w:pStyle w:val="Lneadereferencia"/>
        <w:spacing w:before="120" w:after="120"/>
        <w:ind w:right="738"/>
        <w:jc w:val="center"/>
        <w:rPr>
          <w:rFonts w:ascii="Verdana" w:hAnsi="Verdana"/>
          <w:b/>
          <w:lang w:val="es-ES_tradnl"/>
        </w:rPr>
      </w:pPr>
    </w:p>
    <w:p w:rsidR="00000000" w:rsidRDefault="004721A5">
      <w:pPr>
        <w:pStyle w:val="Lneadereferencia"/>
        <w:jc w:val="center"/>
        <w:rPr>
          <w:rFonts w:ascii="Verdana" w:hAnsi="Verdana"/>
          <w:b/>
          <w:lang w:val="es-ES_tradnl"/>
        </w:rPr>
      </w:pPr>
      <w:r>
        <w:rPr>
          <w:rFonts w:ascii="Verdana" w:hAnsi="Verdana"/>
          <w:b/>
          <w:lang w:val="es-ES_tradnl"/>
        </w:rPr>
        <w:t>II</w:t>
      </w:r>
    </w:p>
    <w:p w:rsidR="00000000" w:rsidRDefault="004721A5">
      <w:pPr>
        <w:pStyle w:val="Lneadereferencia"/>
        <w:jc w:val="center"/>
        <w:rPr>
          <w:rFonts w:ascii="Verdana" w:hAnsi="Verdana"/>
          <w:b/>
          <w:lang w:val="es-ES_tradnl"/>
        </w:rPr>
      </w:pPr>
      <w:r>
        <w:rPr>
          <w:rFonts w:ascii="Verdana" w:hAnsi="Verdana"/>
          <w:b/>
          <w:lang w:val="es-ES_tradnl"/>
        </w:rPr>
        <w:t>Compet</w:t>
      </w:r>
      <w:r>
        <w:rPr>
          <w:rFonts w:ascii="Verdana" w:hAnsi="Verdana"/>
          <w:b/>
          <w:lang w:val="es-ES_tradnl"/>
        </w:rPr>
        <w:t xml:space="preserve">encia y Composición de </w:t>
      </w:r>
      <w:smartTag w:uri="urn:schemas-microsoft-com:office:smarttags" w:element="PersonName">
        <w:smartTagPr>
          <w:attr w:name="ProductID" w:val="la Corte"/>
        </w:smartTagPr>
        <w:r>
          <w:rPr>
            <w:rFonts w:ascii="Verdana" w:hAnsi="Verdana"/>
            <w:b/>
            <w:lang w:val="es-ES_tradnl"/>
          </w:rPr>
          <w:t>la Corte</w:t>
        </w:r>
      </w:smartTag>
    </w:p>
    <w:p w:rsidR="00000000" w:rsidRDefault="004721A5">
      <w:pPr>
        <w:pStyle w:val="Lneadereferencia"/>
        <w:jc w:val="center"/>
        <w:rPr>
          <w:rFonts w:ascii="Verdana" w:hAnsi="Verdana"/>
          <w:b/>
          <w:lang w:val="es-ES_tradnl"/>
        </w:rPr>
      </w:pPr>
    </w:p>
    <w:p w:rsidR="00000000" w:rsidRDefault="004721A5">
      <w:pPr>
        <w:spacing w:before="120" w:after="120"/>
        <w:rPr>
          <w:szCs w:val="20"/>
          <w:lang w:val="es-ES_tradnl"/>
        </w:rPr>
      </w:pPr>
      <w:r>
        <w:rPr>
          <w:szCs w:val="20"/>
          <w:lang w:val="es-ES_tradnl"/>
        </w:rPr>
        <w:t>7.</w:t>
      </w:r>
      <w:r>
        <w:rPr>
          <w:szCs w:val="20"/>
          <w:lang w:val="es-ES_tradnl"/>
        </w:rPr>
        <w:tab/>
        <w:t xml:space="preserve">El artículo 67 de </w:t>
      </w:r>
      <w:smartTag w:uri="urn:schemas-microsoft-com:office:smarttags" w:element="PersonName">
        <w:smartTagPr>
          <w:attr w:name="ProductID" w:val="la Convención"/>
        </w:smartTagPr>
        <w:r>
          <w:rPr>
            <w:szCs w:val="20"/>
            <w:lang w:val="es-ES_tradnl"/>
          </w:rPr>
          <w:t>la Convención</w:t>
        </w:r>
      </w:smartTag>
      <w:r>
        <w:rPr>
          <w:szCs w:val="20"/>
          <w:lang w:val="es-ES_tradnl"/>
        </w:rPr>
        <w:t xml:space="preserve"> establece que:</w:t>
      </w:r>
    </w:p>
    <w:p w:rsidR="00000000" w:rsidRDefault="004721A5">
      <w:pPr>
        <w:spacing w:before="120" w:after="120"/>
        <w:ind w:left="720" w:right="360"/>
        <w:rPr>
          <w:rFonts w:eastAsia="Times"/>
          <w:sz w:val="16"/>
          <w:szCs w:val="16"/>
          <w:lang w:val="es-ES_tradnl"/>
        </w:rPr>
      </w:pPr>
      <w:r>
        <w:rPr>
          <w:rFonts w:eastAsia="Times"/>
          <w:szCs w:val="20"/>
          <w:lang w:val="es-ES_tradnl"/>
        </w:rPr>
        <w:t>[</w:t>
      </w:r>
      <w:proofErr w:type="gramStart"/>
      <w:r>
        <w:rPr>
          <w:rFonts w:eastAsia="Times"/>
          <w:sz w:val="16"/>
          <w:szCs w:val="16"/>
          <w:lang w:val="es-ES_tradnl"/>
        </w:rPr>
        <w:t>e]</w:t>
      </w:r>
      <w:proofErr w:type="gramEnd"/>
      <w:r>
        <w:rPr>
          <w:rFonts w:eastAsia="Times"/>
          <w:sz w:val="16"/>
          <w:szCs w:val="16"/>
          <w:lang w:val="es-ES_tradnl"/>
        </w:rPr>
        <w:t xml:space="preserve">l fallo de </w:t>
      </w:r>
      <w:smartTag w:uri="urn:schemas-microsoft-com:office:smarttags" w:element="PersonName">
        <w:smartTagPr>
          <w:attr w:name="ProductID" w:val="la Corte"/>
        </w:smartTagPr>
        <w:r>
          <w:rPr>
            <w:rFonts w:eastAsia="Times"/>
            <w:sz w:val="16"/>
            <w:szCs w:val="16"/>
            <w:lang w:val="es-ES_tradnl"/>
          </w:rPr>
          <w:t>la Corte</w:t>
        </w:r>
      </w:smartTag>
      <w:r>
        <w:rPr>
          <w:rFonts w:eastAsia="Times"/>
          <w:sz w:val="16"/>
          <w:szCs w:val="16"/>
          <w:lang w:val="es-ES_tradnl"/>
        </w:rPr>
        <w:t xml:space="preserve"> será definitivo e inapelable. En caso de desacuerdo sobre el sentido o alcance del fallo, </w:t>
      </w:r>
      <w:smartTag w:uri="urn:schemas-microsoft-com:office:smarttags" w:element="PersonName">
        <w:smartTagPr>
          <w:attr w:name="ProductID" w:val="la Corte"/>
        </w:smartTagPr>
        <w:r>
          <w:rPr>
            <w:rFonts w:eastAsia="Times"/>
            <w:sz w:val="16"/>
            <w:szCs w:val="16"/>
            <w:lang w:val="es-ES_tradnl"/>
          </w:rPr>
          <w:t>la Corte</w:t>
        </w:r>
      </w:smartTag>
      <w:r>
        <w:rPr>
          <w:rFonts w:eastAsia="Times"/>
          <w:sz w:val="16"/>
          <w:szCs w:val="16"/>
          <w:lang w:val="es-ES_tradnl"/>
        </w:rPr>
        <w:t xml:space="preserve"> lo interpretará a solicitud de cualquiera de las pa</w:t>
      </w:r>
      <w:r>
        <w:rPr>
          <w:rFonts w:eastAsia="Times"/>
          <w:sz w:val="16"/>
          <w:szCs w:val="16"/>
          <w:lang w:val="es-ES_tradnl"/>
        </w:rPr>
        <w:t>rtes, siempre que dicha solicitud se presente dentro de los noventa días a partir de la fecha de la notificación del fallo.</w:t>
      </w:r>
    </w:p>
    <w:p w:rsidR="00000000" w:rsidRDefault="004721A5">
      <w:pPr>
        <w:spacing w:before="120" w:after="120"/>
        <w:rPr>
          <w:szCs w:val="20"/>
          <w:lang w:val="es-ES_tradnl"/>
        </w:rPr>
      </w:pPr>
      <w:r>
        <w:rPr>
          <w:szCs w:val="20"/>
          <w:lang w:val="es-ES_tradnl"/>
        </w:rPr>
        <w:t>8.</w:t>
      </w:r>
      <w:r>
        <w:rPr>
          <w:szCs w:val="20"/>
          <w:lang w:val="es-ES_tradnl"/>
        </w:rPr>
        <w:tab/>
        <w:t xml:space="preserve">De conformidad con el artículo citado, </w:t>
      </w:r>
      <w:smartTag w:uri="urn:schemas-microsoft-com:office:smarttags" w:element="PersonName">
        <w:smartTagPr>
          <w:attr w:name="ProductID" w:val="la Corte"/>
        </w:smartTagPr>
        <w:r>
          <w:rPr>
            <w:szCs w:val="20"/>
            <w:lang w:val="es-ES_tradnl"/>
          </w:rPr>
          <w:t>la Corte</w:t>
        </w:r>
      </w:smartTag>
      <w:r>
        <w:rPr>
          <w:szCs w:val="20"/>
          <w:lang w:val="es-ES_tradnl"/>
        </w:rPr>
        <w:t xml:space="preserve"> es competente para interpretar sus fallos. Al realizar el examen de la demanda de</w:t>
      </w:r>
      <w:r>
        <w:rPr>
          <w:szCs w:val="20"/>
          <w:lang w:val="es-ES_tradnl"/>
        </w:rPr>
        <w:t xml:space="preserve"> interpretación, el Tribunal debe tener, de ser posible, la misma composición que tenía al dictar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respectiva (artículo 59.3 del Reglamento). En esta ocasión, </w:t>
      </w:r>
      <w:smartTag w:uri="urn:schemas-microsoft-com:office:smarttags" w:element="PersonName">
        <w:smartTagPr>
          <w:attr w:name="ProductID" w:val="la Corte"/>
        </w:smartTagPr>
        <w:r>
          <w:rPr>
            <w:szCs w:val="20"/>
            <w:lang w:val="es-ES_tradnl"/>
          </w:rPr>
          <w:t>la Corte</w:t>
        </w:r>
      </w:smartTag>
      <w:r>
        <w:rPr>
          <w:szCs w:val="20"/>
          <w:lang w:val="es-ES_tradnl"/>
        </w:rPr>
        <w:t xml:space="preserve"> se integra con los mismos jueces que profirieron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cuya interpret</w:t>
      </w:r>
      <w:r>
        <w:rPr>
          <w:szCs w:val="20"/>
          <w:lang w:val="es-ES_tradnl"/>
        </w:rPr>
        <w:t>ación ha sido solicitada.</w:t>
      </w:r>
    </w:p>
    <w:p w:rsidR="00000000" w:rsidRDefault="004721A5">
      <w:pPr>
        <w:spacing w:before="120" w:after="120"/>
        <w:ind w:right="720"/>
        <w:rPr>
          <w:b/>
          <w:szCs w:val="20"/>
          <w:lang w:val="es-ES_tradnl"/>
        </w:rPr>
      </w:pPr>
    </w:p>
    <w:p w:rsidR="00000000" w:rsidRDefault="004721A5">
      <w:pPr>
        <w:jc w:val="center"/>
        <w:rPr>
          <w:b/>
          <w:szCs w:val="20"/>
          <w:lang w:val="es-ES_tradnl"/>
        </w:rPr>
      </w:pPr>
      <w:r>
        <w:rPr>
          <w:b/>
          <w:szCs w:val="20"/>
          <w:lang w:val="es-ES_tradnl"/>
        </w:rPr>
        <w:t>III</w:t>
      </w:r>
    </w:p>
    <w:p w:rsidR="00000000" w:rsidRDefault="004721A5">
      <w:pPr>
        <w:jc w:val="center"/>
        <w:rPr>
          <w:b/>
          <w:szCs w:val="20"/>
          <w:lang w:val="es-ES_tradnl"/>
        </w:rPr>
      </w:pPr>
      <w:r>
        <w:rPr>
          <w:b/>
          <w:szCs w:val="20"/>
          <w:lang w:val="es-ES_tradnl"/>
        </w:rPr>
        <w:t>Admisibilidad</w:t>
      </w:r>
    </w:p>
    <w:p w:rsidR="00000000" w:rsidRDefault="004721A5">
      <w:pPr>
        <w:jc w:val="center"/>
        <w:rPr>
          <w:b/>
          <w:szCs w:val="20"/>
          <w:lang w:val="es-ES_tradnl"/>
        </w:rPr>
      </w:pPr>
    </w:p>
    <w:p w:rsidR="00000000" w:rsidRDefault="004721A5">
      <w:pPr>
        <w:spacing w:before="120" w:after="120"/>
        <w:rPr>
          <w:szCs w:val="20"/>
          <w:lang w:val="es-ES_tradnl"/>
        </w:rPr>
      </w:pPr>
      <w:r>
        <w:rPr>
          <w:smallCaps/>
          <w:szCs w:val="20"/>
          <w:lang w:val="es-ES_tradnl"/>
        </w:rPr>
        <w:t>9.</w:t>
      </w:r>
      <w:r>
        <w:rPr>
          <w:smallCaps/>
          <w:szCs w:val="20"/>
          <w:lang w:val="es-ES_tradnl"/>
        </w:rPr>
        <w:tab/>
      </w:r>
      <w:r>
        <w:rPr>
          <w:szCs w:val="20"/>
          <w:lang w:val="es-ES_tradnl"/>
        </w:rPr>
        <w:t xml:space="preserve">Corresponde a </w:t>
      </w:r>
      <w:smartTag w:uri="urn:schemas-microsoft-com:office:smarttags" w:element="PersonName">
        <w:smartTagPr>
          <w:attr w:name="ProductID" w:val="la Corte"/>
        </w:smartTagPr>
        <w:r>
          <w:rPr>
            <w:szCs w:val="20"/>
            <w:lang w:val="es-ES_tradnl"/>
          </w:rPr>
          <w:t>la Corte</w:t>
        </w:r>
      </w:smartTag>
      <w:r>
        <w:rPr>
          <w:szCs w:val="20"/>
          <w:lang w:val="es-ES_tradnl"/>
        </w:rPr>
        <w:t xml:space="preserve"> verificar si los términos de la demanda de interpretación satisfacen los requisitos establecidos en las normas aplicables, a saber, el artículo 67 de </w:t>
      </w:r>
      <w:smartTag w:uri="urn:schemas-microsoft-com:office:smarttags" w:element="PersonName">
        <w:smartTagPr>
          <w:attr w:name="ProductID" w:val="la Convención"/>
        </w:smartTagPr>
        <w:r>
          <w:rPr>
            <w:szCs w:val="20"/>
            <w:lang w:val="es-ES_tradnl"/>
          </w:rPr>
          <w:t>la Convención</w:t>
        </w:r>
      </w:smartTag>
      <w:r>
        <w:rPr>
          <w:szCs w:val="20"/>
          <w:lang w:val="es-ES_tradnl"/>
        </w:rPr>
        <w:t xml:space="preserve"> y los artículos 29.3</w:t>
      </w:r>
      <w:r>
        <w:rPr>
          <w:szCs w:val="20"/>
          <w:lang w:val="es-ES_tradnl"/>
        </w:rPr>
        <w:t xml:space="preserve"> y 59 del Reglamento.</w:t>
      </w:r>
    </w:p>
    <w:p w:rsidR="00000000" w:rsidRDefault="004721A5">
      <w:pPr>
        <w:spacing w:before="120" w:after="120"/>
        <w:rPr>
          <w:szCs w:val="20"/>
          <w:lang w:val="es-ES_tradnl"/>
        </w:rPr>
      </w:pPr>
      <w:r>
        <w:rPr>
          <w:szCs w:val="20"/>
          <w:lang w:val="es-ES_tradnl"/>
        </w:rPr>
        <w:t>10.</w:t>
      </w:r>
      <w:r>
        <w:rPr>
          <w:szCs w:val="20"/>
          <w:lang w:val="es-ES_tradnl"/>
        </w:rPr>
        <w:tab/>
      </w:r>
      <w:smartTag w:uri="urn:schemas-microsoft-com:office:smarttags" w:element="PersonName">
        <w:smartTagPr>
          <w:attr w:name="ProductID" w:val="la Corte"/>
        </w:smartTagPr>
        <w:r>
          <w:rPr>
            <w:szCs w:val="20"/>
            <w:lang w:val="es-ES_tradnl"/>
          </w:rPr>
          <w:t>La Corte</w:t>
        </w:r>
      </w:smartTag>
      <w:r>
        <w:rPr>
          <w:szCs w:val="20"/>
          <w:lang w:val="es-ES_tradnl"/>
        </w:rPr>
        <w:t xml:space="preserve"> constata que el Estado interpuso la demanda de interpretación dentro del plazo establecido en el artículo 67 de </w:t>
      </w:r>
      <w:smartTag w:uri="urn:schemas-microsoft-com:office:smarttags" w:element="PersonName">
        <w:smartTagPr>
          <w:attr w:name="ProductID" w:val="la Convención"/>
        </w:smartTagPr>
        <w:r>
          <w:rPr>
            <w:szCs w:val="20"/>
            <w:lang w:val="es-ES_tradnl"/>
          </w:rPr>
          <w:t>la Convención</w:t>
        </w:r>
      </w:smartTag>
      <w:r>
        <w:rPr>
          <w:szCs w:val="20"/>
          <w:lang w:val="es-ES_tradnl"/>
        </w:rPr>
        <w:t xml:space="preserve">, toda vez que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fue notificada al Estado el 18 de diciembre de 2007. </w:t>
      </w:r>
    </w:p>
    <w:p w:rsidR="00000000" w:rsidRDefault="004721A5">
      <w:pPr>
        <w:spacing w:before="120" w:after="120"/>
        <w:rPr>
          <w:szCs w:val="20"/>
          <w:lang w:val="es-ES_tradnl"/>
        </w:rPr>
      </w:pPr>
      <w:r>
        <w:rPr>
          <w:szCs w:val="20"/>
          <w:lang w:val="es-ES_tradnl"/>
        </w:rPr>
        <w:t>11.</w:t>
      </w:r>
      <w:r>
        <w:rPr>
          <w:szCs w:val="20"/>
          <w:lang w:val="es-ES_tradnl"/>
        </w:rPr>
        <w:tab/>
        <w:t>El artícul</w:t>
      </w:r>
      <w:r>
        <w:rPr>
          <w:szCs w:val="20"/>
          <w:lang w:val="es-ES_tradnl"/>
        </w:rPr>
        <w:t xml:space="preserve">o 29.3 del Reglamento establece que “[c]ontra las sentencias y resoluciones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no procede ningún medio de impugnación”.</w:t>
      </w:r>
    </w:p>
    <w:p w:rsidR="00000000" w:rsidRDefault="004721A5">
      <w:pPr>
        <w:spacing w:before="120" w:after="120"/>
        <w:rPr>
          <w:szCs w:val="20"/>
          <w:lang w:val="es-ES_tradnl"/>
        </w:rPr>
      </w:pPr>
      <w:r>
        <w:rPr>
          <w:szCs w:val="20"/>
          <w:lang w:val="es-ES_tradnl"/>
        </w:rPr>
        <w:t>12.</w:t>
      </w:r>
      <w:r>
        <w:rPr>
          <w:szCs w:val="20"/>
          <w:lang w:val="es-ES_tradnl"/>
        </w:rPr>
        <w:tab/>
        <w:t>El artículo 59 del Reglamento dispone, en lo pertinente, que:</w:t>
      </w:r>
    </w:p>
    <w:p w:rsidR="00000000" w:rsidRDefault="004721A5">
      <w:pPr>
        <w:tabs>
          <w:tab w:val="left" w:pos="1080"/>
        </w:tabs>
        <w:spacing w:before="120" w:after="120"/>
        <w:ind w:left="720" w:right="360"/>
        <w:rPr>
          <w:sz w:val="16"/>
          <w:szCs w:val="16"/>
          <w:lang w:val="es-ES_tradnl"/>
        </w:rPr>
      </w:pPr>
      <w:r>
        <w:rPr>
          <w:sz w:val="16"/>
          <w:szCs w:val="16"/>
          <w:lang w:val="es-ES_tradnl"/>
        </w:rPr>
        <w:t>1.</w:t>
      </w:r>
      <w:r>
        <w:rPr>
          <w:sz w:val="16"/>
          <w:szCs w:val="16"/>
          <w:lang w:val="es-ES_tradnl"/>
        </w:rPr>
        <w:tab/>
        <w:t xml:space="preserve">La demanda de interpretación a que se refiere el artículo </w:t>
      </w:r>
      <w:r>
        <w:rPr>
          <w:sz w:val="16"/>
          <w:szCs w:val="16"/>
          <w:lang w:val="es-ES_tradnl"/>
        </w:rPr>
        <w:t xml:space="preserve">67 de </w:t>
      </w:r>
      <w:smartTag w:uri="urn:schemas-microsoft-com:office:smarttags" w:element="PersonName">
        <w:smartTagPr>
          <w:attr w:name="ProductID" w:val="la Convención"/>
        </w:smartTagPr>
        <w:r>
          <w:rPr>
            <w:sz w:val="16"/>
            <w:szCs w:val="16"/>
            <w:lang w:val="es-ES_tradnl"/>
          </w:rPr>
          <w:t>la Convención</w:t>
        </w:r>
      </w:smartTag>
      <w:r>
        <w:rPr>
          <w:sz w:val="16"/>
          <w:szCs w:val="16"/>
          <w:lang w:val="es-ES_tradnl"/>
        </w:rPr>
        <w:t xml:space="preserve"> podrá promoverse en relación con las sentencias de fondo o de reparaciones y se presentará en </w:t>
      </w:r>
      <w:smartTag w:uri="urn:schemas-microsoft-com:office:smarttags" w:element="PersonName">
        <w:smartTagPr>
          <w:attr w:name="ProductID" w:val="la Secretaría"/>
        </w:smartTagPr>
        <w:r>
          <w:rPr>
            <w:sz w:val="16"/>
            <w:szCs w:val="16"/>
            <w:lang w:val="es-ES_tradnl"/>
          </w:rPr>
          <w:t>la Secretaría</w:t>
        </w:r>
      </w:smartTag>
      <w:r>
        <w:rPr>
          <w:sz w:val="16"/>
          <w:szCs w:val="16"/>
          <w:lang w:val="es-ES_tradnl"/>
        </w:rPr>
        <w:t xml:space="preserve"> de </w:t>
      </w:r>
      <w:smartTag w:uri="urn:schemas-microsoft-com:office:smarttags" w:element="PersonName">
        <w:smartTagPr>
          <w:attr w:name="ProductID" w:val="la Corte"/>
        </w:smartTagPr>
        <w:r>
          <w:rPr>
            <w:sz w:val="16"/>
            <w:szCs w:val="16"/>
            <w:lang w:val="es-ES_tradnl"/>
          </w:rPr>
          <w:t>la Corte</w:t>
        </w:r>
      </w:smartTag>
      <w:r>
        <w:rPr>
          <w:sz w:val="16"/>
          <w:szCs w:val="16"/>
          <w:lang w:val="es-ES_tradnl"/>
        </w:rPr>
        <w:t xml:space="preserve"> indicándose en ella, con precisión, las cuestiones relativas al sentido o alcance de la sentencia cuya interpretació</w:t>
      </w:r>
      <w:r>
        <w:rPr>
          <w:sz w:val="16"/>
          <w:szCs w:val="16"/>
          <w:lang w:val="es-ES_tradnl"/>
        </w:rPr>
        <w:t>n se pida.</w:t>
      </w:r>
    </w:p>
    <w:p w:rsidR="00000000" w:rsidRDefault="004721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20" w:after="120"/>
        <w:ind w:left="720" w:right="360"/>
        <w:rPr>
          <w:sz w:val="16"/>
          <w:szCs w:val="16"/>
          <w:lang w:val="es-ES_tradnl" w:eastAsia="x-none" w:bidi="x-none"/>
        </w:rPr>
      </w:pPr>
      <w:r>
        <w:rPr>
          <w:sz w:val="16"/>
          <w:szCs w:val="16"/>
          <w:lang w:val="es-ES_tradnl" w:eastAsia="x-none" w:bidi="x-none"/>
        </w:rPr>
        <w:t>[…]</w:t>
      </w:r>
    </w:p>
    <w:p w:rsidR="00000000" w:rsidRDefault="004721A5">
      <w:pPr>
        <w:tabs>
          <w:tab w:val="left" w:pos="560"/>
          <w:tab w:val="left" w:pos="1080"/>
          <w:tab w:val="left" w:pos="1680"/>
          <w:tab w:val="left" w:pos="2240"/>
          <w:tab w:val="left" w:pos="2800"/>
          <w:tab w:val="left" w:pos="3360"/>
          <w:tab w:val="left" w:pos="3920"/>
          <w:tab w:val="left" w:pos="4480"/>
          <w:tab w:val="left" w:pos="5040"/>
          <w:tab w:val="left" w:pos="5600"/>
          <w:tab w:val="left" w:pos="6160"/>
          <w:tab w:val="left" w:pos="6720"/>
        </w:tabs>
        <w:autoSpaceDE w:val="0"/>
        <w:spacing w:before="120" w:after="120"/>
        <w:ind w:left="720" w:right="360"/>
        <w:rPr>
          <w:sz w:val="16"/>
          <w:szCs w:val="16"/>
          <w:lang w:val="es-ES_tradnl" w:eastAsia="x-none" w:bidi="x-none"/>
        </w:rPr>
      </w:pPr>
      <w:r>
        <w:rPr>
          <w:sz w:val="16"/>
          <w:szCs w:val="16"/>
          <w:lang w:val="es-ES_tradnl" w:eastAsia="x-none" w:bidi="x-none"/>
        </w:rPr>
        <w:t xml:space="preserve">4. </w:t>
      </w:r>
      <w:r>
        <w:rPr>
          <w:sz w:val="16"/>
          <w:szCs w:val="16"/>
          <w:lang w:val="es-ES_tradnl" w:eastAsia="x-none" w:bidi="x-none"/>
        </w:rPr>
        <w:tab/>
        <w:t>La demanda de interpretación no suspenderá la ejecución de la sentencia.</w:t>
      </w:r>
    </w:p>
    <w:p w:rsidR="00000000" w:rsidRDefault="004721A5">
      <w:pPr>
        <w:tabs>
          <w:tab w:val="left" w:pos="1080"/>
        </w:tabs>
        <w:spacing w:before="120" w:after="120"/>
        <w:ind w:left="720" w:right="360"/>
        <w:rPr>
          <w:sz w:val="16"/>
          <w:szCs w:val="16"/>
          <w:lang w:val="es-ES_tradnl" w:eastAsia="x-none" w:bidi="x-none"/>
        </w:rPr>
      </w:pPr>
      <w:r>
        <w:rPr>
          <w:sz w:val="16"/>
          <w:szCs w:val="16"/>
          <w:lang w:val="es-ES_tradnl" w:eastAsia="x-none" w:bidi="x-none"/>
        </w:rPr>
        <w:t>5.</w:t>
      </w:r>
      <w:r>
        <w:rPr>
          <w:sz w:val="16"/>
          <w:szCs w:val="16"/>
          <w:lang w:val="es-ES_tradnl" w:eastAsia="x-none" w:bidi="x-none"/>
        </w:rPr>
        <w:tab/>
      </w:r>
      <w:smartTag w:uri="urn:schemas-microsoft-com:office:smarttags" w:element="PersonName">
        <w:smartTagPr>
          <w:attr w:name="ProductID" w:val="la Corte"/>
        </w:smartTagPr>
        <w:r>
          <w:rPr>
            <w:sz w:val="16"/>
            <w:szCs w:val="16"/>
            <w:lang w:val="es-ES_tradnl" w:eastAsia="x-none" w:bidi="x-none"/>
          </w:rPr>
          <w:t>La Corte</w:t>
        </w:r>
      </w:smartTag>
      <w:r>
        <w:rPr>
          <w:sz w:val="16"/>
          <w:szCs w:val="16"/>
          <w:lang w:val="es-ES_tradnl" w:eastAsia="x-none" w:bidi="x-none"/>
        </w:rPr>
        <w:t xml:space="preserve"> determinará el procedimiento que se seguirá y resolverá mediante una sentencia.</w:t>
      </w:r>
    </w:p>
    <w:p w:rsidR="00000000" w:rsidRDefault="004721A5">
      <w:pPr>
        <w:spacing w:before="120" w:after="120"/>
        <w:rPr>
          <w:szCs w:val="20"/>
          <w:lang w:val="es-ES_tradnl"/>
        </w:rPr>
      </w:pPr>
      <w:r>
        <w:rPr>
          <w:szCs w:val="20"/>
          <w:lang w:val="es-ES_tradnl"/>
        </w:rPr>
        <w:t>13.</w:t>
      </w:r>
      <w:r>
        <w:rPr>
          <w:szCs w:val="20"/>
          <w:lang w:val="es-ES_tradnl"/>
        </w:rPr>
        <w:tab/>
        <w:t>Tal como lo ha dispuesto anteriormente este Tribunal</w:t>
      </w:r>
      <w:r>
        <w:rPr>
          <w:rStyle w:val="FootnoteCharacters"/>
          <w:szCs w:val="20"/>
          <w:lang w:val="es-ES_tradnl"/>
        </w:rPr>
        <w:footnoteReference w:id="4"/>
      </w:r>
      <w:r>
        <w:rPr>
          <w:szCs w:val="20"/>
          <w:lang w:val="es-ES_tradnl"/>
        </w:rPr>
        <w:t>, una demanda d</w:t>
      </w:r>
      <w:r>
        <w:rPr>
          <w:szCs w:val="20"/>
          <w:lang w:val="es-ES_tradnl"/>
        </w:rPr>
        <w:t>e interpretación de una sentencia no debe utilizarse como un medio de impugnación, sino únicamente debe tener como objeto desentrañar el sentido de un fallo cuando una de las partes sostiene que el texto de sus puntos resolutivos o de sus consideraciones c</w:t>
      </w:r>
      <w:r>
        <w:rPr>
          <w:szCs w:val="20"/>
          <w:lang w:val="es-ES_tradnl"/>
        </w:rPr>
        <w:t>arece de claridad o precisión, siempre y cuando esas consideraciones incidan en dicha parte resolutiva. Por ende, no se puede pedir la modificación o anulación de la sentencia respectiva a través de una demanda de interpretación.</w:t>
      </w:r>
    </w:p>
    <w:p w:rsidR="00000000" w:rsidRDefault="004721A5">
      <w:pPr>
        <w:widowControl/>
        <w:tabs>
          <w:tab w:val="num" w:pos="720"/>
        </w:tabs>
        <w:suppressAutoHyphens w:val="0"/>
        <w:spacing w:before="120" w:after="120"/>
        <w:rPr>
          <w:szCs w:val="20"/>
          <w:lang w:val="es-ES_tradnl"/>
        </w:rPr>
      </w:pPr>
      <w:r>
        <w:rPr>
          <w:szCs w:val="20"/>
          <w:lang w:val="es-ES_tradnl"/>
        </w:rPr>
        <w:t>14.</w:t>
      </w:r>
      <w:r>
        <w:rPr>
          <w:szCs w:val="20"/>
          <w:lang w:val="es-ES_tradnl"/>
        </w:rPr>
        <w:tab/>
        <w:t>Considerando los térmi</w:t>
      </w:r>
      <w:r>
        <w:rPr>
          <w:szCs w:val="20"/>
          <w:lang w:val="es-ES_tradnl"/>
        </w:rPr>
        <w:t xml:space="preserve">nos en que fueron planteados la demanda y los demás escritos remitidos por el Estado, </w:t>
      </w:r>
      <w:smartTag w:uri="urn:schemas-microsoft-com:office:smarttags" w:element="PersonName">
        <w:smartTagPr>
          <w:attr w:name="ProductID" w:val="la Corte"/>
        </w:smartTagPr>
        <w:r>
          <w:rPr>
            <w:szCs w:val="20"/>
            <w:lang w:val="es-ES_tradnl"/>
          </w:rPr>
          <w:t>la Corte</w:t>
        </w:r>
      </w:smartTag>
      <w:r>
        <w:rPr>
          <w:szCs w:val="20"/>
          <w:lang w:val="es-ES_tradnl"/>
        </w:rPr>
        <w:t xml:space="preserve"> debe pronunciarse sobre si se cumple o no con este requisito de admisibilidad. </w:t>
      </w:r>
    </w:p>
    <w:p w:rsidR="00000000" w:rsidRDefault="004721A5">
      <w:pPr>
        <w:widowControl/>
        <w:suppressAutoHyphens w:val="0"/>
        <w:rPr>
          <w:rFonts w:cs="Tahoma"/>
          <w:szCs w:val="20"/>
          <w:lang w:val="es-CL"/>
        </w:rPr>
      </w:pPr>
      <w:r>
        <w:rPr>
          <w:rFonts w:cs="Tahoma"/>
          <w:szCs w:val="20"/>
          <w:lang w:val="es-CL"/>
        </w:rPr>
        <w:lastRenderedPageBreak/>
        <w:t>15.</w:t>
      </w:r>
      <w:r>
        <w:rPr>
          <w:rFonts w:cs="Tahoma"/>
          <w:szCs w:val="20"/>
          <w:lang w:val="es-CL"/>
        </w:rPr>
        <w:tab/>
        <w:t xml:space="preserve">La medida de indemnización compensatoria ordenada por </w:t>
      </w:r>
      <w:smartTag w:uri="urn:schemas-microsoft-com:office:smarttags" w:element="PersonName">
        <w:smartTagPr>
          <w:attr w:name="ProductID" w:val="la Corte"/>
        </w:smartTagPr>
        <w:r>
          <w:rPr>
            <w:rFonts w:cs="Tahoma"/>
            <w:szCs w:val="20"/>
            <w:lang w:val="es-CL"/>
          </w:rPr>
          <w:t>la Corte</w:t>
        </w:r>
      </w:smartTag>
      <w:r>
        <w:rPr>
          <w:rFonts w:cs="Tahoma"/>
          <w:szCs w:val="20"/>
          <w:lang w:val="es-CL"/>
        </w:rPr>
        <w:t xml:space="preserve"> a la que hizo </w:t>
      </w:r>
      <w:r>
        <w:rPr>
          <w:rFonts w:cs="Tahoma"/>
          <w:szCs w:val="20"/>
          <w:lang w:val="es-CL"/>
        </w:rPr>
        <w:t xml:space="preserve">referencia el Estado es la siguiente: </w:t>
      </w:r>
    </w:p>
    <w:p w:rsidR="00000000" w:rsidRDefault="004721A5">
      <w:pPr>
        <w:spacing w:before="120" w:after="120"/>
        <w:ind w:left="720" w:right="738"/>
        <w:rPr>
          <w:color w:val="000000"/>
          <w:sz w:val="16"/>
          <w:szCs w:val="16"/>
        </w:rPr>
      </w:pPr>
      <w:r>
        <w:rPr>
          <w:color w:val="000000"/>
          <w:sz w:val="16"/>
          <w:szCs w:val="16"/>
        </w:rPr>
        <w:t>232.</w:t>
      </w:r>
      <w:r>
        <w:rPr>
          <w:color w:val="000000"/>
          <w:sz w:val="16"/>
          <w:szCs w:val="16"/>
        </w:rPr>
        <w:tab/>
      </w:r>
      <w:r>
        <w:rPr>
          <w:color w:val="000000"/>
          <w:sz w:val="16"/>
          <w:szCs w:val="16"/>
          <w:lang w:val="es-ES_tradnl"/>
        </w:rPr>
        <w:t>Por lo anterior y</w:t>
      </w:r>
      <w:r>
        <w:rPr>
          <w:color w:val="000000"/>
          <w:sz w:val="16"/>
          <w:szCs w:val="16"/>
        </w:rPr>
        <w:t xml:space="preserve"> dada la complejidad que supone la determinación de valores mercantiles de una empresa, los cuales pueden incluir, </w:t>
      </w:r>
      <w:r>
        <w:rPr>
          <w:i/>
          <w:color w:val="000000"/>
          <w:sz w:val="16"/>
          <w:szCs w:val="16"/>
        </w:rPr>
        <w:t>inter alia</w:t>
      </w:r>
      <w:r>
        <w:rPr>
          <w:color w:val="000000"/>
          <w:sz w:val="16"/>
          <w:szCs w:val="16"/>
        </w:rPr>
        <w:t xml:space="preserve">, el patrimonio, situación financiera, inversiones de capital, bienes </w:t>
      </w:r>
      <w:r>
        <w:rPr>
          <w:color w:val="000000"/>
          <w:sz w:val="16"/>
          <w:szCs w:val="16"/>
        </w:rPr>
        <w:t>y sus valores, movilizado y circulante, flujos operacionales, expectativas de mercado y demás, esta Corte considera que deberá ser un tribunal de arbitraje el que determine el porcentaje de pérdidas que sufrió el señor Chaparro como consecuencia de la apre</w:t>
      </w:r>
      <w:r>
        <w:rPr>
          <w:color w:val="000000"/>
          <w:sz w:val="16"/>
          <w:szCs w:val="16"/>
        </w:rPr>
        <w:t xml:space="preserve">hensión y depósito de la fábrica Plumavit por parte del Estado. </w:t>
      </w:r>
      <w:r>
        <w:rPr>
          <w:color w:val="000000"/>
          <w:sz w:val="16"/>
          <w:szCs w:val="20"/>
        </w:rPr>
        <w:t xml:space="preserve">Sin perjuicio de lo anterior, </w:t>
      </w:r>
      <w:smartTag w:uri="urn:schemas-microsoft-com:office:smarttags" w:element="PersonName">
        <w:smartTagPr>
          <w:attr w:name="ProductID" w:val="la Corte"/>
        </w:smartTagPr>
        <w:r>
          <w:rPr>
            <w:color w:val="000000"/>
            <w:sz w:val="16"/>
            <w:szCs w:val="20"/>
          </w:rPr>
          <w:t>la Corte</w:t>
        </w:r>
      </w:smartTag>
      <w:r>
        <w:rPr>
          <w:color w:val="000000"/>
          <w:sz w:val="16"/>
          <w:szCs w:val="20"/>
        </w:rPr>
        <w:t xml:space="preserve"> tiene en cuenta que dicha fábrica había operado por varios años y que al momento de los hechos había recibido algunos préstamos para mejorar su productiv</w:t>
      </w:r>
      <w:r>
        <w:rPr>
          <w:color w:val="000000"/>
          <w:sz w:val="16"/>
          <w:szCs w:val="20"/>
        </w:rPr>
        <w:t xml:space="preserve">idad, razones por las cuales fija en equidad el monto de US$150.000,00 (ciento cincuenta mil dólares de los Estados Unidos de América) por este concepto. En caso de que el monto determinado en el procedimiento arbitral sea mayor que lo ordenado por </w:t>
      </w:r>
      <w:smartTag w:uri="urn:schemas-microsoft-com:office:smarttags" w:element="PersonName">
        <w:smartTagPr>
          <w:attr w:name="ProductID" w:val="la Corte"/>
        </w:smartTagPr>
        <w:r>
          <w:rPr>
            <w:color w:val="000000"/>
            <w:sz w:val="16"/>
            <w:szCs w:val="20"/>
          </w:rPr>
          <w:t>la Cort</w:t>
        </w:r>
        <w:r>
          <w:rPr>
            <w:color w:val="000000"/>
            <w:sz w:val="16"/>
            <w:szCs w:val="20"/>
          </w:rPr>
          <w:t>e</w:t>
        </w:r>
      </w:smartTag>
      <w:r>
        <w:rPr>
          <w:color w:val="000000"/>
          <w:sz w:val="16"/>
          <w:szCs w:val="20"/>
        </w:rPr>
        <w:t xml:space="preserve"> en esta Sentencia, el Estado podrá descontar a la víctima la cantidad fijada en equidad por este Tribunal. Si el monto determinado en el procedimiento de arbitraje es menor, la víctima conservará los US$150.000,00 (ciento cincuenta mil dólares de los Est</w:t>
      </w:r>
      <w:r>
        <w:rPr>
          <w:color w:val="000000"/>
          <w:sz w:val="16"/>
          <w:szCs w:val="20"/>
        </w:rPr>
        <w:t>ados Unidos de América) fijados en esta Sentencia. La cantidad establecida por esta Corte deberá ser entregada al señor Chaparro en un plazo no mayor a un año contado a partir de la notificación de la presente Sentencia.</w:t>
      </w:r>
    </w:p>
    <w:p w:rsidR="00000000" w:rsidRDefault="004721A5">
      <w:pPr>
        <w:tabs>
          <w:tab w:val="left" w:pos="1440"/>
        </w:tabs>
        <w:spacing w:before="120" w:beforeAutospacing="1" w:after="120" w:afterAutospacing="1"/>
        <w:ind w:left="720" w:right="738"/>
        <w:rPr>
          <w:color w:val="000000"/>
          <w:sz w:val="16"/>
          <w:szCs w:val="16"/>
        </w:rPr>
      </w:pPr>
      <w:r>
        <w:rPr>
          <w:sz w:val="16"/>
          <w:szCs w:val="16"/>
        </w:rPr>
        <w:t xml:space="preserve">233. </w:t>
      </w:r>
      <w:r>
        <w:rPr>
          <w:sz w:val="16"/>
          <w:szCs w:val="16"/>
        </w:rPr>
        <w:tab/>
        <w:t>El procedimiento arbitral señ</w:t>
      </w:r>
      <w:r>
        <w:rPr>
          <w:sz w:val="16"/>
          <w:szCs w:val="16"/>
        </w:rPr>
        <w:t>alado en el párrafo anterior deberá ser de carácter independiente, llevarse a cabo en la ciudad en la que resida el señor Chaparro y conforme a la legislación interna aplicable en materia de arbitraje, siempre y cuando no controvierta lo estipulado en esta</w:t>
      </w:r>
      <w:r>
        <w:rPr>
          <w:sz w:val="16"/>
          <w:szCs w:val="16"/>
        </w:rPr>
        <w:t xml:space="preserve"> Sentencia. El procedimiento deberá iniciarse dentro de los seis meses contados a partir de la notificación de la presente Sentencia. El tribunal de arbitraje estará integrado por tres árbitros. El Estado y el señor Chaparro elegirán cada uno a un árbitro.</w:t>
      </w:r>
      <w:r>
        <w:rPr>
          <w:sz w:val="16"/>
          <w:szCs w:val="16"/>
        </w:rPr>
        <w:t xml:space="preserve"> El tercer árbitro será elegido de común acuerdo entre el Estado y el señor Chaparro. Si en el plazo de dos meses contado a partir de la notificación de la presente Sentencia las partes no llegan a un acuerdo, el tercer árbitro será elegido de común acuerd</w:t>
      </w:r>
      <w:r>
        <w:rPr>
          <w:sz w:val="16"/>
          <w:szCs w:val="16"/>
        </w:rPr>
        <w:t>o por el árbitro elegido por el Estado y el elegido por el señor Chaparro. Si los dos árbitros no llegaran a un acuerdo dentro de los dos meses siguientes, el Estado y el señor Chaparro o sus representantes deberán presentar a esta Corte una terna de no me</w:t>
      </w:r>
      <w:r>
        <w:rPr>
          <w:sz w:val="16"/>
          <w:szCs w:val="16"/>
        </w:rPr>
        <w:t xml:space="preserve">nos de dos y no más de tres candidatos. </w:t>
      </w:r>
      <w:smartTag w:uri="urn:schemas-microsoft-com:office:smarttags" w:element="PersonName">
        <w:smartTagPr>
          <w:attr w:name="ProductID" w:val="la Corte"/>
        </w:smartTagPr>
        <w:r>
          <w:rPr>
            <w:sz w:val="16"/>
            <w:szCs w:val="16"/>
          </w:rPr>
          <w:t>La Corte</w:t>
        </w:r>
      </w:smartTag>
      <w:r>
        <w:rPr>
          <w:sz w:val="16"/>
          <w:szCs w:val="16"/>
        </w:rPr>
        <w:t xml:space="preserve"> decidirá el tercer árbitro de entre los candidatos propuestos por las partes. La cantidad decidida por el tribunal de arbitraje deberá ser entregada al señor Chaparro en un plazo no mayor de un año contado d</w:t>
      </w:r>
      <w:r>
        <w:rPr>
          <w:sz w:val="16"/>
          <w:szCs w:val="16"/>
        </w:rPr>
        <w:t>esde la notificación de la decisión del tribunal arbitral.</w:t>
      </w:r>
    </w:p>
    <w:p w:rsidR="00000000" w:rsidRDefault="004721A5">
      <w:pPr>
        <w:widowControl/>
        <w:tabs>
          <w:tab w:val="num" w:pos="720"/>
        </w:tabs>
        <w:suppressAutoHyphens w:val="0"/>
        <w:spacing w:before="120" w:after="120"/>
        <w:rPr>
          <w:rFonts w:cs="Tahoma"/>
          <w:b/>
          <w:szCs w:val="20"/>
          <w:lang w:val="es-CL"/>
        </w:rPr>
      </w:pPr>
      <w:r>
        <w:rPr>
          <w:szCs w:val="20"/>
          <w:lang w:val="es-ES_tradnl"/>
        </w:rPr>
        <w:t>16.</w:t>
      </w:r>
      <w:r>
        <w:rPr>
          <w:szCs w:val="20"/>
          <w:lang w:val="es-ES_tradnl"/>
        </w:rPr>
        <w:tab/>
        <w:t xml:space="preserve">El Estado interpuso su demanda de interpretación </w:t>
      </w:r>
      <w:r>
        <w:rPr>
          <w:szCs w:val="20"/>
          <w:u w:val="single"/>
          <w:lang w:val="es-CL"/>
        </w:rPr>
        <w:t xml:space="preserve">“[l]amentando que el fallo de </w:t>
      </w:r>
      <w:smartTag w:uri="urn:schemas-microsoft-com:office:smarttags" w:element="PersonName">
        <w:smartTagPr>
          <w:attr w:name="ProductID" w:val="la Corte Interamericana"/>
        </w:smartTagPr>
        <w:r>
          <w:rPr>
            <w:szCs w:val="20"/>
            <w:u w:val="single"/>
            <w:lang w:val="es-CL"/>
          </w:rPr>
          <w:t>la Corte Interamericana</w:t>
        </w:r>
      </w:smartTag>
      <w:r>
        <w:rPr>
          <w:szCs w:val="20"/>
          <w:u w:val="single"/>
          <w:lang w:val="es-CL"/>
        </w:rPr>
        <w:t xml:space="preserve"> sea definitivo e inapelable</w:t>
      </w:r>
      <w:r>
        <w:rPr>
          <w:szCs w:val="20"/>
          <w:lang w:val="es-CL"/>
        </w:rPr>
        <w:t xml:space="preserve"> y tenga efecto de </w:t>
      </w:r>
      <w:r>
        <w:rPr>
          <w:i/>
          <w:szCs w:val="20"/>
          <w:lang w:val="es-CL"/>
        </w:rPr>
        <w:t>res judicata</w:t>
      </w:r>
      <w:r>
        <w:rPr>
          <w:szCs w:val="20"/>
          <w:lang w:val="es-CL"/>
        </w:rPr>
        <w:t xml:space="preserve"> […] y que en consecuencia las p</w:t>
      </w:r>
      <w:r>
        <w:rPr>
          <w:szCs w:val="20"/>
          <w:lang w:val="es-CL"/>
        </w:rPr>
        <w:t>artes perjudicadas a través de un fallo queden en indefensión” (subrayado fuera de texto). Expresó que “</w:t>
      </w:r>
      <w:r>
        <w:rPr>
          <w:szCs w:val="20"/>
          <w:u w:val="single"/>
          <w:lang w:val="es-CL"/>
        </w:rPr>
        <w:t>rechaza</w:t>
      </w:r>
      <w:r>
        <w:rPr>
          <w:szCs w:val="20"/>
          <w:lang w:val="es-CL"/>
        </w:rPr>
        <w:t xml:space="preserve"> [la] medida de reparación” (subrayado fuera de texto) que consiste en la constitución de un tribunal arbitral, ya que en la reparación ordenada </w:t>
      </w:r>
      <w:r>
        <w:rPr>
          <w:szCs w:val="20"/>
          <w:lang w:val="es-CL"/>
        </w:rPr>
        <w:t xml:space="preserve">por </w:t>
      </w:r>
      <w:smartTag w:uri="urn:schemas-microsoft-com:office:smarttags" w:element="PersonName">
        <w:smartTagPr>
          <w:attr w:name="ProductID" w:val="la Corte"/>
        </w:smartTagPr>
        <w:r>
          <w:rPr>
            <w:szCs w:val="20"/>
            <w:lang w:val="es-CL"/>
          </w:rPr>
          <w:t>la Corte</w:t>
        </w:r>
      </w:smartTag>
      <w:r>
        <w:rPr>
          <w:szCs w:val="20"/>
          <w:lang w:val="es-CL"/>
        </w:rPr>
        <w:t xml:space="preserve"> </w:t>
      </w:r>
      <w:r>
        <w:rPr>
          <w:rFonts w:cs="Tahoma"/>
          <w:szCs w:val="20"/>
          <w:lang w:val="es-CL"/>
        </w:rPr>
        <w:t xml:space="preserve">“no existe sujeción a </w:t>
      </w:r>
      <w:smartTag w:uri="urn:schemas-microsoft-com:office:smarttags" w:element="PersonName">
        <w:smartTagPr>
          <w:attr w:name="ProductID" w:val="la Ley"/>
        </w:smartTagPr>
        <w:r>
          <w:rPr>
            <w:rFonts w:cs="Tahoma"/>
            <w:szCs w:val="20"/>
            <w:lang w:val="es-CL"/>
          </w:rPr>
          <w:t>la Ley</w:t>
        </w:r>
      </w:smartTag>
      <w:r>
        <w:rPr>
          <w:rFonts w:cs="Tahoma"/>
          <w:szCs w:val="20"/>
          <w:lang w:val="es-CL"/>
        </w:rPr>
        <w:t xml:space="preserve"> de Arbitraje y Mediación del Ecuador”</w:t>
      </w:r>
      <w:r>
        <w:rPr>
          <w:lang w:val="es-CL"/>
        </w:rPr>
        <w:t>, pues ésta exige la suscripción de un “convenio arbitral” con anterioridad al surgimiento de la controversia para la constitución de un tribunal arbitral, lo que no existiría e</w:t>
      </w:r>
      <w:r>
        <w:rPr>
          <w:lang w:val="es-CL"/>
        </w:rPr>
        <w:t xml:space="preserve">n este caso. Sostuvo que </w:t>
      </w:r>
      <w:r>
        <w:rPr>
          <w:rFonts w:cs="Tahoma"/>
          <w:szCs w:val="20"/>
          <w:lang w:val="es-CL"/>
        </w:rPr>
        <w:t xml:space="preserve">el artículo 68.2 de </w:t>
      </w:r>
      <w:smartTag w:uri="urn:schemas-microsoft-com:office:smarttags" w:element="PersonName">
        <w:smartTagPr>
          <w:attr w:name="ProductID" w:val="la Convención"/>
        </w:smartTagPr>
        <w:r>
          <w:rPr>
            <w:rFonts w:cs="Tahoma"/>
            <w:szCs w:val="20"/>
            <w:lang w:val="es-CL"/>
          </w:rPr>
          <w:t>la Convención</w:t>
        </w:r>
      </w:smartTag>
      <w:r>
        <w:rPr>
          <w:rFonts w:cs="Tahoma"/>
          <w:szCs w:val="20"/>
          <w:lang w:val="es-CL"/>
        </w:rPr>
        <w:t xml:space="preserve"> exige “que el proceso de retorno del caso al ámbito interno, en su componente indemnizatorio, guarde la mínima conformidad con el derecho interno”. </w:t>
      </w:r>
      <w:r>
        <w:rPr>
          <w:szCs w:val="20"/>
          <w:lang w:val="es-CL"/>
        </w:rPr>
        <w:t>Alegó también que la medida ordenada, “</w:t>
      </w:r>
      <w:r>
        <w:rPr>
          <w:szCs w:val="20"/>
          <w:u w:val="single"/>
          <w:lang w:val="es-CL"/>
        </w:rPr>
        <w:t xml:space="preserve">además de </w:t>
      </w:r>
      <w:r>
        <w:rPr>
          <w:szCs w:val="20"/>
          <w:u w:val="single"/>
          <w:lang w:val="es-CL"/>
        </w:rPr>
        <w:t>ilegal</w:t>
      </w:r>
      <w:r>
        <w:rPr>
          <w:szCs w:val="20"/>
          <w:lang w:val="es-CL"/>
        </w:rPr>
        <w:t xml:space="preserve">, contraviene el principio básico que rige el ámbito arbitral, como es la voluntad de las partes para someterse a un arbitraje” (subrayado fuera de texto), </w:t>
      </w:r>
      <w:r>
        <w:rPr>
          <w:rFonts w:cs="Tahoma"/>
          <w:szCs w:val="20"/>
          <w:lang w:val="es-CL"/>
        </w:rPr>
        <w:t>por lo que “se trata del desconocimiento de un principio elemental de una rama del Derecho”, c</w:t>
      </w:r>
      <w:r>
        <w:rPr>
          <w:rFonts w:cs="Tahoma"/>
          <w:szCs w:val="20"/>
          <w:lang w:val="es-CL"/>
        </w:rPr>
        <w:t>uando</w:t>
      </w:r>
      <w:r>
        <w:rPr>
          <w:rFonts w:cs="Tahoma"/>
          <w:b/>
          <w:szCs w:val="20"/>
          <w:lang w:val="es-CL"/>
        </w:rPr>
        <w:t xml:space="preserve"> </w:t>
      </w:r>
      <w:r>
        <w:rPr>
          <w:rFonts w:cs="Tahoma"/>
          <w:szCs w:val="20"/>
          <w:lang w:val="es-CL"/>
        </w:rPr>
        <w:t xml:space="preserve">“resulta incontrastable el hecho de que las medidas de reparación deben enmarcarse […] en los principios generales del derecho, fuente del derecho internacional de acuerdo al artículo 38 del Estatuto de </w:t>
      </w:r>
      <w:smartTag w:uri="urn:schemas-microsoft-com:office:smarttags" w:element="PersonName">
        <w:smartTagPr>
          <w:attr w:name="ProductID" w:val="la Corte Internacional"/>
        </w:smartTagPr>
        <w:r>
          <w:rPr>
            <w:rFonts w:cs="Tahoma"/>
            <w:szCs w:val="20"/>
            <w:lang w:val="es-CL"/>
          </w:rPr>
          <w:t>la Corte Internacional</w:t>
        </w:r>
      </w:smartTag>
      <w:r>
        <w:rPr>
          <w:rFonts w:cs="Tahoma"/>
          <w:szCs w:val="20"/>
          <w:lang w:val="es-CL"/>
        </w:rPr>
        <w:t xml:space="preserve"> de Justicia”.</w:t>
      </w:r>
      <w:r>
        <w:rPr>
          <w:rFonts w:ascii="Tahoma" w:hAnsi="Tahoma" w:cs="Tahoma"/>
          <w:szCs w:val="20"/>
          <w:lang w:val="es-CL"/>
        </w:rPr>
        <w:t xml:space="preserve"> </w:t>
      </w:r>
      <w:r>
        <w:rPr>
          <w:szCs w:val="20"/>
          <w:lang w:val="es-CL"/>
        </w:rPr>
        <w:t>Ante la ne</w:t>
      </w:r>
      <w:r>
        <w:rPr>
          <w:szCs w:val="20"/>
          <w:lang w:val="es-CL"/>
        </w:rPr>
        <w:t xml:space="preserve">gativa de cumplir con la constitución del tribunal arbitral, el Estado propuso primero la realización de una mediación en reemplazo del arbitraje y luego afirmó que </w:t>
      </w:r>
      <w:r>
        <w:rPr>
          <w:rFonts w:cs="Tahoma"/>
          <w:szCs w:val="20"/>
          <w:lang w:val="es-CL"/>
        </w:rPr>
        <w:t>“</w:t>
      </w:r>
      <w:r>
        <w:rPr>
          <w:rFonts w:cs="Tahoma"/>
          <w:szCs w:val="20"/>
          <w:u w:val="single"/>
          <w:lang w:val="es-CL"/>
        </w:rPr>
        <w:t>únicamente reconoce y reconocerá el valor fijado en equidad</w:t>
      </w:r>
      <w:r>
        <w:rPr>
          <w:rFonts w:cs="Tahoma"/>
          <w:szCs w:val="20"/>
          <w:lang w:val="es-CL"/>
        </w:rPr>
        <w:t xml:space="preserve"> por </w:t>
      </w:r>
      <w:smartTag w:uri="urn:schemas-microsoft-com:office:smarttags" w:element="PersonName">
        <w:smartTagPr>
          <w:attr w:name="ProductID" w:val="la Corte Interamericana"/>
        </w:smartTagPr>
        <w:r>
          <w:rPr>
            <w:rFonts w:cs="Tahoma"/>
            <w:szCs w:val="20"/>
            <w:lang w:val="es-CL"/>
          </w:rPr>
          <w:t>la Corte Interamericana</w:t>
        </w:r>
      </w:smartTag>
      <w:r>
        <w:rPr>
          <w:rFonts w:cs="Tahoma"/>
          <w:szCs w:val="20"/>
          <w:lang w:val="es-CL"/>
        </w:rPr>
        <w:t xml:space="preserve"> po</w:t>
      </w:r>
      <w:r>
        <w:rPr>
          <w:rFonts w:cs="Tahoma"/>
          <w:szCs w:val="20"/>
          <w:lang w:val="es-CL"/>
        </w:rPr>
        <w:t xml:space="preserve">r concepto de </w:t>
      </w:r>
      <w:r>
        <w:rPr>
          <w:rFonts w:cs="Tahoma"/>
          <w:szCs w:val="20"/>
          <w:lang w:val="es-CL"/>
        </w:rPr>
        <w:lastRenderedPageBreak/>
        <w:t>perjuicios derivados de la incautación de la fábrica PLUMAVIT” (subrayado fuera de texto).</w:t>
      </w:r>
      <w:r>
        <w:rPr>
          <w:rFonts w:cs="Tahoma"/>
          <w:b/>
          <w:szCs w:val="20"/>
          <w:lang w:val="es-CL"/>
        </w:rPr>
        <w:t xml:space="preserve"> </w:t>
      </w:r>
    </w:p>
    <w:p w:rsidR="00000000" w:rsidRDefault="004721A5">
      <w:pPr>
        <w:widowControl/>
        <w:suppressAutoHyphens w:val="0"/>
        <w:rPr>
          <w:szCs w:val="20"/>
          <w:lang w:val="es-ES_tradnl"/>
        </w:rPr>
      </w:pPr>
    </w:p>
    <w:p w:rsidR="00000000" w:rsidRDefault="004721A5">
      <w:pPr>
        <w:widowControl/>
        <w:suppressAutoHyphens w:val="0"/>
        <w:rPr>
          <w:szCs w:val="20"/>
          <w:lang w:val="es-ES_tradnl"/>
        </w:rPr>
      </w:pPr>
      <w:r>
        <w:rPr>
          <w:szCs w:val="20"/>
          <w:lang w:val="es-ES_tradnl"/>
        </w:rPr>
        <w:t>17.</w:t>
      </w:r>
      <w:r>
        <w:rPr>
          <w:szCs w:val="20"/>
          <w:lang w:val="es-ES_tradnl"/>
        </w:rPr>
        <w:tab/>
        <w:t xml:space="preserve">De otra parte, </w:t>
      </w:r>
      <w:r>
        <w:rPr>
          <w:lang w:val="es-ES_tradnl"/>
        </w:rPr>
        <w:t>el Estado se refirió al modo de designación de los árbitros</w:t>
      </w:r>
      <w:r>
        <w:rPr>
          <w:rFonts w:cs="Tahoma"/>
          <w:szCs w:val="20"/>
          <w:lang w:val="es-CL"/>
        </w:rPr>
        <w:t xml:space="preserve"> y expresó que “también [debe] responde[r] a la decisión de las partes,</w:t>
      </w:r>
      <w:r>
        <w:rPr>
          <w:rFonts w:cs="Tahoma"/>
          <w:szCs w:val="20"/>
          <w:lang w:val="es-CL"/>
        </w:rPr>
        <w:t xml:space="preserve"> las cuales pueden decidir sobre el número de integrantes e incluso sobre [su] identidad”. </w:t>
      </w:r>
      <w:r>
        <w:rPr>
          <w:lang w:val="es-ES_tradnl"/>
        </w:rPr>
        <w:t>E</w:t>
      </w:r>
      <w:r>
        <w:rPr>
          <w:rFonts w:cs="Tahoma"/>
          <w:szCs w:val="20"/>
          <w:lang w:val="es-CL"/>
        </w:rPr>
        <w:t>l Estado asimismo preguntó “¿[q]ué ocurre si el monto indemnizatorio, implica un enriquecimiento o un empobrecimiento para el señor Chaparro? ¿Quién responde por aq</w:t>
      </w:r>
      <w:r>
        <w:rPr>
          <w:rFonts w:cs="Tahoma"/>
          <w:szCs w:val="20"/>
          <w:lang w:val="es-CL"/>
        </w:rPr>
        <w:t xml:space="preserve">uello? ¿Sería un precedente válido para futuras sentencias o acuerdos de solución amistosa? ¿Si el monto indemnizatorio, frente a las escasas pruebas con las que se contarían, se eleva de manera desmesurada al punto de despojar a una parte de la población </w:t>
      </w:r>
      <w:r>
        <w:rPr>
          <w:rFonts w:cs="Tahoma"/>
          <w:szCs w:val="20"/>
          <w:lang w:val="es-CL"/>
        </w:rPr>
        <w:t>ecuatoriana de sus derechos sociales?”.</w:t>
      </w:r>
      <w:r>
        <w:rPr>
          <w:rFonts w:cs="Tahoma"/>
          <w:b/>
          <w:szCs w:val="20"/>
          <w:lang w:val="es-CL"/>
        </w:rPr>
        <w:t xml:space="preserve"> </w:t>
      </w:r>
      <w:r>
        <w:rPr>
          <w:rFonts w:cs="Tahoma"/>
          <w:szCs w:val="20"/>
          <w:lang w:val="es-CL"/>
        </w:rPr>
        <w:t xml:space="preserve">El Estado también solicitó a </w:t>
      </w:r>
      <w:smartTag w:uri="urn:schemas-microsoft-com:office:smarttags" w:element="PersonName">
        <w:smartTagPr>
          <w:attr w:name="ProductID" w:val="la Corte"/>
        </w:smartTagPr>
        <w:r>
          <w:rPr>
            <w:rFonts w:cs="Tahoma"/>
            <w:szCs w:val="20"/>
            <w:lang w:val="es-CL"/>
          </w:rPr>
          <w:t>la Corte</w:t>
        </w:r>
      </w:smartTag>
      <w:r>
        <w:rPr>
          <w:rFonts w:cs="Tahoma"/>
          <w:szCs w:val="20"/>
          <w:lang w:val="es-CL"/>
        </w:rPr>
        <w:t xml:space="preserve"> resolver las siguientes interrogantes: “¿Cuál sería el instrumento de origen de la competencia del tribunal? ¿Qué normas de procedimiento se aplicaría a ese arbitraje interno ind</w:t>
      </w:r>
      <w:r>
        <w:rPr>
          <w:rFonts w:cs="Tahoma"/>
          <w:szCs w:val="20"/>
          <w:lang w:val="es-CL"/>
        </w:rPr>
        <w:t>ependiente? ¿Dónde se encuentra establecida la regulación reglamentaria para la recusación de los árbitros? ¿Dónde se encuentra el acta de imposibilidad de una mediación?”.</w:t>
      </w:r>
      <w:r>
        <w:rPr>
          <w:rFonts w:cs="Tahoma"/>
          <w:b/>
          <w:szCs w:val="20"/>
          <w:lang w:val="es-CL"/>
        </w:rPr>
        <w:t xml:space="preserve"> </w:t>
      </w:r>
      <w:r>
        <w:rPr>
          <w:rFonts w:cs="Tahoma"/>
          <w:szCs w:val="20"/>
          <w:lang w:val="es-CL"/>
        </w:rPr>
        <w:t>Además, e</w:t>
      </w:r>
      <w:r>
        <w:rPr>
          <w:lang w:val="es-ES_tradnl"/>
        </w:rPr>
        <w:t xml:space="preserve">l Estado consideró como </w:t>
      </w:r>
      <w:r>
        <w:rPr>
          <w:rFonts w:cs="Tahoma"/>
          <w:szCs w:val="20"/>
          <w:lang w:val="es-CL"/>
        </w:rPr>
        <w:t xml:space="preserve">“contradictori[o] que </w:t>
      </w:r>
      <w:smartTag w:uri="urn:schemas-microsoft-com:office:smarttags" w:element="PersonName">
        <w:smartTagPr>
          <w:attr w:name="ProductID" w:val="la Corte"/>
        </w:smartTagPr>
        <w:r>
          <w:rPr>
            <w:rFonts w:cs="Tahoma"/>
            <w:szCs w:val="20"/>
            <w:lang w:val="es-CL"/>
          </w:rPr>
          <w:t>la Corte</w:t>
        </w:r>
      </w:smartTag>
      <w:r>
        <w:rPr>
          <w:rFonts w:cs="Tahoma"/>
          <w:szCs w:val="20"/>
          <w:lang w:val="es-CL"/>
        </w:rPr>
        <w:t xml:space="preserve"> fije, por una parte</w:t>
      </w:r>
      <w:r>
        <w:rPr>
          <w:rFonts w:cs="Tahoma"/>
          <w:szCs w:val="20"/>
          <w:lang w:val="es-CL"/>
        </w:rPr>
        <w:t>, en equidad una cantidad de dinero por concepto de la pérdida de valor de la fábrica Plumavit y, por otra, reconozca la complejidad de dicha cuantificación”, pues “no se puede utilizar un criterio de equidad y, a la vez, pretender trasladar la carga avalu</w:t>
      </w:r>
      <w:r>
        <w:rPr>
          <w:rFonts w:cs="Tahoma"/>
          <w:szCs w:val="20"/>
          <w:lang w:val="es-CL"/>
        </w:rPr>
        <w:t xml:space="preserve">atoria a un tribunal arbitral que utilizaría criterios distintos a los fijados por </w:t>
      </w:r>
      <w:smartTag w:uri="urn:schemas-microsoft-com:office:smarttags" w:element="PersonName">
        <w:smartTagPr>
          <w:attr w:name="ProductID" w:val="la Corte Interamericana"/>
        </w:smartTagPr>
        <w:r>
          <w:rPr>
            <w:rFonts w:cs="Tahoma"/>
            <w:szCs w:val="20"/>
            <w:lang w:val="es-CL"/>
          </w:rPr>
          <w:t>la Corte Interamericana</w:t>
        </w:r>
      </w:smartTag>
      <w:r>
        <w:rPr>
          <w:rFonts w:cs="Tahoma"/>
          <w:szCs w:val="20"/>
          <w:lang w:val="es-CL"/>
        </w:rPr>
        <w:t>”.</w:t>
      </w:r>
    </w:p>
    <w:p w:rsidR="00000000" w:rsidRDefault="004721A5">
      <w:pPr>
        <w:widowControl/>
        <w:suppressAutoHyphens w:val="0"/>
        <w:rPr>
          <w:szCs w:val="20"/>
          <w:lang w:val="es-ES_tradnl"/>
        </w:rPr>
      </w:pPr>
    </w:p>
    <w:p w:rsidR="00000000" w:rsidRDefault="004721A5">
      <w:pPr>
        <w:widowControl/>
        <w:suppressAutoHyphens w:val="0"/>
        <w:rPr>
          <w:rFonts w:cs="Tahoma"/>
          <w:b/>
          <w:szCs w:val="20"/>
          <w:lang w:val="es-CL"/>
        </w:rPr>
      </w:pPr>
      <w:r>
        <w:rPr>
          <w:szCs w:val="20"/>
          <w:lang w:val="es-ES_tradnl"/>
        </w:rPr>
        <w:t>18.</w:t>
      </w:r>
      <w:r>
        <w:rPr>
          <w:szCs w:val="20"/>
          <w:lang w:val="es-ES_tradnl"/>
        </w:rPr>
        <w:tab/>
        <w:t xml:space="preserve">Al respecto, </w:t>
      </w:r>
      <w:smartTag w:uri="urn:schemas-microsoft-com:office:smarttags" w:element="PersonName">
        <w:smartTagPr>
          <w:attr w:name="ProductID" w:val="la Comisión"/>
        </w:smartTagPr>
        <w:r>
          <w:rPr>
            <w:szCs w:val="20"/>
            <w:lang w:val="es-ES_tradnl"/>
          </w:rPr>
          <w:t>la Comisión</w:t>
        </w:r>
      </w:smartTag>
      <w:r>
        <w:rPr>
          <w:szCs w:val="20"/>
          <w:lang w:val="es-ES_tradnl"/>
        </w:rPr>
        <w:t xml:space="preserve"> alegó que </w:t>
      </w:r>
      <w:r>
        <w:rPr>
          <w:szCs w:val="20"/>
          <w:lang w:val="es-CL"/>
        </w:rPr>
        <w:t>“la solicitud interpuesta por el Estado no cumple con los requisitos normativos para ser considerada una de</w:t>
      </w:r>
      <w:r>
        <w:rPr>
          <w:szCs w:val="20"/>
          <w:lang w:val="es-CL"/>
        </w:rPr>
        <w:t xml:space="preserve">manda de interpretación y por lo tanto no es de recibo”. Además, estimó que “el escrito que el Estado sometió ante </w:t>
      </w:r>
      <w:smartTag w:uri="urn:schemas-microsoft-com:office:smarttags" w:element="PersonName">
        <w:smartTagPr>
          <w:attr w:name="ProductID" w:val="la Corte"/>
        </w:smartTagPr>
        <w:r>
          <w:rPr>
            <w:szCs w:val="20"/>
            <w:lang w:val="es-CL"/>
          </w:rPr>
          <w:t>la Corte</w:t>
        </w:r>
      </w:smartTag>
      <w:r>
        <w:rPr>
          <w:szCs w:val="20"/>
          <w:lang w:val="es-CL"/>
        </w:rPr>
        <w:t xml:space="preserve"> no pretende que ésta interprete el sentido o alcance del fallo […] sino que busca una revisión y reconsideración de la sentencia def</w:t>
      </w:r>
      <w:r>
        <w:rPr>
          <w:szCs w:val="20"/>
          <w:lang w:val="es-CL"/>
        </w:rPr>
        <w:t xml:space="preserve">initiva e inapelable que dictara </w:t>
      </w:r>
      <w:smartTag w:uri="urn:schemas-microsoft-com:office:smarttags" w:element="PersonName">
        <w:smartTagPr>
          <w:attr w:name="ProductID" w:val="la Corte"/>
        </w:smartTagPr>
        <w:r>
          <w:rPr>
            <w:szCs w:val="20"/>
            <w:lang w:val="es-CL"/>
          </w:rPr>
          <w:t>la Corte</w:t>
        </w:r>
      </w:smartTag>
      <w:r>
        <w:rPr>
          <w:szCs w:val="20"/>
          <w:lang w:val="es-CL"/>
        </w:rPr>
        <w:t xml:space="preserve">, por estar en desacuerdo con ciertos aspectos de la misma”. Agregó que en este caso tampoco se configuran ninguna de las situaciones en las que la jurisprudencia de </w:t>
      </w:r>
      <w:smartTag w:uri="urn:schemas-microsoft-com:office:smarttags" w:element="PersonName">
        <w:smartTagPr>
          <w:attr w:name="ProductID" w:val="la Corte"/>
        </w:smartTagPr>
        <w:r>
          <w:rPr>
            <w:szCs w:val="20"/>
            <w:lang w:val="es-CL"/>
          </w:rPr>
          <w:t>la Corte</w:t>
        </w:r>
      </w:smartTag>
      <w:r>
        <w:rPr>
          <w:szCs w:val="20"/>
          <w:lang w:val="es-CL"/>
        </w:rPr>
        <w:t xml:space="preserve"> ha admitido la posibilidad de revisión.</w:t>
      </w:r>
      <w:r>
        <w:rPr>
          <w:b/>
          <w:szCs w:val="20"/>
          <w:lang w:val="es-CL"/>
        </w:rPr>
        <w:t xml:space="preserve"> </w:t>
      </w:r>
      <w:r>
        <w:rPr>
          <w:rFonts w:cs="Tahoma"/>
          <w:szCs w:val="20"/>
          <w:lang w:val="es-CL"/>
        </w:rPr>
        <w:t xml:space="preserve">Finalmente, sostuvo que las “manifestaciones” del Estado “no se condicen con lo dispuesto por el artículo 68.1 de </w:t>
      </w:r>
      <w:smartTag w:uri="urn:schemas-microsoft-com:office:smarttags" w:element="PersonName">
        <w:smartTagPr>
          <w:attr w:name="ProductID" w:val="la Convención Americana"/>
        </w:smartTagPr>
        <w:r>
          <w:rPr>
            <w:rFonts w:cs="Tahoma"/>
            <w:szCs w:val="20"/>
            <w:lang w:val="es-CL"/>
          </w:rPr>
          <w:t>la Convención Americana</w:t>
        </w:r>
      </w:smartTag>
      <w:r>
        <w:rPr>
          <w:rFonts w:cs="Tahoma"/>
          <w:szCs w:val="20"/>
          <w:lang w:val="es-CL"/>
        </w:rPr>
        <w:t xml:space="preserve"> y con el principio básico de la responsabilidad internacional del Estado, respaldado por la jurisprudencia internacion</w:t>
      </w:r>
      <w:r>
        <w:rPr>
          <w:rFonts w:cs="Tahoma"/>
          <w:szCs w:val="20"/>
          <w:lang w:val="es-CL"/>
        </w:rPr>
        <w:t>al, según el cual los Estados deben acatar sus obligaciones internacionales de buena fe (</w:t>
      </w:r>
      <w:r>
        <w:rPr>
          <w:rFonts w:cs="Tahoma"/>
          <w:i/>
          <w:szCs w:val="20"/>
          <w:lang w:val="es-CL"/>
        </w:rPr>
        <w:t>pacta sunt servanda</w:t>
      </w:r>
      <w:r>
        <w:rPr>
          <w:rFonts w:cs="Tahoma"/>
          <w:szCs w:val="20"/>
          <w:lang w:val="es-CL"/>
        </w:rPr>
        <w:t>)”.</w:t>
      </w:r>
    </w:p>
    <w:p w:rsidR="00000000" w:rsidRDefault="004721A5">
      <w:pPr>
        <w:tabs>
          <w:tab w:val="num" w:pos="600"/>
        </w:tabs>
        <w:spacing w:before="120" w:after="120"/>
        <w:rPr>
          <w:szCs w:val="20"/>
          <w:lang w:val="es-CL"/>
        </w:rPr>
      </w:pPr>
      <w:r>
        <w:rPr>
          <w:szCs w:val="20"/>
          <w:lang w:val="es-CL"/>
        </w:rPr>
        <w:t xml:space="preserve">19. </w:t>
      </w:r>
      <w:r>
        <w:rPr>
          <w:szCs w:val="20"/>
          <w:lang w:val="es-CL"/>
        </w:rPr>
        <w:tab/>
        <w:t xml:space="preserve">Los representantes alegaron </w:t>
      </w:r>
      <w:r>
        <w:rPr>
          <w:rFonts w:cs="Tahoma"/>
          <w:szCs w:val="20"/>
          <w:lang w:val="es-CL"/>
        </w:rPr>
        <w:t>que “la pretensión del Estado ecuatoriano de que el arbitraje […] se realice de conformidad con el derecho inte</w:t>
      </w:r>
      <w:r>
        <w:rPr>
          <w:rFonts w:cs="Tahoma"/>
          <w:szCs w:val="20"/>
          <w:lang w:val="es-CL"/>
        </w:rPr>
        <w:t xml:space="preserve">rno carece de fundamento”, pues la propia Sentencia establece que dicho procedimiento se hará “conforme a la legislación interna aplicable […] siempre y cuando no controvierta lo estipulado en esta Sentencia” y porque el artículo 27 de </w:t>
      </w:r>
      <w:smartTag w:uri="urn:schemas-microsoft-com:office:smarttags" w:element="PersonName">
        <w:smartTagPr>
          <w:attr w:name="ProductID" w:val="la Convención"/>
        </w:smartTagPr>
        <w:r>
          <w:rPr>
            <w:rFonts w:cs="Tahoma"/>
            <w:szCs w:val="20"/>
            <w:lang w:val="es-CL"/>
          </w:rPr>
          <w:t>la Convención</w:t>
        </w:r>
      </w:smartTag>
      <w:r>
        <w:rPr>
          <w:rFonts w:cs="Tahoma"/>
          <w:szCs w:val="20"/>
          <w:lang w:val="es-CL"/>
        </w:rPr>
        <w:t xml:space="preserve"> de Vie</w:t>
      </w:r>
      <w:r>
        <w:rPr>
          <w:rFonts w:cs="Tahoma"/>
          <w:szCs w:val="20"/>
          <w:lang w:val="es-CL"/>
        </w:rPr>
        <w:t xml:space="preserve">na prohíbe invocar el derecho interno “como justificación del incumplimiento de un tratado”.  </w:t>
      </w:r>
    </w:p>
    <w:p w:rsidR="00000000" w:rsidRDefault="004721A5">
      <w:pPr>
        <w:tabs>
          <w:tab w:val="num" w:pos="600"/>
        </w:tabs>
        <w:spacing w:before="120" w:after="120"/>
        <w:rPr>
          <w:szCs w:val="20"/>
          <w:lang w:val="es-CL"/>
        </w:rPr>
      </w:pPr>
      <w:r>
        <w:rPr>
          <w:szCs w:val="20"/>
          <w:lang w:val="es-CL"/>
        </w:rPr>
        <w:t>20.</w:t>
      </w:r>
      <w:r>
        <w:rPr>
          <w:szCs w:val="20"/>
          <w:lang w:val="es-CL"/>
        </w:rPr>
        <w:tab/>
      </w:r>
      <w:smartTag w:uri="urn:schemas-microsoft-com:office:smarttags" w:element="PersonName">
        <w:smartTagPr>
          <w:attr w:name="ProductID" w:val="la Corte"/>
        </w:smartTagPr>
        <w:r>
          <w:rPr>
            <w:szCs w:val="20"/>
            <w:lang w:val="es-CL"/>
          </w:rPr>
          <w:t>La Corte</w:t>
        </w:r>
      </w:smartTag>
      <w:r>
        <w:rPr>
          <w:szCs w:val="20"/>
          <w:lang w:val="es-CL"/>
        </w:rPr>
        <w:t xml:space="preserve"> constata que el Estado ha expresado de manera reiterada, en sus comunicaciones de 18 de enero, 18 de febrero, 27 de febrero, 2 de abril y 7 de mayo </w:t>
      </w:r>
      <w:r>
        <w:rPr>
          <w:szCs w:val="20"/>
          <w:lang w:val="es-CL"/>
        </w:rPr>
        <w:t xml:space="preserve">de 2008,  su rechazo de la medida de reparación ordenada, la cual constituye el objeto de la presente demanda de interpretación. El Estado reconoce expresamente que está presentando una impugnación de la sentencia, al sostener que “espera que </w:t>
      </w:r>
      <w:smartTag w:uri="urn:schemas-microsoft-com:office:smarttags" w:element="PersonName">
        <w:smartTagPr>
          <w:attr w:name="ProductID" w:val="la Corte"/>
        </w:smartTagPr>
        <w:r>
          <w:rPr>
            <w:szCs w:val="20"/>
            <w:lang w:val="es-CL"/>
          </w:rPr>
          <w:t>la Corte</w:t>
        </w:r>
      </w:smartTag>
      <w:r>
        <w:rPr>
          <w:szCs w:val="20"/>
          <w:lang w:val="es-CL"/>
        </w:rPr>
        <w:t xml:space="preserve">, de </w:t>
      </w:r>
      <w:r>
        <w:rPr>
          <w:szCs w:val="20"/>
          <w:lang w:val="es-CL"/>
        </w:rPr>
        <w:t>ser posible,</w:t>
      </w:r>
      <w:r>
        <w:rPr>
          <w:b/>
          <w:szCs w:val="20"/>
          <w:lang w:val="es-CL"/>
        </w:rPr>
        <w:t xml:space="preserve"> </w:t>
      </w:r>
      <w:r>
        <w:rPr>
          <w:szCs w:val="20"/>
          <w:u w:val="single"/>
          <w:lang w:val="es-CL"/>
        </w:rPr>
        <w:t>subsane su error o al menos sustente su actuación</w:t>
      </w:r>
      <w:r>
        <w:rPr>
          <w:szCs w:val="20"/>
          <w:lang w:val="es-CL"/>
        </w:rPr>
        <w:t>”</w:t>
      </w:r>
      <w:r>
        <w:rPr>
          <w:b/>
          <w:szCs w:val="20"/>
          <w:lang w:val="es-CL"/>
        </w:rPr>
        <w:t xml:space="preserve"> </w:t>
      </w:r>
      <w:r>
        <w:rPr>
          <w:szCs w:val="20"/>
          <w:lang w:val="es-CL"/>
        </w:rPr>
        <w:t>(subrayado fuera de texto) y que “</w:t>
      </w:r>
      <w:r>
        <w:rPr>
          <w:szCs w:val="20"/>
          <w:u w:val="single"/>
          <w:lang w:val="es-CL"/>
        </w:rPr>
        <w:t>[n]o se debe olvidar que en Derecho las cosas se deshacen como se hacen y una medida infundada como la ordenada debe admitir el empleo excepcional de una medi</w:t>
      </w:r>
      <w:r>
        <w:rPr>
          <w:szCs w:val="20"/>
          <w:u w:val="single"/>
          <w:lang w:val="es-CL"/>
        </w:rPr>
        <w:t>da correctiva no prevista pero necesaria</w:t>
      </w:r>
      <w:r>
        <w:rPr>
          <w:szCs w:val="20"/>
          <w:lang w:val="es-CL"/>
        </w:rPr>
        <w:t xml:space="preserve">” (subrayado fuera de texto). </w:t>
      </w:r>
      <w:smartTag w:uri="urn:schemas-microsoft-com:office:smarttags" w:element="PersonName">
        <w:smartTagPr>
          <w:attr w:name="ProductID" w:val="la Corte"/>
        </w:smartTagPr>
        <w:r>
          <w:rPr>
            <w:szCs w:val="20"/>
            <w:lang w:val="es-CL"/>
          </w:rPr>
          <w:t>La Corte</w:t>
        </w:r>
      </w:smartTag>
      <w:r>
        <w:rPr>
          <w:szCs w:val="20"/>
          <w:lang w:val="es-CL"/>
        </w:rPr>
        <w:t xml:space="preserve"> debe entonces declarar la demanda de interpretación de </w:t>
      </w:r>
      <w:smartTag w:uri="urn:schemas-microsoft-com:office:smarttags" w:element="PersonName">
        <w:smartTagPr>
          <w:attr w:name="ProductID" w:val="la Sentencia"/>
        </w:smartTagPr>
        <w:r>
          <w:rPr>
            <w:szCs w:val="20"/>
            <w:lang w:val="es-CL"/>
          </w:rPr>
          <w:t>la Sentencia</w:t>
        </w:r>
      </w:smartTag>
      <w:r>
        <w:rPr>
          <w:szCs w:val="20"/>
          <w:lang w:val="es-CL"/>
        </w:rPr>
        <w:t xml:space="preserve"> </w:t>
      </w:r>
      <w:r>
        <w:rPr>
          <w:szCs w:val="20"/>
          <w:lang w:val="es-CL"/>
        </w:rPr>
        <w:lastRenderedPageBreak/>
        <w:t>inadmisible, puesto que el Estado está presentando una solicitud de revisión de la reparación determinada por</w:t>
      </w:r>
      <w:r>
        <w:rPr>
          <w:szCs w:val="20"/>
          <w:lang w:val="es-CL"/>
        </w:rPr>
        <w:t xml:space="preserve"> el Tribunal. </w:t>
      </w:r>
    </w:p>
    <w:p w:rsidR="00000000" w:rsidRDefault="004721A5">
      <w:pPr>
        <w:tabs>
          <w:tab w:val="num" w:pos="600"/>
          <w:tab w:val="left" w:pos="6300"/>
        </w:tabs>
        <w:spacing w:before="120" w:after="120"/>
        <w:rPr>
          <w:szCs w:val="20"/>
          <w:lang w:val="es-CL"/>
        </w:rPr>
      </w:pPr>
      <w:r>
        <w:rPr>
          <w:szCs w:val="20"/>
          <w:lang w:val="es-CL"/>
        </w:rPr>
        <w:t>21.</w:t>
      </w:r>
      <w:r>
        <w:rPr>
          <w:szCs w:val="20"/>
          <w:lang w:val="es-CL"/>
        </w:rPr>
        <w:tab/>
        <w:t>Asimismo, esta</w:t>
      </w:r>
      <w:r>
        <w:t xml:space="preserve"> Corte ha señalado que procede un recurso de revisión en casos excepcionales, cuando un hecho, conocido luego de emitida la sentencia, afecte lo decidido, o demuestre un vicio sustancial de ésta</w:t>
      </w:r>
      <w:r>
        <w:rPr>
          <w:rStyle w:val="Refdenotaalpie"/>
        </w:rPr>
        <w:footnoteReference w:id="5"/>
      </w:r>
      <w:r>
        <w:t>.</w:t>
      </w:r>
      <w:r>
        <w:rPr>
          <w:szCs w:val="20"/>
          <w:lang w:val="es-CL"/>
        </w:rPr>
        <w:t xml:space="preserve"> Sin embargo, en este caso,</w:t>
      </w:r>
      <w:r>
        <w:rPr>
          <w:szCs w:val="20"/>
          <w:lang w:val="es-CL"/>
        </w:rPr>
        <w:t xml:space="preserve"> no existe ningún </w:t>
      </w:r>
      <w:r>
        <w:t>hecho o situación relevante desconocida en el momento de dictarse la sentencia</w:t>
      </w:r>
      <w:r>
        <w:rPr>
          <w:szCs w:val="20"/>
          <w:lang w:val="es-CL"/>
        </w:rPr>
        <w:t xml:space="preserve"> que, </w:t>
      </w:r>
      <w:r>
        <w:t xml:space="preserve">de haberse conocido, hubiese modificado su resultado, sino que el Estado está cuestionando la competencia de </w:t>
      </w:r>
      <w:smartTag w:uri="urn:schemas-microsoft-com:office:smarttags" w:element="PersonName">
        <w:smartTagPr>
          <w:attr w:name="ProductID" w:val="la Corte"/>
        </w:smartTagPr>
        <w:r>
          <w:t>la Corte</w:t>
        </w:r>
      </w:smartTag>
      <w:r>
        <w:t xml:space="preserve"> para ordenar ciertas medidas de repa</w:t>
      </w:r>
      <w:r>
        <w:t xml:space="preserve">ración alegadamente contrarias al derecho interno y alegadamente contrarias a principios generales de derecho. </w:t>
      </w:r>
      <w:r>
        <w:rPr>
          <w:szCs w:val="20"/>
          <w:lang w:val="es-CL"/>
        </w:rPr>
        <w:t xml:space="preserve">Por lo anterior, no se cumplen los requisitos para que </w:t>
      </w:r>
      <w:smartTag w:uri="urn:schemas-microsoft-com:office:smarttags" w:element="PersonName">
        <w:smartTagPr>
          <w:attr w:name="ProductID" w:val="la Corte"/>
        </w:smartTagPr>
        <w:r>
          <w:rPr>
            <w:szCs w:val="20"/>
            <w:lang w:val="es-CL"/>
          </w:rPr>
          <w:t>la Corte</w:t>
        </w:r>
      </w:smartTag>
      <w:r>
        <w:rPr>
          <w:szCs w:val="20"/>
          <w:lang w:val="es-CL"/>
        </w:rPr>
        <w:t xml:space="preserve"> pueda realizar una revisión de su Sentencia. </w:t>
      </w:r>
    </w:p>
    <w:p w:rsidR="00000000" w:rsidRDefault="004721A5">
      <w:pPr>
        <w:widowControl/>
        <w:suppressAutoHyphens w:val="0"/>
        <w:spacing w:before="120" w:after="120"/>
        <w:rPr>
          <w:rFonts w:cs="Tahoma"/>
          <w:b/>
          <w:sz w:val="16"/>
          <w:szCs w:val="20"/>
        </w:rPr>
      </w:pPr>
    </w:p>
    <w:p w:rsidR="00000000" w:rsidRDefault="004721A5">
      <w:pPr>
        <w:jc w:val="center"/>
        <w:rPr>
          <w:b/>
          <w:szCs w:val="20"/>
          <w:lang w:val="es-ES_tradnl"/>
        </w:rPr>
      </w:pPr>
      <w:r>
        <w:rPr>
          <w:b/>
          <w:szCs w:val="20"/>
          <w:lang w:val="es-ES_tradnl"/>
        </w:rPr>
        <w:t>IV</w:t>
      </w:r>
    </w:p>
    <w:p w:rsidR="00000000" w:rsidRDefault="004721A5">
      <w:pPr>
        <w:jc w:val="center"/>
        <w:rPr>
          <w:b/>
          <w:szCs w:val="20"/>
          <w:lang w:val="es-ES_tradnl"/>
        </w:rPr>
      </w:pPr>
      <w:r>
        <w:rPr>
          <w:b/>
          <w:szCs w:val="20"/>
          <w:lang w:val="es-ES_tradnl"/>
        </w:rPr>
        <w:t>Puntos Resolutivos</w:t>
      </w:r>
    </w:p>
    <w:p w:rsidR="00000000" w:rsidRDefault="004721A5">
      <w:pPr>
        <w:spacing w:before="120" w:after="120"/>
        <w:jc w:val="center"/>
        <w:rPr>
          <w:b/>
          <w:smallCaps/>
          <w:szCs w:val="20"/>
          <w:lang w:val="es-ES_tradnl"/>
        </w:rPr>
      </w:pPr>
    </w:p>
    <w:p w:rsidR="00000000" w:rsidRDefault="004721A5">
      <w:pPr>
        <w:spacing w:before="120" w:after="120"/>
        <w:rPr>
          <w:szCs w:val="20"/>
          <w:lang w:val="es-ES_tradnl"/>
        </w:rPr>
      </w:pPr>
      <w:r>
        <w:rPr>
          <w:szCs w:val="20"/>
          <w:lang w:val="es-ES_tradnl"/>
        </w:rPr>
        <w:t>22.</w:t>
      </w:r>
      <w:r>
        <w:rPr>
          <w:szCs w:val="20"/>
          <w:lang w:val="es-ES_tradnl"/>
        </w:rPr>
        <w:tab/>
        <w:t>Por las</w:t>
      </w:r>
      <w:r>
        <w:rPr>
          <w:szCs w:val="20"/>
          <w:lang w:val="es-ES_tradnl"/>
        </w:rPr>
        <w:t xml:space="preserve"> razones expuestas,</w:t>
      </w:r>
    </w:p>
    <w:p w:rsidR="00000000" w:rsidRDefault="004721A5">
      <w:pPr>
        <w:spacing w:before="120" w:after="120"/>
        <w:rPr>
          <w:b/>
          <w:sz w:val="16"/>
          <w:szCs w:val="20"/>
          <w:lang w:val="es-ES_tradnl"/>
        </w:rPr>
      </w:pPr>
    </w:p>
    <w:p w:rsidR="00000000" w:rsidRDefault="004721A5">
      <w:pPr>
        <w:spacing w:before="120" w:after="120"/>
        <w:rPr>
          <w:b/>
          <w:szCs w:val="20"/>
          <w:lang w:val="es-ES_tradnl"/>
        </w:rPr>
      </w:pPr>
      <w:smartTag w:uri="urn:schemas-microsoft-com:office:smarttags" w:element="PersonName">
        <w:smartTagPr>
          <w:attr w:name="ProductID" w:val="la Corte Interamericana"/>
        </w:smartTagPr>
        <w:r>
          <w:rPr>
            <w:b/>
            <w:szCs w:val="20"/>
            <w:lang w:val="es-ES_tradnl"/>
          </w:rPr>
          <w:t>La Corte Interamericana</w:t>
        </w:r>
      </w:smartTag>
      <w:r>
        <w:rPr>
          <w:b/>
          <w:szCs w:val="20"/>
          <w:lang w:val="es-ES_tradnl"/>
        </w:rPr>
        <w:t xml:space="preserve"> de Derechos Humanos</w:t>
      </w:r>
    </w:p>
    <w:p w:rsidR="00000000" w:rsidRDefault="004721A5">
      <w:pPr>
        <w:spacing w:before="120" w:after="120"/>
        <w:rPr>
          <w:b/>
          <w:smallCaps/>
          <w:sz w:val="16"/>
          <w:szCs w:val="20"/>
          <w:lang w:val="es-ES_tradnl"/>
        </w:rPr>
      </w:pPr>
    </w:p>
    <w:p w:rsidR="00000000" w:rsidRDefault="004721A5">
      <w:pPr>
        <w:spacing w:before="120" w:after="120"/>
        <w:rPr>
          <w:szCs w:val="20"/>
          <w:lang w:val="es-ES_tradnl"/>
        </w:rPr>
      </w:pPr>
      <w:r>
        <w:rPr>
          <w:szCs w:val="20"/>
          <w:lang w:val="es-ES_tradnl"/>
        </w:rPr>
        <w:t xml:space="preserve">de conformidad con el artículo 67 de </w:t>
      </w:r>
      <w:smartTag w:uri="urn:schemas-microsoft-com:office:smarttags" w:element="PersonName">
        <w:smartTagPr>
          <w:attr w:name="ProductID" w:val="la Convención Americana"/>
        </w:smartTagPr>
        <w:r>
          <w:rPr>
            <w:szCs w:val="20"/>
            <w:lang w:val="es-ES_tradnl"/>
          </w:rPr>
          <w:t>la Convención Americana</w:t>
        </w:r>
      </w:smartTag>
      <w:r>
        <w:rPr>
          <w:szCs w:val="20"/>
          <w:lang w:val="es-ES_tradnl"/>
        </w:rPr>
        <w:t xml:space="preserve"> sobre Derechos Humanos y los artículos 29.3 y 59 del Reglamento,</w:t>
      </w:r>
    </w:p>
    <w:p w:rsidR="00000000" w:rsidRDefault="004721A5">
      <w:pPr>
        <w:spacing w:before="120" w:after="120"/>
        <w:rPr>
          <w:szCs w:val="20"/>
          <w:lang w:val="es-ES_tradnl"/>
        </w:rPr>
      </w:pPr>
    </w:p>
    <w:p w:rsidR="00000000" w:rsidRDefault="004721A5">
      <w:pPr>
        <w:spacing w:before="120" w:after="120"/>
        <w:rPr>
          <w:b/>
          <w:szCs w:val="20"/>
          <w:lang w:val="es-ES_tradnl"/>
        </w:rPr>
      </w:pPr>
      <w:r>
        <w:rPr>
          <w:b/>
          <w:szCs w:val="20"/>
          <w:lang w:val="es-ES_tradnl"/>
        </w:rPr>
        <w:t>Decide:</w:t>
      </w:r>
    </w:p>
    <w:p w:rsidR="00000000" w:rsidRDefault="004721A5">
      <w:pPr>
        <w:spacing w:before="120" w:after="120"/>
        <w:rPr>
          <w:b/>
          <w:smallCaps/>
          <w:sz w:val="16"/>
          <w:szCs w:val="20"/>
          <w:lang w:val="es-ES_tradnl"/>
        </w:rPr>
      </w:pPr>
    </w:p>
    <w:p w:rsidR="00000000" w:rsidRDefault="004721A5">
      <w:pPr>
        <w:pStyle w:val="Encabezado"/>
        <w:tabs>
          <w:tab w:val="clear" w:pos="4320"/>
          <w:tab w:val="clear" w:pos="8640"/>
        </w:tabs>
        <w:spacing w:before="120" w:after="120"/>
        <w:rPr>
          <w:rFonts w:ascii="Verdana" w:hAnsi="Verdana"/>
        </w:rPr>
      </w:pPr>
      <w:r>
        <w:rPr>
          <w:rFonts w:ascii="Verdana" w:hAnsi="Verdana"/>
        </w:rPr>
        <w:t>Por unanimidad,</w:t>
      </w:r>
    </w:p>
    <w:p w:rsidR="00000000" w:rsidRDefault="004721A5">
      <w:pPr>
        <w:spacing w:before="120" w:after="120"/>
        <w:rPr>
          <w:sz w:val="16"/>
          <w:szCs w:val="20"/>
          <w:lang w:val="es-ES_tradnl"/>
        </w:rPr>
      </w:pPr>
    </w:p>
    <w:p w:rsidR="00000000" w:rsidRDefault="004721A5">
      <w:pPr>
        <w:spacing w:before="120" w:after="120"/>
        <w:rPr>
          <w:szCs w:val="20"/>
          <w:lang w:val="es-ES_tradnl"/>
        </w:rPr>
      </w:pPr>
      <w:r>
        <w:rPr>
          <w:szCs w:val="20"/>
          <w:lang w:val="es-ES_tradnl"/>
        </w:rPr>
        <w:t>1.</w:t>
      </w:r>
      <w:r>
        <w:rPr>
          <w:szCs w:val="20"/>
          <w:lang w:val="es-ES_tradnl"/>
        </w:rPr>
        <w:tab/>
        <w:t>Declarar inadmisible la demanda de</w:t>
      </w:r>
      <w:r>
        <w:rPr>
          <w:szCs w:val="20"/>
          <w:lang w:val="es-ES_tradnl"/>
        </w:rPr>
        <w:t xml:space="preserve"> interpretación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excepciones preliminares, fondo, reparaciones y costas dictada el 21 de noviembre de 2007 en los términos de los párrafos 20 y 21 de este fallo. </w:t>
      </w:r>
    </w:p>
    <w:p w:rsidR="00000000" w:rsidRDefault="004721A5">
      <w:pPr>
        <w:spacing w:before="120" w:after="120"/>
        <w:rPr>
          <w:szCs w:val="20"/>
          <w:lang w:val="es-ES_tradnl"/>
        </w:rPr>
      </w:pPr>
      <w:r>
        <w:rPr>
          <w:szCs w:val="20"/>
          <w:lang w:val="es-ES_tradnl"/>
        </w:rPr>
        <w:t>2.</w:t>
      </w:r>
      <w:r>
        <w:rPr>
          <w:szCs w:val="20"/>
          <w:lang w:val="es-ES_tradnl"/>
        </w:rPr>
        <w:tab/>
        <w:t xml:space="preserve">Solicitar a </w:t>
      </w:r>
      <w:smartTag w:uri="urn:schemas-microsoft-com:office:smarttags" w:element="PersonName">
        <w:smartTagPr>
          <w:attr w:name="ProductID" w:val="la Secretaría"/>
        </w:smartTagPr>
        <w:r>
          <w:rPr>
            <w:szCs w:val="20"/>
            <w:lang w:val="es-ES_tradnl"/>
          </w:rPr>
          <w:t>la Secretaría</w:t>
        </w:r>
      </w:smartTag>
      <w:r>
        <w:rPr>
          <w:szCs w:val="20"/>
          <w:lang w:val="es-ES_tradnl"/>
        </w:rPr>
        <w:t xml:space="preserve">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que notifique la presente Sentenci</w:t>
      </w:r>
      <w:r>
        <w:rPr>
          <w:szCs w:val="20"/>
          <w:lang w:val="es-ES_tradnl"/>
        </w:rPr>
        <w:t xml:space="preserve">a a los representantes de las víctimas, al Estado del Ecuador y a </w:t>
      </w:r>
      <w:smartTag w:uri="urn:schemas-microsoft-com:office:smarttags" w:element="PersonName">
        <w:smartTagPr>
          <w:attr w:name="ProductID" w:val="la Comisión Interamericana"/>
        </w:smartTagPr>
        <w:r>
          <w:rPr>
            <w:szCs w:val="20"/>
            <w:lang w:val="es-ES_tradnl"/>
          </w:rPr>
          <w:t>la Comisión Interamericana</w:t>
        </w:r>
      </w:smartTag>
      <w:r>
        <w:rPr>
          <w:szCs w:val="20"/>
          <w:lang w:val="es-ES_tradnl"/>
        </w:rPr>
        <w:t xml:space="preserve"> de Derechos Humanos.</w:t>
      </w:r>
    </w:p>
    <w:p w:rsidR="00000000" w:rsidRDefault="004721A5">
      <w:pPr>
        <w:spacing w:after="120"/>
      </w:pPr>
      <w:r>
        <w:t>Redactada en español y en inglés, haciendo fe del texto en español, en San José, Costa Rica, el 26 de noviembre de 2008.</w:t>
      </w:r>
    </w:p>
    <w:p w:rsidR="00000000" w:rsidRDefault="004721A5">
      <w:pPr>
        <w:jc w:val="center"/>
      </w:pPr>
    </w:p>
    <w:p w:rsidR="00000000" w:rsidRDefault="004721A5">
      <w:pPr>
        <w:jc w:val="center"/>
      </w:pPr>
    </w:p>
    <w:p w:rsidR="00000000" w:rsidRDefault="004721A5"/>
    <w:p w:rsidR="00000000" w:rsidRDefault="004721A5">
      <w:pPr>
        <w:jc w:val="center"/>
      </w:pPr>
    </w:p>
    <w:p w:rsidR="00000000" w:rsidRDefault="004721A5">
      <w:pPr>
        <w:jc w:val="center"/>
      </w:pPr>
      <w:r>
        <w:t>Sergio García Ram</w:t>
      </w:r>
      <w:r>
        <w:t>írez</w:t>
      </w:r>
    </w:p>
    <w:p w:rsidR="00000000" w:rsidRDefault="004721A5">
      <w:pPr>
        <w:jc w:val="center"/>
      </w:pPr>
      <w:r>
        <w:t>Presidente</w:t>
      </w:r>
    </w:p>
    <w:p w:rsidR="00000000" w:rsidRDefault="004721A5"/>
    <w:p w:rsidR="00000000" w:rsidRDefault="004721A5"/>
    <w:p w:rsidR="00000000" w:rsidRDefault="004721A5"/>
    <w:p w:rsidR="00000000" w:rsidRDefault="004721A5"/>
    <w:p w:rsidR="00000000" w:rsidRDefault="004721A5">
      <w:pPr>
        <w:tabs>
          <w:tab w:val="right" w:pos="8640"/>
        </w:tabs>
      </w:pPr>
      <w:smartTag w:uri="urn:schemas-microsoft-com:office:smarttags" w:element="PersonName">
        <w:r>
          <w:t>Cecilia Medina</w:t>
        </w:r>
      </w:smartTag>
      <w:r>
        <w:t xml:space="preserve"> Quiroga</w:t>
      </w:r>
      <w:r>
        <w:tab/>
        <w:t>Manuel E. Ventura Robles</w:t>
      </w:r>
    </w:p>
    <w:p w:rsidR="00000000" w:rsidRDefault="004721A5">
      <w:pPr>
        <w:tabs>
          <w:tab w:val="right" w:pos="8640"/>
        </w:tabs>
      </w:pPr>
    </w:p>
    <w:p w:rsidR="00000000" w:rsidRDefault="004721A5">
      <w:pPr>
        <w:tabs>
          <w:tab w:val="right" w:pos="8640"/>
        </w:tabs>
      </w:pPr>
    </w:p>
    <w:p w:rsidR="00000000" w:rsidRDefault="004721A5">
      <w:pPr>
        <w:tabs>
          <w:tab w:val="right" w:pos="8640"/>
        </w:tabs>
      </w:pPr>
    </w:p>
    <w:p w:rsidR="00000000" w:rsidRDefault="004721A5">
      <w:pPr>
        <w:tabs>
          <w:tab w:val="right" w:pos="8640"/>
        </w:tabs>
      </w:pPr>
    </w:p>
    <w:p w:rsidR="00000000" w:rsidRDefault="004721A5">
      <w:pPr>
        <w:tabs>
          <w:tab w:val="right" w:pos="8640"/>
        </w:tabs>
      </w:pPr>
      <w:r>
        <w:t>Diego García-Sayán</w:t>
      </w:r>
      <w:r>
        <w:tab/>
        <w:t>Leonardo A. Franco</w:t>
      </w:r>
    </w:p>
    <w:p w:rsidR="00000000" w:rsidRDefault="004721A5">
      <w:pPr>
        <w:tabs>
          <w:tab w:val="right" w:pos="8640"/>
        </w:tabs>
      </w:pPr>
    </w:p>
    <w:p w:rsidR="00000000" w:rsidRDefault="004721A5">
      <w:pPr>
        <w:tabs>
          <w:tab w:val="right" w:pos="8640"/>
        </w:tabs>
      </w:pPr>
    </w:p>
    <w:p w:rsidR="00000000" w:rsidRDefault="004721A5">
      <w:pPr>
        <w:tabs>
          <w:tab w:val="right" w:pos="8640"/>
        </w:tabs>
      </w:pPr>
    </w:p>
    <w:p w:rsidR="00000000" w:rsidRDefault="004721A5">
      <w:pPr>
        <w:tabs>
          <w:tab w:val="right" w:pos="8640"/>
        </w:tabs>
      </w:pPr>
    </w:p>
    <w:p w:rsidR="00000000" w:rsidRDefault="004721A5">
      <w:pPr>
        <w:tabs>
          <w:tab w:val="right" w:pos="8640"/>
        </w:tabs>
        <w:rPr>
          <w:lang w:val="en-GB"/>
        </w:rPr>
      </w:pPr>
      <w:r>
        <w:rPr>
          <w:lang w:val="en-GB"/>
        </w:rPr>
        <w:t>Margarette May Macaulay</w:t>
      </w:r>
      <w:r>
        <w:rPr>
          <w:lang w:val="en-GB"/>
        </w:rPr>
        <w:tab/>
        <w:t>Rhadys Abreu Blondet</w:t>
      </w:r>
    </w:p>
    <w:p w:rsidR="00000000" w:rsidRDefault="004721A5">
      <w:pPr>
        <w:tabs>
          <w:tab w:val="left" w:pos="8460"/>
          <w:tab w:val="left" w:pos="8640"/>
        </w:tabs>
        <w:rPr>
          <w:lang w:val="en-GB"/>
        </w:rPr>
      </w:pPr>
    </w:p>
    <w:p w:rsidR="00000000" w:rsidRDefault="004721A5">
      <w:pPr>
        <w:tabs>
          <w:tab w:val="left" w:pos="8460"/>
          <w:tab w:val="left" w:pos="8640"/>
        </w:tabs>
        <w:rPr>
          <w:lang w:val="en-GB"/>
        </w:rPr>
      </w:pPr>
    </w:p>
    <w:p w:rsidR="00000000" w:rsidRDefault="004721A5">
      <w:pPr>
        <w:tabs>
          <w:tab w:val="left" w:pos="8460"/>
          <w:tab w:val="left" w:pos="8640"/>
        </w:tabs>
        <w:rPr>
          <w:lang w:val="en-GB"/>
        </w:rPr>
      </w:pPr>
    </w:p>
    <w:p w:rsidR="00000000" w:rsidRDefault="004721A5">
      <w:pPr>
        <w:tabs>
          <w:tab w:val="left" w:pos="8460"/>
          <w:tab w:val="left" w:pos="8640"/>
        </w:tabs>
        <w:rPr>
          <w:lang w:val="en-GB"/>
        </w:rPr>
      </w:pPr>
    </w:p>
    <w:p w:rsidR="00000000" w:rsidRDefault="004721A5">
      <w:pPr>
        <w:tabs>
          <w:tab w:val="left" w:pos="8460"/>
          <w:tab w:val="left" w:pos="8640"/>
        </w:tabs>
        <w:jc w:val="center"/>
      </w:pPr>
      <w:smartTag w:uri="urn:schemas-microsoft-com:office:smarttags" w:element="PersonName">
        <w:r>
          <w:t>Pablo Saavedra</w:t>
        </w:r>
      </w:smartTag>
      <w:r>
        <w:t xml:space="preserve"> Alessandri</w:t>
      </w:r>
    </w:p>
    <w:p w:rsidR="00000000" w:rsidRDefault="004721A5">
      <w:pPr>
        <w:tabs>
          <w:tab w:val="left" w:pos="8460"/>
          <w:tab w:val="left" w:pos="8640"/>
        </w:tabs>
        <w:jc w:val="center"/>
      </w:pPr>
      <w:r>
        <w:t>Secretario</w:t>
      </w:r>
    </w:p>
    <w:p w:rsidR="00000000" w:rsidRDefault="004721A5">
      <w:pPr>
        <w:tabs>
          <w:tab w:val="left" w:pos="8460"/>
          <w:tab w:val="left" w:pos="8640"/>
        </w:tabs>
      </w:pPr>
    </w:p>
    <w:p w:rsidR="00000000" w:rsidRDefault="004721A5"/>
    <w:p w:rsidR="00000000" w:rsidRDefault="004721A5">
      <w:pPr>
        <w:tabs>
          <w:tab w:val="left" w:pos="8460"/>
          <w:tab w:val="left" w:pos="8640"/>
        </w:tabs>
      </w:pPr>
      <w:r>
        <w:t>Comuníquese y ejecútese,</w:t>
      </w:r>
    </w:p>
    <w:p w:rsidR="00000000" w:rsidRDefault="004721A5">
      <w:pPr>
        <w:tabs>
          <w:tab w:val="left" w:pos="8460"/>
          <w:tab w:val="left" w:pos="8640"/>
        </w:tabs>
      </w:pPr>
    </w:p>
    <w:p w:rsidR="00000000" w:rsidRDefault="004721A5">
      <w:pPr>
        <w:tabs>
          <w:tab w:val="left" w:pos="8460"/>
          <w:tab w:val="left" w:pos="8640"/>
        </w:tabs>
      </w:pPr>
    </w:p>
    <w:p w:rsidR="00000000" w:rsidRDefault="004721A5">
      <w:pPr>
        <w:tabs>
          <w:tab w:val="left" w:pos="8460"/>
          <w:tab w:val="left" w:pos="8640"/>
        </w:tabs>
      </w:pPr>
    </w:p>
    <w:p w:rsidR="00000000" w:rsidRDefault="004721A5">
      <w:pPr>
        <w:tabs>
          <w:tab w:val="left" w:pos="8460"/>
          <w:tab w:val="left" w:pos="8640"/>
        </w:tabs>
      </w:pPr>
    </w:p>
    <w:p w:rsidR="00000000" w:rsidRDefault="004721A5">
      <w:pPr>
        <w:jc w:val="right"/>
      </w:pPr>
      <w:r>
        <w:t>Sergio García Ramírez</w:t>
      </w:r>
    </w:p>
    <w:p w:rsidR="00000000" w:rsidRDefault="004721A5">
      <w:pPr>
        <w:ind w:right="720"/>
        <w:jc w:val="right"/>
      </w:pPr>
      <w:r>
        <w:t>Pre</w:t>
      </w:r>
      <w:r>
        <w:t>sidente</w:t>
      </w:r>
    </w:p>
    <w:p w:rsidR="00000000" w:rsidRDefault="004721A5">
      <w:pPr>
        <w:tabs>
          <w:tab w:val="left" w:pos="8460"/>
          <w:tab w:val="left" w:pos="8640"/>
        </w:tabs>
      </w:pPr>
    </w:p>
    <w:p w:rsidR="00000000" w:rsidRDefault="004721A5">
      <w:pPr>
        <w:tabs>
          <w:tab w:val="left" w:pos="8460"/>
          <w:tab w:val="left" w:pos="8640"/>
        </w:tabs>
      </w:pPr>
    </w:p>
    <w:p w:rsidR="00000000" w:rsidRDefault="004721A5">
      <w:pPr>
        <w:tabs>
          <w:tab w:val="left" w:pos="8460"/>
          <w:tab w:val="left" w:pos="8640"/>
        </w:tabs>
      </w:pPr>
    </w:p>
    <w:p w:rsidR="00000000" w:rsidRDefault="004721A5">
      <w:pPr>
        <w:tabs>
          <w:tab w:val="left" w:pos="8460"/>
          <w:tab w:val="left" w:pos="8640"/>
        </w:tabs>
      </w:pPr>
    </w:p>
    <w:p w:rsidR="00000000" w:rsidRDefault="004721A5">
      <w:pPr>
        <w:tabs>
          <w:tab w:val="left" w:pos="8460"/>
          <w:tab w:val="left" w:pos="8640"/>
        </w:tabs>
      </w:pPr>
      <w:smartTag w:uri="urn:schemas-microsoft-com:office:smarttags" w:element="PersonName">
        <w:r>
          <w:t>Pablo Saavedra</w:t>
        </w:r>
      </w:smartTag>
      <w:r>
        <w:t xml:space="preserve"> Alessandri</w:t>
      </w:r>
    </w:p>
    <w:p w:rsidR="00000000" w:rsidRDefault="004721A5">
      <w:pPr>
        <w:tabs>
          <w:tab w:val="left" w:pos="8640"/>
        </w:tabs>
        <w:ind w:left="720"/>
      </w:pPr>
      <w:r>
        <w:t xml:space="preserve">  Secretario</w:t>
      </w:r>
    </w:p>
    <w:p w:rsidR="00000000" w:rsidRDefault="004721A5">
      <w:pPr>
        <w:tabs>
          <w:tab w:val="left" w:pos="8640"/>
        </w:tabs>
        <w:ind w:left="720"/>
      </w:pPr>
    </w:p>
    <w:p w:rsidR="004721A5" w:rsidRDefault="004721A5">
      <w:pPr>
        <w:spacing w:after="120"/>
      </w:pPr>
    </w:p>
    <w:sectPr w:rsidR="004721A5">
      <w:headerReference w:type="even" r:id="rId7"/>
      <w:headerReference w:type="default" r:id="rId8"/>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1A5" w:rsidRDefault="004721A5">
      <w:r>
        <w:separator/>
      </w:r>
    </w:p>
  </w:endnote>
  <w:endnote w:type="continuationSeparator" w:id="0">
    <w:p w:rsidR="004721A5" w:rsidRDefault="0047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1A5" w:rsidRDefault="004721A5">
      <w:r>
        <w:separator/>
      </w:r>
    </w:p>
  </w:footnote>
  <w:footnote w:type="continuationSeparator" w:id="0">
    <w:p w:rsidR="004721A5" w:rsidRDefault="004721A5">
      <w:r>
        <w:continuationSeparator/>
      </w:r>
    </w:p>
  </w:footnote>
  <w:footnote w:id="1">
    <w:p w:rsidR="00000000" w:rsidRDefault="004721A5">
      <w:pPr>
        <w:pStyle w:val="Textonotapie"/>
      </w:pPr>
      <w:r>
        <w:rPr>
          <w:rStyle w:val="Refdenotaalpie"/>
        </w:rPr>
        <w:footnoteRef/>
      </w:r>
      <w:r>
        <w:t xml:space="preserve"> </w:t>
      </w:r>
      <w:r>
        <w:tab/>
      </w:r>
      <w:smartTag w:uri="urn:schemas-microsoft-com:office:smarttags" w:element="PersonName">
        <w:smartTagPr>
          <w:attr w:name="ProductID" w:val="La Secretaria Adjunta"/>
        </w:smartTagPr>
        <w:r>
          <w:t>La Secretaria Adjunta</w:t>
        </w:r>
      </w:smartTag>
      <w:r>
        <w:t xml:space="preserve"> Emilia Segares Rodríguez, por motivos de fuerza mayor, no participó en la deliberación de la presente Sentencia.</w:t>
      </w:r>
    </w:p>
  </w:footnote>
  <w:footnote w:id="2">
    <w:p w:rsidR="00000000" w:rsidRDefault="004721A5">
      <w:pPr>
        <w:pStyle w:val="Textonotapie"/>
        <w:spacing w:before="120" w:after="120"/>
        <w:rPr>
          <w:szCs w:val="16"/>
          <w:lang w:val="es-CL"/>
        </w:rPr>
      </w:pPr>
      <w:r>
        <w:rPr>
          <w:rStyle w:val="Refdenotaalpie"/>
          <w:szCs w:val="16"/>
        </w:rPr>
        <w:footnoteRef/>
      </w:r>
      <w:r>
        <w:rPr>
          <w:szCs w:val="16"/>
        </w:rPr>
        <w:t xml:space="preserve"> </w:t>
      </w:r>
      <w:r>
        <w:rPr>
          <w:szCs w:val="16"/>
          <w:lang w:val="es-CL"/>
        </w:rPr>
        <w:tab/>
      </w:r>
      <w:r>
        <w:rPr>
          <w:i/>
          <w:szCs w:val="16"/>
          <w:lang w:val="es-CL"/>
        </w:rPr>
        <w:t xml:space="preserve">Cfr. </w:t>
      </w:r>
      <w:r>
        <w:rPr>
          <w:bCs/>
          <w:i/>
        </w:rPr>
        <w:t>Caso Chaparro Álvarez y Lapo Íñiguez Vs. Ecuador.</w:t>
      </w:r>
      <w:r>
        <w:rPr>
          <w:b/>
          <w:bCs/>
        </w:rPr>
        <w:t xml:space="preserve"> </w:t>
      </w:r>
      <w:r>
        <w:rPr>
          <w:i/>
        </w:rPr>
        <w:t>Excepci</w:t>
      </w:r>
      <w:r>
        <w:rPr>
          <w:i/>
        </w:rPr>
        <w:t>ones Preliminares, Fondo, Reparaciones y Costas.</w:t>
      </w:r>
      <w:r>
        <w:t xml:space="preserve"> Sentencia de 21 de noviembre de 2007. Serie C No. 170.</w:t>
      </w:r>
    </w:p>
  </w:footnote>
  <w:footnote w:id="3">
    <w:p w:rsidR="00000000" w:rsidRDefault="004721A5">
      <w:pPr>
        <w:pStyle w:val="Textonotapie"/>
        <w:rPr>
          <w:lang w:val="es-CL"/>
        </w:rPr>
      </w:pPr>
      <w:r>
        <w:rPr>
          <w:rStyle w:val="Refdenotaalpie"/>
        </w:rPr>
        <w:footnoteRef/>
      </w:r>
      <w:r>
        <w:t xml:space="preserve"> </w:t>
      </w:r>
      <w:r>
        <w:rPr>
          <w:lang w:val="es-CL"/>
        </w:rPr>
        <w:tab/>
      </w:r>
      <w:smartTag w:uri="urn:schemas-microsoft-com:office:smarttags" w:element="PersonName">
        <w:smartTagPr>
          <w:attr w:name="ProductID" w:val="la Secretaría"/>
        </w:smartTagPr>
        <w:r>
          <w:rPr>
            <w:lang w:val="es-CL"/>
          </w:rPr>
          <w:t>La Secretaría</w:t>
        </w:r>
      </w:smartTag>
      <w:r>
        <w:rPr>
          <w:lang w:val="es-CL"/>
        </w:rPr>
        <w:t xml:space="preserve"> también </w:t>
      </w:r>
      <w:r>
        <w:t xml:space="preserve">informó al Estado que daría trámite a la demanda de interpretación una vez que venciera el plazo con el que contaban </w:t>
      </w:r>
      <w:smartTag w:uri="urn:schemas-microsoft-com:office:smarttags" w:element="PersonName">
        <w:smartTagPr>
          <w:attr w:name="ProductID" w:val="la Comisión Interamericana"/>
        </w:smartTagPr>
        <w:r>
          <w:t>la Comisió</w:t>
        </w:r>
        <w:r>
          <w:t>n Interamericana</w:t>
        </w:r>
      </w:smartTag>
      <w:r>
        <w:t xml:space="preserve"> de Derechos Humanos y los representantes de las víctimas para presentar sus respectivas demandas de interpretación.</w:t>
      </w:r>
    </w:p>
  </w:footnote>
  <w:footnote w:id="4">
    <w:p w:rsidR="00000000" w:rsidRDefault="004721A5">
      <w:pPr>
        <w:pStyle w:val="Textonotapie"/>
        <w:spacing w:before="120" w:after="120"/>
        <w:rPr>
          <w:b/>
          <w:bCs/>
          <w:szCs w:val="16"/>
        </w:rPr>
      </w:pPr>
      <w:r>
        <w:rPr>
          <w:rStyle w:val="FootnoteCharacters"/>
          <w:sz w:val="16"/>
          <w:szCs w:val="16"/>
        </w:rPr>
        <w:footnoteRef/>
      </w:r>
      <w:r>
        <w:rPr>
          <w:i/>
          <w:szCs w:val="16"/>
        </w:rPr>
        <w:tab/>
      </w:r>
      <w:r>
        <w:rPr>
          <w:i/>
          <w:szCs w:val="16"/>
          <w:lang w:val="es-CR"/>
        </w:rPr>
        <w:t xml:space="preserve">Cfr. Caso Loayza Tamayo Vs Perú. Interpretación de </w:t>
      </w:r>
      <w:smartTag w:uri="urn:schemas-microsoft-com:office:smarttags" w:element="PersonName">
        <w:smartTagPr>
          <w:attr w:name="ProductID" w:val="la Sentencia"/>
        </w:smartTagPr>
        <w:r>
          <w:rPr>
            <w:i/>
            <w:szCs w:val="16"/>
            <w:lang w:val="es-CR"/>
          </w:rPr>
          <w:t>la Sentencia</w:t>
        </w:r>
      </w:smartTag>
      <w:r>
        <w:rPr>
          <w:i/>
          <w:szCs w:val="16"/>
          <w:lang w:val="es-CR"/>
        </w:rPr>
        <w:t xml:space="preserve"> de Fondo</w:t>
      </w:r>
      <w:r>
        <w:rPr>
          <w:szCs w:val="16"/>
          <w:lang w:val="es-CR"/>
        </w:rPr>
        <w:t xml:space="preserve">. Resolución de </w:t>
      </w:r>
      <w:smartTag w:uri="urn:schemas-microsoft-com:office:smarttags" w:element="PersonName">
        <w:smartTagPr>
          <w:attr w:name="ProductID" w:val="la Corte"/>
        </w:smartTagPr>
        <w:r>
          <w:rPr>
            <w:szCs w:val="16"/>
            <w:lang w:val="es-CR"/>
          </w:rPr>
          <w:t>la Corte</w:t>
        </w:r>
      </w:smartTag>
      <w:r>
        <w:rPr>
          <w:szCs w:val="16"/>
          <w:lang w:val="es-CR"/>
        </w:rPr>
        <w:t xml:space="preserve"> de 8 de marzo de 1998. </w:t>
      </w:r>
      <w:r>
        <w:rPr>
          <w:szCs w:val="16"/>
          <w:lang w:val="es-ES"/>
        </w:rPr>
        <w:t>S</w:t>
      </w:r>
      <w:r>
        <w:rPr>
          <w:szCs w:val="16"/>
          <w:lang w:val="es-ES"/>
        </w:rPr>
        <w:t xml:space="preserve">erie C No. 47, párr. 16; </w:t>
      </w:r>
      <w:r>
        <w:rPr>
          <w:bCs/>
          <w:i/>
        </w:rPr>
        <w:t xml:space="preserve">Caso Escué Zapata Vs. Colombia. </w:t>
      </w:r>
      <w:r>
        <w:rPr>
          <w:i/>
        </w:rPr>
        <w:t xml:space="preserve">Interpretación de </w:t>
      </w:r>
      <w:smartTag w:uri="urn:schemas-microsoft-com:office:smarttags" w:element="PersonName">
        <w:smartTagPr>
          <w:attr w:name="ProductID" w:val="la Sentencia"/>
        </w:smartTagPr>
        <w:r>
          <w:rPr>
            <w:i/>
          </w:rPr>
          <w:t>la Sentencia</w:t>
        </w:r>
      </w:smartTag>
      <w:r>
        <w:rPr>
          <w:i/>
        </w:rPr>
        <w:t xml:space="preserve"> de Fondo, Reparaciones y Costas.</w:t>
      </w:r>
      <w:r>
        <w:t xml:space="preserve"> Sentencia de 5 de mayo de 2008 Serie C No. 178, párr. 10, y</w:t>
      </w:r>
      <w:r>
        <w:rPr>
          <w:bCs/>
          <w:i/>
        </w:rPr>
        <w:t xml:space="preserve"> Caso del Pueblo Saramaka Vs. Surinam. </w:t>
      </w:r>
      <w:r>
        <w:rPr>
          <w:i/>
        </w:rPr>
        <w:t xml:space="preserve">Interpretación de </w:t>
      </w:r>
      <w:smartTag w:uri="urn:schemas-microsoft-com:office:smarttags" w:element="PersonName">
        <w:smartTagPr>
          <w:attr w:name="ProductID" w:val="la Sentencia"/>
        </w:smartTagPr>
        <w:r>
          <w:rPr>
            <w:i/>
          </w:rPr>
          <w:t>la Sentencia</w:t>
        </w:r>
      </w:smartTag>
      <w:r>
        <w:rPr>
          <w:i/>
        </w:rPr>
        <w:t xml:space="preserve"> de Exc</w:t>
      </w:r>
      <w:r>
        <w:rPr>
          <w:i/>
        </w:rPr>
        <w:t>epciones Preliminares, Fondo, Reparaciones y Costas.</w:t>
      </w:r>
      <w:r>
        <w:t xml:space="preserve"> Sentencia de 12 de agosto de 2008. Serie C No. 185, párr. 9.</w:t>
      </w:r>
    </w:p>
  </w:footnote>
  <w:footnote w:id="5">
    <w:p w:rsidR="00000000" w:rsidRDefault="004721A5">
      <w:pPr>
        <w:pStyle w:val="Textonotapie"/>
        <w:spacing w:before="120" w:after="120"/>
        <w:rPr>
          <w:noProof/>
        </w:rPr>
      </w:pPr>
      <w:r>
        <w:rPr>
          <w:rStyle w:val="Refdenotaalpie"/>
        </w:rPr>
        <w:footnoteRef/>
      </w:r>
      <w:r>
        <w:rPr>
          <w:vertAlign w:val="superscript"/>
        </w:rPr>
        <w:t xml:space="preserve"> </w:t>
      </w:r>
      <w:r>
        <w:tab/>
      </w:r>
      <w:r>
        <w:rPr>
          <w:i/>
        </w:rPr>
        <w:t>Cfr.</w:t>
      </w:r>
      <w:r>
        <w:t xml:space="preserve"> </w:t>
      </w:r>
      <w:r>
        <w:rPr>
          <w:i/>
          <w:noProof/>
        </w:rPr>
        <w:t xml:space="preserve">Caso Genie Lacayo. Solicitud de Revisión de </w:t>
      </w:r>
      <w:smartTag w:uri="urn:schemas-microsoft-com:office:smarttags" w:element="PersonName">
        <w:smartTagPr>
          <w:attr w:name="ProductID" w:val="la Sentencia"/>
        </w:smartTagPr>
        <w:r>
          <w:rPr>
            <w:i/>
            <w:noProof/>
          </w:rPr>
          <w:t>la Sentencia</w:t>
        </w:r>
      </w:smartTag>
      <w:r>
        <w:rPr>
          <w:i/>
          <w:noProof/>
        </w:rPr>
        <w:t xml:space="preserve"> de 29 de enero de 1997</w:t>
      </w:r>
      <w:r>
        <w:rPr>
          <w:noProof/>
        </w:rPr>
        <w:t xml:space="preserve">. Resolución de </w:t>
      </w:r>
      <w:smartTag w:uri="urn:schemas-microsoft-com:office:smarttags" w:element="PersonName">
        <w:smartTagPr>
          <w:attr w:name="ProductID" w:val="la Corte"/>
        </w:smartTagPr>
        <w:r>
          <w:rPr>
            <w:noProof/>
          </w:rPr>
          <w:t>la Corte</w:t>
        </w:r>
      </w:smartTag>
      <w:r>
        <w:rPr>
          <w:noProof/>
        </w:rPr>
        <w:t xml:space="preserve"> de 13 de septiembre de 1997. S</w:t>
      </w:r>
      <w:r>
        <w:rPr>
          <w:noProof/>
        </w:rPr>
        <w:t xml:space="preserve">erie C No. 45, párrs. </w:t>
      </w:r>
      <w:smartTag w:uri="urn:schemas-microsoft-com:office:smarttags" w:element="metricconverter">
        <w:smartTagPr>
          <w:attr w:name="ProductID" w:val="10 a"/>
        </w:smartTagPr>
        <w:r>
          <w:rPr>
            <w:noProof/>
          </w:rPr>
          <w:t>10 a</w:t>
        </w:r>
      </w:smartTag>
      <w:r>
        <w:rPr>
          <w:noProof/>
        </w:rPr>
        <w:t xml:space="preserve"> 12, y </w:t>
      </w:r>
      <w:r>
        <w:rPr>
          <w:bCs/>
          <w:i/>
        </w:rPr>
        <w:t xml:space="preserve">Caso Juan Humberto Sánchez Vs. Honduras. </w:t>
      </w:r>
      <w:r>
        <w:rPr>
          <w:i/>
        </w:rPr>
        <w:t xml:space="preserve">Interpretación de </w:t>
      </w:r>
      <w:smartTag w:uri="urn:schemas-microsoft-com:office:smarttags" w:element="PersonName">
        <w:smartTagPr>
          <w:attr w:name="ProductID" w:val="la Sentencia"/>
        </w:smartTagPr>
        <w:r>
          <w:rPr>
            <w:i/>
          </w:rPr>
          <w:t>la Sentencia</w:t>
        </w:r>
      </w:smartTag>
      <w:r>
        <w:rPr>
          <w:i/>
        </w:rPr>
        <w:t xml:space="preserve"> de Excepción Preliminar, Fondo, Reparaciones y Costas</w:t>
      </w:r>
      <w:r>
        <w:t xml:space="preserve">. Sentencia de 26 de noviembre de 2003. Serie C No. 102, párr. 15.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721A5">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4721A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721A5">
    <w:pPr>
      <w:pStyle w:val="Encabezado"/>
      <w:framePr w:wrap="around" w:vAnchor="text" w:hAnchor="margin" w:xAlign="center" w:y="1"/>
      <w:rPr>
        <w:rStyle w:val="Nmerodepgina"/>
        <w:rFonts w:ascii="Verdana" w:hAnsi="Verdana"/>
      </w:rPr>
    </w:pPr>
    <w:r>
      <w:rPr>
        <w:rStyle w:val="Nmerodepgina"/>
        <w:rFonts w:ascii="Verdana" w:hAnsi="Verdana"/>
      </w:rPr>
      <w:fldChar w:fldCharType="begin"/>
    </w:r>
    <w:r>
      <w:rPr>
        <w:rStyle w:val="Nmerodepgina"/>
        <w:rFonts w:ascii="Verdana" w:hAnsi="Verdana"/>
      </w:rPr>
      <w:instrText xml:space="preserve">PAGE </w:instrText>
    </w:r>
    <w:r>
      <w:rPr>
        <w:rStyle w:val="Nmerodepgina"/>
        <w:rFonts w:ascii="Verdana" w:hAnsi="Verdana"/>
      </w:rPr>
      <w:instrText xml:space="preserve"> </w:instrText>
    </w:r>
    <w:r>
      <w:rPr>
        <w:rStyle w:val="Nmerodepgina"/>
        <w:rFonts w:ascii="Verdana" w:hAnsi="Verdana"/>
      </w:rPr>
      <w:fldChar w:fldCharType="separate"/>
    </w:r>
    <w:r w:rsidR="00B441E8">
      <w:rPr>
        <w:rStyle w:val="Nmerodepgina"/>
        <w:rFonts w:ascii="Verdana" w:hAnsi="Verdana"/>
        <w:noProof/>
      </w:rPr>
      <w:t>7</w:t>
    </w:r>
    <w:r>
      <w:rPr>
        <w:rStyle w:val="Nmerodepgina"/>
        <w:rFonts w:ascii="Verdana" w:hAnsi="Verdana"/>
      </w:rPr>
      <w:fldChar w:fldCharType="end"/>
    </w:r>
  </w:p>
  <w:p w:rsidR="00000000" w:rsidRDefault="004721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973"/>
    <w:multiLevelType w:val="hybridMultilevel"/>
    <w:tmpl w:val="041AC788"/>
    <w:lvl w:ilvl="0" w:tplc="0C0A0001">
      <w:start w:val="1"/>
      <w:numFmt w:val="bullet"/>
      <w:lvlText w:val=""/>
      <w:lvlJc w:val="left"/>
      <w:pPr>
        <w:tabs>
          <w:tab w:val="num" w:pos="1080"/>
        </w:tabs>
        <w:ind w:left="108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E673792"/>
    <w:multiLevelType w:val="hybridMultilevel"/>
    <w:tmpl w:val="13642138"/>
    <w:lvl w:ilvl="0" w:tplc="66F8ACD2">
      <w:start w:val="1"/>
      <w:numFmt w:val="bullet"/>
      <w:lvlText w:val=""/>
      <w:lvlJc w:val="left"/>
      <w:pPr>
        <w:tabs>
          <w:tab w:val="num" w:pos="1065"/>
        </w:tabs>
        <w:ind w:left="1065" w:hanging="705"/>
      </w:pPr>
      <w:rPr>
        <w:rFonts w:ascii="Symbol" w:eastAsia="Times New Roman" w:hAnsi="Symbol"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3C52D10"/>
    <w:multiLevelType w:val="hybridMultilevel"/>
    <w:tmpl w:val="022E0B0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Symbol"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Symbol"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Symbol"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nsid w:val="2EBB749B"/>
    <w:multiLevelType w:val="hybridMultilevel"/>
    <w:tmpl w:val="A7B0AAF2"/>
    <w:lvl w:ilvl="0" w:tplc="C14E6E84">
      <w:start w:val="1"/>
      <w:numFmt w:val="lowerRoman"/>
      <w:lvlText w:val="%1)"/>
      <w:lvlJc w:val="left"/>
      <w:pPr>
        <w:tabs>
          <w:tab w:val="num" w:pos="1080"/>
        </w:tabs>
        <w:ind w:left="1080" w:hanging="72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D7D295F"/>
    <w:multiLevelType w:val="hybridMultilevel"/>
    <w:tmpl w:val="ACC8EDA6"/>
    <w:lvl w:ilvl="0" w:tplc="0C0A0001">
      <w:start w:val="1"/>
      <w:numFmt w:val="bullet"/>
      <w:lvlText w:val=""/>
      <w:lvlJc w:val="left"/>
      <w:pPr>
        <w:tabs>
          <w:tab w:val="num" w:pos="795"/>
        </w:tabs>
        <w:ind w:left="795" w:hanging="360"/>
      </w:pPr>
      <w:rPr>
        <w:rFonts w:ascii="Symbol" w:hAnsi="Symbol" w:hint="default"/>
      </w:rPr>
    </w:lvl>
    <w:lvl w:ilvl="1" w:tplc="0C0A0003" w:tentative="1">
      <w:start w:val="1"/>
      <w:numFmt w:val="bullet"/>
      <w:lvlText w:val="o"/>
      <w:lvlJc w:val="left"/>
      <w:pPr>
        <w:tabs>
          <w:tab w:val="num" w:pos="1515"/>
        </w:tabs>
        <w:ind w:left="1515" w:hanging="360"/>
      </w:pPr>
      <w:rPr>
        <w:rFonts w:ascii="Courier New" w:hAnsi="Courier New" w:cs="Symbol"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cs="Symbol"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cs="Symbol" w:hint="default"/>
      </w:rPr>
    </w:lvl>
    <w:lvl w:ilvl="8" w:tplc="0C0A0005" w:tentative="1">
      <w:start w:val="1"/>
      <w:numFmt w:val="bullet"/>
      <w:lvlText w:val=""/>
      <w:lvlJc w:val="left"/>
      <w:pPr>
        <w:tabs>
          <w:tab w:val="num" w:pos="6555"/>
        </w:tabs>
        <w:ind w:left="6555" w:hanging="360"/>
      </w:pPr>
      <w:rPr>
        <w:rFonts w:ascii="Wingdings" w:hAnsi="Wingdings" w:hint="default"/>
      </w:rPr>
    </w:lvl>
  </w:abstractNum>
  <w:abstractNum w:abstractNumId="5">
    <w:nsid w:val="3EE81470"/>
    <w:multiLevelType w:val="hybridMultilevel"/>
    <w:tmpl w:val="AC4C8B94"/>
    <w:lvl w:ilvl="0" w:tplc="B59C90CE">
      <w:start w:val="33"/>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4D724CA7"/>
    <w:multiLevelType w:val="hybridMultilevel"/>
    <w:tmpl w:val="81EEE8EA"/>
    <w:lvl w:ilvl="0" w:tplc="66F8ACD2">
      <w:start w:val="1"/>
      <w:numFmt w:val="bullet"/>
      <w:lvlText w:val=""/>
      <w:lvlJc w:val="left"/>
      <w:pPr>
        <w:tabs>
          <w:tab w:val="num" w:pos="1065"/>
        </w:tabs>
        <w:ind w:left="1065" w:hanging="705"/>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59740F07"/>
    <w:multiLevelType w:val="hybridMultilevel"/>
    <w:tmpl w:val="35882AF6"/>
    <w:lvl w:ilvl="0" w:tplc="5F50D372">
      <w:start w:val="1"/>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19B3518"/>
    <w:multiLevelType w:val="hybridMultilevel"/>
    <w:tmpl w:val="2116B9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8777ACC"/>
    <w:multiLevelType w:val="hybridMultilevel"/>
    <w:tmpl w:val="CC66DAF2"/>
    <w:lvl w:ilvl="0" w:tplc="3C864E00">
      <w:start w:val="21"/>
      <w:numFmt w:val="decimal"/>
      <w:lvlText w:val="%1."/>
      <w:lvlJc w:val="left"/>
      <w:pPr>
        <w:tabs>
          <w:tab w:val="num" w:pos="1065"/>
        </w:tabs>
        <w:ind w:left="1065" w:hanging="705"/>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0">
    <w:nsid w:val="69D00F1E"/>
    <w:multiLevelType w:val="hybridMultilevel"/>
    <w:tmpl w:val="861427B4"/>
    <w:lvl w:ilvl="0" w:tplc="0A92D06E">
      <w:start w:val="73"/>
      <w:numFmt w:val="bullet"/>
      <w:lvlText w:val="-"/>
      <w:lvlJc w:val="left"/>
      <w:pPr>
        <w:tabs>
          <w:tab w:val="num" w:pos="720"/>
        </w:tabs>
        <w:ind w:left="720" w:hanging="360"/>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6B015F51"/>
    <w:multiLevelType w:val="hybridMultilevel"/>
    <w:tmpl w:val="FA48604A"/>
    <w:lvl w:ilvl="0" w:tplc="66F8ACD2">
      <w:start w:val="1"/>
      <w:numFmt w:val="bullet"/>
      <w:lvlText w:val=""/>
      <w:lvlJc w:val="left"/>
      <w:pPr>
        <w:tabs>
          <w:tab w:val="num" w:pos="1065"/>
        </w:tabs>
        <w:ind w:left="1065" w:hanging="705"/>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4"/>
  </w:num>
  <w:num w:numId="4">
    <w:abstractNumId w:val="6"/>
  </w:num>
  <w:num w:numId="5">
    <w:abstractNumId w:val="1"/>
  </w:num>
  <w:num w:numId="6">
    <w:abstractNumId w:val="11"/>
  </w:num>
  <w:num w:numId="7">
    <w:abstractNumId w:val="7"/>
  </w:num>
  <w:num w:numId="8">
    <w:abstractNumId w:val="2"/>
  </w:num>
  <w:num w:numId="9">
    <w:abstractNumId w:val="8"/>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FCA"/>
    <w:rsid w:val="004721A5"/>
    <w:rsid w:val="00B441E8"/>
    <w:rsid w:val="00D11F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jc w:val="both"/>
    </w:pPr>
    <w:rPr>
      <w:rFonts w:ascii="Verdana" w:hAnsi="Verdana"/>
      <w:szCs w:val="24"/>
      <w:lang w:val="es-ES" w:eastAsia="ar-SA"/>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NormalWeb">
    <w:name w:val="Normal (Web)"/>
    <w:basedOn w:val="Normal"/>
    <w:pPr>
      <w:spacing w:before="100" w:beforeAutospacing="1" w:after="100" w:afterAutospacing="1"/>
    </w:pPr>
  </w:style>
  <w:style w:type="character" w:styleId="Refdenotaalpie">
    <w:name w:val="footnote reference"/>
    <w:semiHidden/>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
    <w:basedOn w:val="Normal"/>
    <w:link w:val="TextonotapieCar1"/>
    <w:semiHidden/>
    <w:rPr>
      <w:rFonts w:eastAsia="Times"/>
      <w:sz w:val="16"/>
      <w:szCs w:val="20"/>
      <w:lang w:val="es-ES_tradnl"/>
    </w:rPr>
  </w:style>
  <w:style w:type="character" w:customStyle="1" w:styleId="FootnoteCharacters">
    <w:name w:val="Footnote Characters"/>
    <w:rPr>
      <w:sz w:val="20"/>
      <w:vertAlign w:val="superscript"/>
    </w:rPr>
  </w:style>
  <w:style w:type="paragraph" w:customStyle="1" w:styleId="Lneadereferencia">
    <w:name w:val="Línea de referencia"/>
    <w:basedOn w:val="Textoindependiente2"/>
    <w:pPr>
      <w:spacing w:after="0" w:line="240" w:lineRule="auto"/>
    </w:pPr>
    <w:rPr>
      <w:rFonts w:ascii="Garamond" w:hAnsi="Garamond"/>
      <w:szCs w:val="20"/>
      <w:lang w:val="en-US"/>
    </w:rPr>
  </w:style>
  <w:style w:type="paragraph" w:styleId="Textoindependiente2">
    <w:name w:val="Body Text 2"/>
    <w:basedOn w:val="Normal"/>
    <w:pPr>
      <w:spacing w:after="120" w:line="480" w:lineRule="auto"/>
    </w:pPr>
  </w:style>
  <w:style w:type="character" w:styleId="Refdecomentario">
    <w:name w:val="annotation reference"/>
    <w:semiHidden/>
    <w:rPr>
      <w:sz w:val="16"/>
      <w:szCs w:val="16"/>
    </w:rPr>
  </w:style>
  <w:style w:type="paragraph" w:styleId="Textocomentario">
    <w:name w:val="annotation text"/>
    <w:basedOn w:val="Normal"/>
    <w:semiHidden/>
    <w:rPr>
      <w:szCs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320"/>
        <w:tab w:val="right" w:pos="8640"/>
      </w:tabs>
    </w:pPr>
    <w:rPr>
      <w:rFonts w:ascii="Times" w:hAnsi="Times"/>
      <w:color w:val="000000"/>
      <w:szCs w:val="20"/>
      <w:lang w:val="es-ES_tradnl" w:eastAsia="x-none"/>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Pr>
      <w:rFonts w:ascii="Verdana" w:eastAsia="Times" w:hAnsi="Verdana"/>
      <w:sz w:val="16"/>
      <w:lang w:val="es-ES_tradnl" w:eastAsia="ar-SA" w:bidi="ar-SA"/>
    </w:rPr>
  </w:style>
  <w:style w:type="character" w:styleId="Hipervnculo">
    <w:name w:val="Hyperlink"/>
    <w:rPr>
      <w:color w:val="0000FF"/>
      <w:u w:val="single"/>
    </w:rPr>
  </w:style>
  <w:style w:type="character" w:styleId="Hipervnculovisitado">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2804</Words>
  <Characters>15425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Corte IDH</vt:lpstr>
    </vt:vector>
  </TitlesOfParts>
  <Company>Corte IDH</Company>
  <LinksUpToDate>false</LinksUpToDate>
  <CharactersWithSpaces>18193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IDH</dc:title>
  <dc:creator>cla</dc:creator>
  <cp:lastModifiedBy>Liliana Tojo</cp:lastModifiedBy>
  <cp:revision>3</cp:revision>
  <cp:lastPrinted>2017-07-28T21:59:00Z</cp:lastPrinted>
  <dcterms:created xsi:type="dcterms:W3CDTF">2017-07-28T21:58:00Z</dcterms:created>
  <dcterms:modified xsi:type="dcterms:W3CDTF">2017-07-28T21:59:00Z</dcterms:modified>
</cp:coreProperties>
</file>