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0980" w:rsidRPr="00C73BCF" w:rsidRDefault="00FE0980" w:rsidP="00F07333">
      <w:pPr>
        <w:spacing w:after="0" w:line="240" w:lineRule="auto"/>
        <w:jc w:val="center"/>
        <w:rPr>
          <w:rFonts w:ascii="Verdana" w:hAnsi="Verdana"/>
          <w:b/>
          <w:sz w:val="16"/>
          <w:szCs w:val="20"/>
        </w:rPr>
      </w:pPr>
      <w:bookmarkStart w:id="0" w:name="_GoBack"/>
      <w:bookmarkEnd w:id="0"/>
    </w:p>
    <w:p w:rsidR="00FE0980" w:rsidRPr="00C73BCF" w:rsidRDefault="00FE0980" w:rsidP="00F07333">
      <w:pPr>
        <w:spacing w:after="0" w:line="240" w:lineRule="auto"/>
        <w:jc w:val="center"/>
        <w:rPr>
          <w:rFonts w:ascii="Verdana" w:hAnsi="Verdana"/>
          <w:b/>
          <w:sz w:val="16"/>
          <w:szCs w:val="20"/>
        </w:rPr>
      </w:pPr>
    </w:p>
    <w:p w:rsidR="00F56ACD" w:rsidRPr="00C73BCF" w:rsidRDefault="00745AE4" w:rsidP="00F07333">
      <w:pPr>
        <w:spacing w:after="0" w:line="240" w:lineRule="auto"/>
        <w:jc w:val="center"/>
        <w:rPr>
          <w:rFonts w:ascii="Verdana" w:hAnsi="Verdana"/>
          <w:b/>
          <w:sz w:val="20"/>
          <w:szCs w:val="20"/>
        </w:rPr>
      </w:pPr>
      <w:r w:rsidRPr="00C73BCF">
        <w:rPr>
          <w:rFonts w:ascii="Verdana" w:hAnsi="Verdana"/>
          <w:b/>
          <w:sz w:val="20"/>
          <w:szCs w:val="20"/>
        </w:rPr>
        <w:t xml:space="preserve">RESOLUCIÓN DE LA </w:t>
      </w:r>
    </w:p>
    <w:p w:rsidR="00FF7EEA" w:rsidRPr="00C73BCF" w:rsidRDefault="00745AE4" w:rsidP="00F07333">
      <w:pPr>
        <w:spacing w:after="0" w:line="240" w:lineRule="auto"/>
        <w:jc w:val="center"/>
        <w:rPr>
          <w:rFonts w:ascii="Verdana" w:hAnsi="Verdana"/>
          <w:b/>
          <w:smallCaps/>
          <w:sz w:val="20"/>
        </w:rPr>
      </w:pPr>
      <w:r w:rsidRPr="00C73BCF">
        <w:rPr>
          <w:rFonts w:ascii="Verdana" w:hAnsi="Verdana"/>
          <w:b/>
          <w:sz w:val="20"/>
          <w:szCs w:val="20"/>
        </w:rPr>
        <w:t>CORTE INTERAMERICANA DE DERECHOS HUMANOS</w:t>
      </w:r>
      <w:r w:rsidR="004100B7" w:rsidRPr="00C73BCF">
        <w:rPr>
          <w:rFonts w:ascii="Verdana" w:hAnsi="Verdana"/>
          <w:b/>
          <w:smallCaps/>
          <w:sz w:val="20"/>
        </w:rPr>
        <w:t>*</w:t>
      </w:r>
    </w:p>
    <w:p w:rsidR="00AD4184" w:rsidRPr="00C73BCF" w:rsidRDefault="00AD4184" w:rsidP="00F07333">
      <w:pPr>
        <w:spacing w:after="0" w:line="240" w:lineRule="auto"/>
        <w:jc w:val="center"/>
        <w:rPr>
          <w:rFonts w:ascii="Verdana" w:hAnsi="Verdana"/>
          <w:b/>
          <w:sz w:val="16"/>
          <w:szCs w:val="20"/>
        </w:rPr>
      </w:pPr>
    </w:p>
    <w:p w:rsidR="00745AE4" w:rsidRPr="00C73BCF" w:rsidRDefault="00671120" w:rsidP="00F07333">
      <w:pPr>
        <w:spacing w:after="0" w:line="240" w:lineRule="auto"/>
        <w:jc w:val="center"/>
        <w:rPr>
          <w:rFonts w:ascii="Verdana" w:hAnsi="Verdana"/>
          <w:b/>
          <w:sz w:val="20"/>
          <w:szCs w:val="20"/>
        </w:rPr>
      </w:pPr>
      <w:r w:rsidRPr="00C73BCF">
        <w:rPr>
          <w:rFonts w:ascii="Verdana" w:hAnsi="Verdana"/>
          <w:b/>
          <w:sz w:val="20"/>
          <w:szCs w:val="20"/>
        </w:rPr>
        <w:t xml:space="preserve">DE </w:t>
      </w:r>
      <w:r w:rsidR="00C00DEA" w:rsidRPr="00C73BCF">
        <w:rPr>
          <w:rFonts w:ascii="Verdana" w:hAnsi="Verdana"/>
          <w:b/>
          <w:sz w:val="20"/>
          <w:szCs w:val="20"/>
        </w:rPr>
        <w:t xml:space="preserve">10 </w:t>
      </w:r>
      <w:r w:rsidR="00745AE4" w:rsidRPr="00C73BCF">
        <w:rPr>
          <w:rFonts w:ascii="Verdana" w:hAnsi="Verdana"/>
          <w:b/>
          <w:sz w:val="20"/>
          <w:szCs w:val="20"/>
        </w:rPr>
        <w:t xml:space="preserve">DE </w:t>
      </w:r>
      <w:r w:rsidR="00F07333" w:rsidRPr="00C73BCF">
        <w:rPr>
          <w:rFonts w:ascii="Verdana" w:hAnsi="Verdana"/>
          <w:b/>
          <w:sz w:val="20"/>
          <w:szCs w:val="20"/>
        </w:rPr>
        <w:t>FEBRERO</w:t>
      </w:r>
      <w:r w:rsidR="00745AE4" w:rsidRPr="00C73BCF">
        <w:rPr>
          <w:rFonts w:ascii="Verdana" w:hAnsi="Verdana"/>
          <w:b/>
          <w:sz w:val="20"/>
          <w:szCs w:val="20"/>
        </w:rPr>
        <w:t xml:space="preserve"> DE </w:t>
      </w:r>
      <w:r w:rsidR="00F07333" w:rsidRPr="00C73BCF">
        <w:rPr>
          <w:rFonts w:ascii="Verdana" w:hAnsi="Verdana"/>
          <w:b/>
          <w:sz w:val="20"/>
          <w:szCs w:val="20"/>
        </w:rPr>
        <w:t>2017</w:t>
      </w:r>
    </w:p>
    <w:p w:rsidR="00AD4184" w:rsidRPr="00C73BCF" w:rsidRDefault="00AD4184" w:rsidP="00F07333">
      <w:pPr>
        <w:spacing w:after="0" w:line="240" w:lineRule="auto"/>
        <w:jc w:val="center"/>
        <w:rPr>
          <w:rFonts w:ascii="Verdana" w:hAnsi="Verdana"/>
          <w:b/>
          <w:sz w:val="16"/>
          <w:szCs w:val="20"/>
        </w:rPr>
      </w:pPr>
    </w:p>
    <w:p w:rsidR="00745AE4" w:rsidRPr="00C73BCF" w:rsidRDefault="00CD0330" w:rsidP="00F07333">
      <w:pPr>
        <w:spacing w:after="0" w:line="240" w:lineRule="auto"/>
        <w:jc w:val="center"/>
        <w:rPr>
          <w:rFonts w:ascii="Verdana" w:hAnsi="Verdana"/>
          <w:b/>
          <w:i/>
          <w:sz w:val="20"/>
          <w:szCs w:val="20"/>
        </w:rPr>
      </w:pPr>
      <w:r w:rsidRPr="00C73BCF">
        <w:rPr>
          <w:rFonts w:ascii="Verdana" w:hAnsi="Verdana"/>
          <w:b/>
          <w:i/>
          <w:sz w:val="20"/>
          <w:szCs w:val="20"/>
        </w:rPr>
        <w:t>CASO</w:t>
      </w:r>
      <w:r w:rsidRPr="00C73BCF">
        <w:rPr>
          <w:bCs/>
          <w:i/>
          <w:sz w:val="20"/>
          <w:szCs w:val="20"/>
        </w:rPr>
        <w:t xml:space="preserve"> </w:t>
      </w:r>
      <w:r w:rsidRPr="00C73BCF">
        <w:rPr>
          <w:rFonts w:ascii="Verdana" w:hAnsi="Verdana"/>
          <w:b/>
          <w:i/>
          <w:sz w:val="20"/>
          <w:szCs w:val="20"/>
        </w:rPr>
        <w:t>R</w:t>
      </w:r>
      <w:r w:rsidR="00D02B0B" w:rsidRPr="00C73BCF">
        <w:rPr>
          <w:rFonts w:ascii="Verdana" w:hAnsi="Verdana"/>
          <w:b/>
          <w:i/>
          <w:sz w:val="20"/>
          <w:szCs w:val="20"/>
        </w:rPr>
        <w:t>ODRÍ</w:t>
      </w:r>
      <w:r w:rsidRPr="00C73BCF">
        <w:rPr>
          <w:rFonts w:ascii="Verdana" w:hAnsi="Verdana"/>
          <w:b/>
          <w:i/>
          <w:sz w:val="20"/>
          <w:szCs w:val="20"/>
        </w:rPr>
        <w:t>GUEZ</w:t>
      </w:r>
      <w:r w:rsidRPr="00C73BCF">
        <w:rPr>
          <w:bCs/>
          <w:sz w:val="20"/>
          <w:szCs w:val="20"/>
        </w:rPr>
        <w:t xml:space="preserve"> </w:t>
      </w:r>
      <w:r w:rsidRPr="00C73BCF">
        <w:rPr>
          <w:rFonts w:ascii="Verdana" w:hAnsi="Verdana"/>
          <w:b/>
          <w:bCs/>
          <w:i/>
          <w:sz w:val="20"/>
          <w:szCs w:val="20"/>
        </w:rPr>
        <w:t>VERA Y OTROS (DESAPARECIDOS DEL PALACIO DE JUSTICIA)</w:t>
      </w:r>
      <w:r w:rsidRPr="00C73BCF">
        <w:rPr>
          <w:rFonts w:ascii="Verdana" w:hAnsi="Verdana"/>
          <w:bCs/>
          <w:sz w:val="20"/>
          <w:szCs w:val="20"/>
        </w:rPr>
        <w:t xml:space="preserve"> </w:t>
      </w:r>
      <w:r w:rsidR="00745AE4" w:rsidRPr="00C73BCF">
        <w:rPr>
          <w:rFonts w:ascii="Verdana" w:hAnsi="Verdana"/>
          <w:b/>
          <w:i/>
          <w:sz w:val="20"/>
          <w:szCs w:val="20"/>
        </w:rPr>
        <w:t xml:space="preserve">VS. </w:t>
      </w:r>
      <w:r w:rsidRPr="00C73BCF">
        <w:rPr>
          <w:rFonts w:ascii="Verdana" w:hAnsi="Verdana"/>
          <w:b/>
          <w:i/>
          <w:sz w:val="20"/>
          <w:szCs w:val="20"/>
        </w:rPr>
        <w:t>COLOMBIA</w:t>
      </w:r>
    </w:p>
    <w:p w:rsidR="00AD4184" w:rsidRPr="00C73BCF" w:rsidRDefault="00AD4184" w:rsidP="00F07333">
      <w:pPr>
        <w:spacing w:after="0" w:line="240" w:lineRule="auto"/>
        <w:jc w:val="center"/>
        <w:rPr>
          <w:rFonts w:ascii="Verdana" w:hAnsi="Verdana"/>
          <w:b/>
          <w:i/>
          <w:sz w:val="16"/>
          <w:szCs w:val="20"/>
        </w:rPr>
      </w:pPr>
    </w:p>
    <w:p w:rsidR="00745AE4" w:rsidRPr="00C73BCF" w:rsidRDefault="00745AE4" w:rsidP="00F07333">
      <w:pPr>
        <w:spacing w:after="0" w:line="240" w:lineRule="auto"/>
        <w:jc w:val="center"/>
        <w:rPr>
          <w:rFonts w:ascii="Verdana" w:hAnsi="Verdana"/>
          <w:b/>
          <w:sz w:val="20"/>
          <w:szCs w:val="20"/>
        </w:rPr>
      </w:pPr>
      <w:r w:rsidRPr="00C73BCF">
        <w:rPr>
          <w:rFonts w:ascii="Verdana" w:hAnsi="Verdana"/>
          <w:b/>
          <w:sz w:val="20"/>
          <w:szCs w:val="20"/>
        </w:rPr>
        <w:t>SUPERVISIÓN DE CUMPLIMIENTO DE SENTENCIA</w:t>
      </w:r>
    </w:p>
    <w:p w:rsidR="00AD4184" w:rsidRPr="00C73BCF" w:rsidRDefault="00AD4184" w:rsidP="00F07333">
      <w:pPr>
        <w:spacing w:after="0" w:line="240" w:lineRule="auto"/>
        <w:jc w:val="both"/>
        <w:rPr>
          <w:rFonts w:ascii="Verdana" w:hAnsi="Verdana"/>
          <w:b/>
          <w:sz w:val="16"/>
          <w:szCs w:val="20"/>
        </w:rPr>
      </w:pPr>
    </w:p>
    <w:p w:rsidR="00CD4DDE" w:rsidRPr="00C73BCF" w:rsidRDefault="005A1B3D" w:rsidP="00F07333">
      <w:pPr>
        <w:spacing w:after="0" w:line="240" w:lineRule="auto"/>
        <w:jc w:val="both"/>
        <w:rPr>
          <w:rFonts w:ascii="Verdana" w:hAnsi="Verdana"/>
          <w:b/>
          <w:sz w:val="20"/>
          <w:szCs w:val="20"/>
        </w:rPr>
      </w:pPr>
      <w:r w:rsidRPr="00C73BCF">
        <w:rPr>
          <w:rFonts w:ascii="Verdana" w:hAnsi="Verdana"/>
          <w:b/>
          <w:sz w:val="20"/>
          <w:szCs w:val="20"/>
        </w:rPr>
        <w:t>VISTO:</w:t>
      </w:r>
      <w:r w:rsidR="006D19D6" w:rsidRPr="00C73BCF">
        <w:rPr>
          <w:rFonts w:ascii="Verdana" w:hAnsi="Verdana"/>
          <w:b/>
          <w:sz w:val="20"/>
          <w:szCs w:val="20"/>
        </w:rPr>
        <w:t xml:space="preserve"> </w:t>
      </w:r>
    </w:p>
    <w:p w:rsidR="00F07333" w:rsidRPr="00C73BCF" w:rsidRDefault="00F07333" w:rsidP="00F07333">
      <w:pPr>
        <w:spacing w:after="0" w:line="240" w:lineRule="auto"/>
        <w:jc w:val="both"/>
        <w:rPr>
          <w:rFonts w:ascii="Verdana" w:hAnsi="Verdana"/>
          <w:b/>
          <w:sz w:val="16"/>
          <w:szCs w:val="20"/>
        </w:rPr>
      </w:pPr>
    </w:p>
    <w:p w:rsidR="00FF7EEA" w:rsidRPr="00C73BCF" w:rsidRDefault="00D1375B" w:rsidP="00323595">
      <w:pPr>
        <w:pStyle w:val="Default"/>
        <w:jc w:val="both"/>
        <w:rPr>
          <w:lang w:val="es-CR"/>
        </w:rPr>
      </w:pPr>
      <w:r w:rsidRPr="00C73BCF">
        <w:rPr>
          <w:sz w:val="20"/>
          <w:szCs w:val="20"/>
          <w:lang w:val="es-CR"/>
        </w:rPr>
        <w:t>1.</w:t>
      </w:r>
      <w:r w:rsidRPr="00C73BCF">
        <w:rPr>
          <w:sz w:val="20"/>
          <w:szCs w:val="20"/>
          <w:lang w:val="es-CR"/>
        </w:rPr>
        <w:tab/>
      </w:r>
      <w:r w:rsidR="005A1B3D" w:rsidRPr="00C73BCF">
        <w:rPr>
          <w:sz w:val="20"/>
          <w:szCs w:val="20"/>
          <w:lang w:val="es-CR"/>
        </w:rPr>
        <w:t>La Sentencia d</w:t>
      </w:r>
      <w:r w:rsidR="00AD277C" w:rsidRPr="00C73BCF">
        <w:rPr>
          <w:sz w:val="20"/>
          <w:szCs w:val="20"/>
          <w:lang w:val="es-CR"/>
        </w:rPr>
        <w:t xml:space="preserve">e </w:t>
      </w:r>
      <w:r w:rsidR="00886837" w:rsidRPr="00C73BCF">
        <w:rPr>
          <w:sz w:val="20"/>
          <w:lang w:val="es-CR"/>
        </w:rPr>
        <w:t>excepciones preliminare</w:t>
      </w:r>
      <w:r w:rsidR="00334EF7" w:rsidRPr="00C73BCF">
        <w:rPr>
          <w:sz w:val="20"/>
          <w:lang w:val="es-CR"/>
        </w:rPr>
        <w:t>s, fondo, reparaciones y costas</w:t>
      </w:r>
      <w:r w:rsidR="005A1B3D" w:rsidRPr="00C73BCF">
        <w:rPr>
          <w:sz w:val="20"/>
          <w:szCs w:val="20"/>
          <w:lang w:val="es-CR"/>
        </w:rPr>
        <w:t xml:space="preserve"> (en adelante “la Sentencia”) </w:t>
      </w:r>
      <w:r w:rsidR="00AD277C" w:rsidRPr="00C73BCF">
        <w:rPr>
          <w:sz w:val="20"/>
          <w:szCs w:val="20"/>
          <w:lang w:val="es-CR"/>
        </w:rPr>
        <w:t xml:space="preserve">dictada </w:t>
      </w:r>
      <w:r w:rsidR="005A1B3D" w:rsidRPr="00C73BCF">
        <w:rPr>
          <w:sz w:val="20"/>
          <w:szCs w:val="20"/>
          <w:lang w:val="es-CR"/>
        </w:rPr>
        <w:t>por la Corte Interamericana de Derechos Humanos (en adelante “la Corte Interamerican</w:t>
      </w:r>
      <w:r w:rsidR="00AD277C" w:rsidRPr="00C73BCF">
        <w:rPr>
          <w:sz w:val="20"/>
          <w:szCs w:val="20"/>
          <w:lang w:val="es-CR"/>
        </w:rPr>
        <w:t xml:space="preserve">a”, “la Corte” o “el Tribunal”) el </w:t>
      </w:r>
      <w:r w:rsidR="00334EF7" w:rsidRPr="00C73BCF">
        <w:rPr>
          <w:sz w:val="20"/>
          <w:szCs w:val="20"/>
          <w:lang w:val="es-CR"/>
        </w:rPr>
        <w:t xml:space="preserve">14 </w:t>
      </w:r>
      <w:r w:rsidR="00AD277C" w:rsidRPr="00C73BCF">
        <w:rPr>
          <w:sz w:val="20"/>
          <w:szCs w:val="20"/>
          <w:lang w:val="es-CR"/>
        </w:rPr>
        <w:t>d</w:t>
      </w:r>
      <w:r w:rsidR="00334EF7" w:rsidRPr="00C73BCF">
        <w:rPr>
          <w:sz w:val="20"/>
          <w:szCs w:val="20"/>
          <w:lang w:val="es-CR"/>
        </w:rPr>
        <w:t xml:space="preserve">e noviembre </w:t>
      </w:r>
      <w:r w:rsidR="00AD277C" w:rsidRPr="00C73BCF">
        <w:rPr>
          <w:sz w:val="20"/>
          <w:szCs w:val="20"/>
          <w:lang w:val="es-CR"/>
        </w:rPr>
        <w:t xml:space="preserve">de </w:t>
      </w:r>
      <w:r w:rsidR="00334EF7" w:rsidRPr="00C73BCF">
        <w:rPr>
          <w:sz w:val="20"/>
          <w:szCs w:val="20"/>
          <w:lang w:val="es-CR"/>
        </w:rPr>
        <w:t>2014</w:t>
      </w:r>
      <w:r w:rsidR="00886837" w:rsidRPr="00C73BCF">
        <w:rPr>
          <w:rStyle w:val="Refdenotaalpie"/>
          <w:sz w:val="20"/>
        </w:rPr>
        <w:footnoteReference w:id="1"/>
      </w:r>
      <w:r w:rsidR="001C0DED" w:rsidRPr="00C73BCF">
        <w:rPr>
          <w:sz w:val="20"/>
          <w:szCs w:val="20"/>
          <w:lang w:val="es-CR"/>
        </w:rPr>
        <w:t xml:space="preserve">. </w:t>
      </w:r>
      <w:r w:rsidR="00114270" w:rsidRPr="00C73BCF">
        <w:rPr>
          <w:sz w:val="20"/>
          <w:szCs w:val="20"/>
          <w:lang w:val="es-CR"/>
        </w:rPr>
        <w:t>Tomando en cuenta el reconocimi</w:t>
      </w:r>
      <w:r w:rsidR="00A040F0" w:rsidRPr="00C73BCF">
        <w:rPr>
          <w:sz w:val="20"/>
          <w:szCs w:val="20"/>
          <w:lang w:val="es-CR"/>
        </w:rPr>
        <w:t>ento parcial de responsabilidad</w:t>
      </w:r>
      <w:r w:rsidR="00114270" w:rsidRPr="00C73BCF">
        <w:rPr>
          <w:sz w:val="20"/>
          <w:szCs w:val="20"/>
          <w:lang w:val="es-CR"/>
        </w:rPr>
        <w:t xml:space="preserve"> efectuado por la República de Colombia (en adelante “el Estado” o “Colombia”), la Corte </w:t>
      </w:r>
      <w:r w:rsidR="001205CA" w:rsidRPr="00C73BCF">
        <w:rPr>
          <w:sz w:val="20"/>
          <w:szCs w:val="20"/>
          <w:lang w:val="es-CR"/>
        </w:rPr>
        <w:t>concluyó</w:t>
      </w:r>
      <w:r w:rsidR="00114270" w:rsidRPr="00C73BCF">
        <w:rPr>
          <w:sz w:val="20"/>
          <w:szCs w:val="20"/>
          <w:lang w:val="es-CR"/>
        </w:rPr>
        <w:t xml:space="preserve"> que el Estado era internacionalmente responsable por </w:t>
      </w:r>
      <w:r w:rsidR="00B9626A" w:rsidRPr="00C73BCF">
        <w:rPr>
          <w:sz w:val="20"/>
          <w:szCs w:val="20"/>
          <w:lang w:val="es-CR"/>
        </w:rPr>
        <w:t>determinadas</w:t>
      </w:r>
      <w:r w:rsidR="00285FBE" w:rsidRPr="00C73BCF">
        <w:rPr>
          <w:sz w:val="20"/>
          <w:szCs w:val="20"/>
          <w:lang w:val="es-CR"/>
        </w:rPr>
        <w:t xml:space="preserve"> violaciones de derechos humanos cometidas en el marco de los sucesos conocidos como </w:t>
      </w:r>
      <w:r w:rsidR="00ED7D1D" w:rsidRPr="00C73BCF">
        <w:rPr>
          <w:sz w:val="20"/>
          <w:szCs w:val="20"/>
          <w:lang w:val="es-CR"/>
        </w:rPr>
        <w:t>“</w:t>
      </w:r>
      <w:r w:rsidR="00285FBE" w:rsidRPr="00C73BCF">
        <w:rPr>
          <w:sz w:val="20"/>
          <w:szCs w:val="20"/>
          <w:lang w:val="es-CR"/>
        </w:rPr>
        <w:t>la toma</w:t>
      </w:r>
      <w:r w:rsidR="00ED7D1D" w:rsidRPr="00C73BCF">
        <w:rPr>
          <w:sz w:val="20"/>
          <w:szCs w:val="20"/>
          <w:lang w:val="es-CR"/>
        </w:rPr>
        <w:t>”</w:t>
      </w:r>
      <w:r w:rsidR="00285FBE" w:rsidRPr="00C73BCF">
        <w:rPr>
          <w:sz w:val="20"/>
          <w:szCs w:val="20"/>
          <w:lang w:val="es-CR"/>
        </w:rPr>
        <w:t xml:space="preserve"> y </w:t>
      </w:r>
      <w:r w:rsidR="00ED7D1D" w:rsidRPr="00C73BCF">
        <w:rPr>
          <w:sz w:val="20"/>
          <w:szCs w:val="20"/>
          <w:lang w:val="es-CR"/>
        </w:rPr>
        <w:t>“</w:t>
      </w:r>
      <w:r w:rsidR="00285FBE" w:rsidRPr="00C73BCF">
        <w:rPr>
          <w:sz w:val="20"/>
          <w:szCs w:val="20"/>
          <w:lang w:val="es-CR"/>
        </w:rPr>
        <w:t>la retoma</w:t>
      </w:r>
      <w:r w:rsidR="00ED7D1D" w:rsidRPr="00C73BCF">
        <w:rPr>
          <w:sz w:val="20"/>
          <w:szCs w:val="20"/>
          <w:lang w:val="es-CR"/>
        </w:rPr>
        <w:t>”</w:t>
      </w:r>
      <w:r w:rsidR="00285FBE" w:rsidRPr="00C73BCF">
        <w:rPr>
          <w:sz w:val="20"/>
          <w:szCs w:val="20"/>
          <w:lang w:val="es-CR"/>
        </w:rPr>
        <w:t xml:space="preserve"> del Palacio de Justicia, </w:t>
      </w:r>
      <w:r w:rsidR="00B9626A" w:rsidRPr="00C73BCF">
        <w:rPr>
          <w:sz w:val="20"/>
          <w:szCs w:val="20"/>
          <w:lang w:val="es-CR"/>
        </w:rPr>
        <w:t xml:space="preserve">ocurridos </w:t>
      </w:r>
      <w:r w:rsidR="00285FBE" w:rsidRPr="00C73BCF">
        <w:rPr>
          <w:sz w:val="20"/>
          <w:szCs w:val="20"/>
          <w:lang w:val="es-CR"/>
        </w:rPr>
        <w:t>en la ciudad de Bogotá los días 6 y 7 de noviembre de 1985.</w:t>
      </w:r>
      <w:r w:rsidR="00ED7D1D" w:rsidRPr="00C73BCF">
        <w:rPr>
          <w:sz w:val="20"/>
          <w:szCs w:val="20"/>
          <w:lang w:val="es-CR"/>
        </w:rPr>
        <w:t xml:space="preserve"> </w:t>
      </w:r>
      <w:r w:rsidR="00285FBE" w:rsidRPr="00C73BCF">
        <w:rPr>
          <w:sz w:val="20"/>
          <w:szCs w:val="20"/>
          <w:lang w:val="es-CR"/>
        </w:rPr>
        <w:t xml:space="preserve">En las referidas fechas, el grupo guerrillero </w:t>
      </w:r>
      <w:r w:rsidR="002D728B" w:rsidRPr="00C73BCF">
        <w:rPr>
          <w:sz w:val="20"/>
          <w:szCs w:val="20"/>
          <w:lang w:val="es-CR"/>
        </w:rPr>
        <w:t xml:space="preserve">conocido como </w:t>
      </w:r>
      <w:r w:rsidR="00285FBE" w:rsidRPr="00C73BCF">
        <w:rPr>
          <w:sz w:val="20"/>
          <w:szCs w:val="20"/>
          <w:lang w:val="es-CR"/>
        </w:rPr>
        <w:t>M-19 tomó violentamente las instalaciones del Palacio de Justicia, donde tenían su sede la Corte Suprema de Justicia y el Consejo de Estado colombiano</w:t>
      </w:r>
      <w:r w:rsidR="002D728B" w:rsidRPr="00C73BCF">
        <w:rPr>
          <w:sz w:val="20"/>
          <w:szCs w:val="20"/>
          <w:lang w:val="es-CR"/>
        </w:rPr>
        <w:t>, tomando como rehenes</w:t>
      </w:r>
      <w:r w:rsidR="000C248E" w:rsidRPr="00C73BCF">
        <w:rPr>
          <w:sz w:val="20"/>
          <w:szCs w:val="20"/>
          <w:lang w:val="es-CR"/>
        </w:rPr>
        <w:t xml:space="preserve"> a cientos de personas entre magistrados, magistrados auxiliares, abogados, empleados administrativos y de servicios, así como visitantes</w:t>
      </w:r>
      <w:r w:rsidR="009B0F64" w:rsidRPr="00C73BCF">
        <w:rPr>
          <w:sz w:val="20"/>
          <w:szCs w:val="20"/>
          <w:lang w:val="es-CR"/>
        </w:rPr>
        <w:t>.</w:t>
      </w:r>
      <w:r w:rsidR="000C248E" w:rsidRPr="00C73BCF">
        <w:rPr>
          <w:sz w:val="20"/>
          <w:szCs w:val="20"/>
          <w:lang w:val="es-CR"/>
        </w:rPr>
        <w:t xml:space="preserve"> </w:t>
      </w:r>
      <w:r w:rsidR="00C13F0C" w:rsidRPr="00C73BCF">
        <w:rPr>
          <w:sz w:val="20"/>
          <w:szCs w:val="20"/>
          <w:lang w:val="es-CR"/>
        </w:rPr>
        <w:t xml:space="preserve">Ante dicha incursión armada de la guerrilla, las fuerzas de seguridad del Estado realizaron una operación militar </w:t>
      </w:r>
      <w:r w:rsidR="00D63866" w:rsidRPr="00C73BCF">
        <w:rPr>
          <w:sz w:val="20"/>
          <w:szCs w:val="20"/>
          <w:lang w:val="es-CR"/>
        </w:rPr>
        <w:t>de “retoma”</w:t>
      </w:r>
      <w:r w:rsidR="00DF0AAF" w:rsidRPr="00C73BCF">
        <w:rPr>
          <w:sz w:val="20"/>
          <w:szCs w:val="20"/>
          <w:lang w:val="es-CR"/>
        </w:rPr>
        <w:t>,</w:t>
      </w:r>
      <w:r w:rsidR="00D63866" w:rsidRPr="00C73BCF">
        <w:rPr>
          <w:sz w:val="20"/>
          <w:szCs w:val="20"/>
          <w:lang w:val="es-CR"/>
        </w:rPr>
        <w:t xml:space="preserve"> </w:t>
      </w:r>
      <w:r w:rsidR="00C13F0C" w:rsidRPr="00C73BCF">
        <w:rPr>
          <w:sz w:val="20"/>
          <w:szCs w:val="20"/>
          <w:lang w:val="es-CR"/>
        </w:rPr>
        <w:t xml:space="preserve">que </w:t>
      </w:r>
      <w:r w:rsidR="00986A33" w:rsidRPr="00C73BCF">
        <w:rPr>
          <w:sz w:val="20"/>
          <w:szCs w:val="20"/>
          <w:lang w:val="es-CR"/>
        </w:rPr>
        <w:t>ha sido</w:t>
      </w:r>
      <w:r w:rsidR="00C13F0C" w:rsidRPr="00C73BCF">
        <w:rPr>
          <w:sz w:val="20"/>
          <w:szCs w:val="20"/>
          <w:lang w:val="es-CR"/>
        </w:rPr>
        <w:t xml:space="preserve"> calificada como desproporcionada y excesiva por tribunales internos. </w:t>
      </w:r>
      <w:r w:rsidR="00C16B6B" w:rsidRPr="00C73BCF">
        <w:rPr>
          <w:sz w:val="20"/>
          <w:szCs w:val="20"/>
          <w:lang w:val="es-CR"/>
        </w:rPr>
        <w:t xml:space="preserve">Dentro de ese contexto, la Corte </w:t>
      </w:r>
      <w:r w:rsidR="00D63866" w:rsidRPr="00C73BCF">
        <w:rPr>
          <w:sz w:val="20"/>
          <w:szCs w:val="20"/>
          <w:lang w:val="es-CR"/>
        </w:rPr>
        <w:t xml:space="preserve">determinó que el Estado había incumplido su </w:t>
      </w:r>
      <w:r w:rsidR="00C16B6B" w:rsidRPr="00C73BCF">
        <w:rPr>
          <w:sz w:val="20"/>
          <w:szCs w:val="20"/>
          <w:lang w:val="es-CR"/>
        </w:rPr>
        <w:t xml:space="preserve">deber de prevención respecto de la toma del Palacio de Justicia por parte del M-19, </w:t>
      </w:r>
      <w:r w:rsidR="007E28C6" w:rsidRPr="00C73BCF">
        <w:rPr>
          <w:sz w:val="20"/>
          <w:szCs w:val="20"/>
          <w:lang w:val="es-CR"/>
        </w:rPr>
        <w:t xml:space="preserve">puesto que conocía el riesgo en que se encontraban las personas </w:t>
      </w:r>
      <w:proofErr w:type="gramStart"/>
      <w:r w:rsidR="007E28C6" w:rsidRPr="00C73BCF">
        <w:rPr>
          <w:sz w:val="20"/>
          <w:szCs w:val="20"/>
          <w:lang w:val="es-CR"/>
        </w:rPr>
        <w:t>previo</w:t>
      </w:r>
      <w:proofErr w:type="gramEnd"/>
      <w:r w:rsidR="007E28C6" w:rsidRPr="00C73BCF">
        <w:rPr>
          <w:sz w:val="20"/>
          <w:szCs w:val="20"/>
          <w:lang w:val="es-CR"/>
        </w:rPr>
        <w:t xml:space="preserve"> a dicha toma. Asimismo, con respecto a las </w:t>
      </w:r>
      <w:r w:rsidR="00C16B6B" w:rsidRPr="00C73BCF">
        <w:rPr>
          <w:sz w:val="20"/>
          <w:szCs w:val="20"/>
          <w:lang w:val="es-CR"/>
        </w:rPr>
        <w:t xml:space="preserve">actuaciones </w:t>
      </w:r>
      <w:r w:rsidR="007E28C6" w:rsidRPr="00C73BCF">
        <w:rPr>
          <w:sz w:val="20"/>
          <w:szCs w:val="20"/>
          <w:lang w:val="es-CR"/>
        </w:rPr>
        <w:t xml:space="preserve"> </w:t>
      </w:r>
      <w:r w:rsidR="001A2531" w:rsidRPr="00C73BCF">
        <w:rPr>
          <w:sz w:val="20"/>
          <w:szCs w:val="20"/>
          <w:lang w:val="es-CR"/>
        </w:rPr>
        <w:t>posteriores a</w:t>
      </w:r>
      <w:r w:rsidR="00C16B6B" w:rsidRPr="00C73BCF">
        <w:rPr>
          <w:sz w:val="20"/>
          <w:szCs w:val="20"/>
          <w:lang w:val="es-CR"/>
        </w:rPr>
        <w:t xml:space="preserve"> la retoma del Palacio de Justicia</w:t>
      </w:r>
      <w:r w:rsidR="007E28C6" w:rsidRPr="00C73BCF">
        <w:rPr>
          <w:sz w:val="20"/>
          <w:szCs w:val="20"/>
          <w:lang w:val="es-CR"/>
        </w:rPr>
        <w:t xml:space="preserve">, </w:t>
      </w:r>
      <w:r w:rsidR="00285FBE" w:rsidRPr="00C73BCF">
        <w:rPr>
          <w:sz w:val="20"/>
          <w:szCs w:val="20"/>
          <w:lang w:val="es-CR"/>
        </w:rPr>
        <w:t xml:space="preserve">la Corte encontró que el Estado era responsable por las desapariciones forzadas de </w:t>
      </w:r>
      <w:r w:rsidR="007E28C6" w:rsidRPr="00C73BCF">
        <w:rPr>
          <w:sz w:val="20"/>
          <w:szCs w:val="20"/>
          <w:lang w:val="es-CR"/>
        </w:rPr>
        <w:t>siete empleados de la cafetería del Palacio de Justicia (</w:t>
      </w:r>
      <w:r w:rsidR="00285FBE" w:rsidRPr="00C73BCF">
        <w:rPr>
          <w:sz w:val="20"/>
          <w:szCs w:val="20"/>
          <w:lang w:val="es-CR"/>
        </w:rPr>
        <w:t>Carlos Augusto Rodríguez Vera, Cristina del Pilar Guarín Cortés, David Suspes Celis, Bernardo Beltrán Hernández, Héctor Jaime Beltrán Fuentes, Gloria Stella Lizarazo Figueroa, Luz Mary Portela León</w:t>
      </w:r>
      <w:r w:rsidR="007E28C6" w:rsidRPr="00C73BCF">
        <w:rPr>
          <w:sz w:val="20"/>
          <w:szCs w:val="20"/>
          <w:lang w:val="es-CR"/>
        </w:rPr>
        <w:t>)</w:t>
      </w:r>
      <w:r w:rsidR="00285FBE" w:rsidRPr="00C73BCF">
        <w:rPr>
          <w:sz w:val="20"/>
          <w:szCs w:val="20"/>
          <w:lang w:val="es-CR"/>
        </w:rPr>
        <w:t xml:space="preserve">, </w:t>
      </w:r>
      <w:r w:rsidR="007E28C6" w:rsidRPr="00C73BCF">
        <w:rPr>
          <w:sz w:val="20"/>
          <w:szCs w:val="20"/>
          <w:lang w:val="es-CR"/>
        </w:rPr>
        <w:t>de dos visitantes (</w:t>
      </w:r>
      <w:r w:rsidR="00285FBE" w:rsidRPr="00C73BCF">
        <w:rPr>
          <w:sz w:val="20"/>
          <w:szCs w:val="20"/>
          <w:lang w:val="es-CR"/>
        </w:rPr>
        <w:t>Lucy Amparo Oviedo Bonilla y Gloria Anzola de Lanao</w:t>
      </w:r>
      <w:r w:rsidR="007E28C6" w:rsidRPr="00C73BCF">
        <w:rPr>
          <w:sz w:val="20"/>
          <w:szCs w:val="20"/>
          <w:lang w:val="es-CR"/>
        </w:rPr>
        <w:t>) y de una g</w:t>
      </w:r>
      <w:r w:rsidR="00323595" w:rsidRPr="00C73BCF">
        <w:rPr>
          <w:sz w:val="20"/>
          <w:szCs w:val="20"/>
          <w:lang w:val="es-CR"/>
        </w:rPr>
        <w:t>u</w:t>
      </w:r>
      <w:r w:rsidR="007E28C6" w:rsidRPr="00C73BCF">
        <w:rPr>
          <w:sz w:val="20"/>
          <w:szCs w:val="20"/>
          <w:lang w:val="es-CR"/>
        </w:rPr>
        <w:t>errillera del M-19 (Irma Franco Pineda)</w:t>
      </w:r>
      <w:r w:rsidR="00285FBE" w:rsidRPr="00C73BCF">
        <w:rPr>
          <w:sz w:val="20"/>
          <w:szCs w:val="20"/>
          <w:lang w:val="es-CR"/>
        </w:rPr>
        <w:t>, así como por la desaparición forzada y ejecución extrajudicial de</w:t>
      </w:r>
      <w:r w:rsidR="007E28C6" w:rsidRPr="00C73BCF">
        <w:rPr>
          <w:sz w:val="20"/>
          <w:szCs w:val="20"/>
          <w:lang w:val="es-CR"/>
        </w:rPr>
        <w:t>l magistrado auxiliar</w:t>
      </w:r>
      <w:r w:rsidR="00285FBE" w:rsidRPr="00C73BCF">
        <w:rPr>
          <w:sz w:val="20"/>
          <w:szCs w:val="20"/>
          <w:lang w:val="es-CR"/>
        </w:rPr>
        <w:t xml:space="preserve"> Carlos Horacio Urán Rojas. </w:t>
      </w:r>
      <w:r w:rsidR="00323595" w:rsidRPr="00C73BCF">
        <w:rPr>
          <w:sz w:val="20"/>
          <w:szCs w:val="20"/>
          <w:lang w:val="es-CR"/>
        </w:rPr>
        <w:t>Se tuvo por probado que</w:t>
      </w:r>
      <w:r w:rsidR="00F31AC0" w:rsidRPr="00C73BCF">
        <w:rPr>
          <w:sz w:val="20"/>
          <w:szCs w:val="20"/>
          <w:lang w:val="es-CR"/>
        </w:rPr>
        <w:t xml:space="preserve"> las personas consideradas sosp</w:t>
      </w:r>
      <w:r w:rsidR="00323595" w:rsidRPr="00C73BCF">
        <w:rPr>
          <w:sz w:val="20"/>
          <w:szCs w:val="20"/>
          <w:lang w:val="es-CR"/>
        </w:rPr>
        <w:t xml:space="preserve">echosas de participar en la toma o de colaborar con el M-19 fueron separadas de los rehenes, conducidas a instituciones militares y en algunos casos torturados y/o desaparecidos. </w:t>
      </w:r>
      <w:r w:rsidR="00285FBE" w:rsidRPr="00C73BCF">
        <w:rPr>
          <w:sz w:val="20"/>
          <w:szCs w:val="20"/>
          <w:lang w:val="es-CR"/>
        </w:rPr>
        <w:t>Por otra parte, el Estado fue declarado internacionalmente responsable por haber violado su deber de garantizar el derecho a la vida por la falta de determinación del paradero de Ana Rosa Castiblanco Torres por dieciséis años, y de Norma Constanza Esguerra Forero</w:t>
      </w:r>
      <w:r w:rsidR="00323595" w:rsidRPr="00C73BCF">
        <w:rPr>
          <w:sz w:val="20"/>
          <w:szCs w:val="20"/>
          <w:lang w:val="es-CR"/>
        </w:rPr>
        <w:t xml:space="preserve"> a la fecha de la Sentencia</w:t>
      </w:r>
      <w:r w:rsidR="00285FBE" w:rsidRPr="00C73BCF">
        <w:rPr>
          <w:sz w:val="20"/>
          <w:szCs w:val="20"/>
          <w:lang w:val="es-CR"/>
        </w:rPr>
        <w:t xml:space="preserve">. Además, </w:t>
      </w:r>
      <w:r w:rsidR="00323595" w:rsidRPr="00C73BCF">
        <w:rPr>
          <w:sz w:val="20"/>
          <w:szCs w:val="20"/>
          <w:lang w:val="es-CR"/>
        </w:rPr>
        <w:t xml:space="preserve">se determinó la responsabilidad de Colombia por </w:t>
      </w:r>
      <w:r w:rsidR="00285FBE" w:rsidRPr="00C73BCF">
        <w:rPr>
          <w:sz w:val="20"/>
          <w:szCs w:val="20"/>
          <w:lang w:val="es-CR"/>
        </w:rPr>
        <w:t>la</w:t>
      </w:r>
      <w:r w:rsidR="00323595" w:rsidRPr="00C73BCF">
        <w:rPr>
          <w:sz w:val="20"/>
          <w:szCs w:val="20"/>
          <w:lang w:val="es-CR"/>
        </w:rPr>
        <w:t>s</w:t>
      </w:r>
      <w:r w:rsidR="00285FBE" w:rsidRPr="00C73BCF">
        <w:rPr>
          <w:sz w:val="20"/>
          <w:szCs w:val="20"/>
          <w:lang w:val="es-CR"/>
        </w:rPr>
        <w:t xml:space="preserve"> detenci</w:t>
      </w:r>
      <w:r w:rsidR="00323595" w:rsidRPr="00C73BCF">
        <w:rPr>
          <w:sz w:val="20"/>
          <w:szCs w:val="20"/>
          <w:lang w:val="es-CR"/>
        </w:rPr>
        <w:t>ones</w:t>
      </w:r>
      <w:r w:rsidR="00285FBE" w:rsidRPr="00C73BCF">
        <w:rPr>
          <w:sz w:val="20"/>
          <w:szCs w:val="20"/>
          <w:lang w:val="es-CR"/>
        </w:rPr>
        <w:t xml:space="preserve"> </w:t>
      </w:r>
      <w:r w:rsidR="00323595" w:rsidRPr="00C73BCF">
        <w:rPr>
          <w:sz w:val="20"/>
          <w:szCs w:val="20"/>
          <w:lang w:val="es-CR"/>
        </w:rPr>
        <w:t xml:space="preserve">ilegales </w:t>
      </w:r>
      <w:r w:rsidR="00285FBE" w:rsidRPr="00C73BCF">
        <w:rPr>
          <w:sz w:val="20"/>
          <w:szCs w:val="20"/>
          <w:lang w:val="es-CR"/>
        </w:rPr>
        <w:t>y tortura</w:t>
      </w:r>
      <w:r w:rsidR="00323595" w:rsidRPr="00C73BCF">
        <w:rPr>
          <w:sz w:val="20"/>
          <w:szCs w:val="20"/>
          <w:lang w:val="es-CR"/>
        </w:rPr>
        <w:t>s</w:t>
      </w:r>
      <w:r w:rsidR="00285FBE" w:rsidRPr="00C73BCF">
        <w:rPr>
          <w:sz w:val="20"/>
          <w:szCs w:val="20"/>
          <w:lang w:val="es-CR"/>
        </w:rPr>
        <w:t xml:space="preserve"> </w:t>
      </w:r>
      <w:r w:rsidR="00323595" w:rsidRPr="00C73BCF">
        <w:rPr>
          <w:sz w:val="20"/>
          <w:szCs w:val="20"/>
          <w:lang w:val="es-CR"/>
        </w:rPr>
        <w:t xml:space="preserve">o tratos </w:t>
      </w:r>
      <w:r w:rsidR="00323595" w:rsidRPr="00C73BCF">
        <w:rPr>
          <w:sz w:val="20"/>
          <w:szCs w:val="20"/>
          <w:lang w:val="es-CR"/>
        </w:rPr>
        <w:lastRenderedPageBreak/>
        <w:t xml:space="preserve">crueles </w:t>
      </w:r>
      <w:r w:rsidR="00DF0AAF" w:rsidRPr="00C73BCF">
        <w:rPr>
          <w:sz w:val="20"/>
          <w:szCs w:val="20"/>
          <w:lang w:val="es-CR"/>
        </w:rPr>
        <w:t>infringidos a</w:t>
      </w:r>
      <w:r w:rsidR="00323595" w:rsidRPr="00C73BCF">
        <w:rPr>
          <w:sz w:val="20"/>
          <w:szCs w:val="20"/>
          <w:lang w:val="es-CR"/>
        </w:rPr>
        <w:t xml:space="preserve"> </w:t>
      </w:r>
      <w:r w:rsidR="00285FBE" w:rsidRPr="00C73BCF">
        <w:rPr>
          <w:sz w:val="20"/>
          <w:szCs w:val="20"/>
          <w:lang w:val="es-CR"/>
        </w:rPr>
        <w:t xml:space="preserve">Yolanda </w:t>
      </w:r>
      <w:proofErr w:type="spellStart"/>
      <w:r w:rsidR="00285FBE" w:rsidRPr="00C73BCF">
        <w:rPr>
          <w:sz w:val="20"/>
          <w:szCs w:val="20"/>
          <w:lang w:val="es-CR"/>
        </w:rPr>
        <w:t>Santodomingo</w:t>
      </w:r>
      <w:proofErr w:type="spellEnd"/>
      <w:r w:rsidR="00285FBE" w:rsidRPr="00C73BCF">
        <w:rPr>
          <w:sz w:val="20"/>
          <w:szCs w:val="20"/>
          <w:lang w:val="es-CR"/>
        </w:rPr>
        <w:t xml:space="preserve"> </w:t>
      </w:r>
      <w:proofErr w:type="spellStart"/>
      <w:r w:rsidR="00285FBE" w:rsidRPr="00C73BCF">
        <w:rPr>
          <w:sz w:val="20"/>
          <w:szCs w:val="20"/>
          <w:lang w:val="es-CR"/>
        </w:rPr>
        <w:t>Albericci</w:t>
      </w:r>
      <w:proofErr w:type="spellEnd"/>
      <w:r w:rsidR="00285FBE" w:rsidRPr="00C73BCF">
        <w:rPr>
          <w:sz w:val="20"/>
          <w:szCs w:val="20"/>
          <w:lang w:val="es-CR"/>
        </w:rPr>
        <w:t xml:space="preserve">, Eduardo </w:t>
      </w:r>
      <w:proofErr w:type="spellStart"/>
      <w:r w:rsidR="00285FBE" w:rsidRPr="00C73BCF">
        <w:rPr>
          <w:sz w:val="20"/>
          <w:szCs w:val="20"/>
          <w:lang w:val="es-CR"/>
        </w:rPr>
        <w:t>Matson</w:t>
      </w:r>
      <w:proofErr w:type="spellEnd"/>
      <w:r w:rsidR="00285FBE" w:rsidRPr="00C73BCF">
        <w:rPr>
          <w:sz w:val="20"/>
          <w:szCs w:val="20"/>
          <w:lang w:val="es-CR"/>
        </w:rPr>
        <w:t xml:space="preserve"> Ospino</w:t>
      </w:r>
      <w:r w:rsidR="00645256" w:rsidRPr="00C73BCF">
        <w:rPr>
          <w:sz w:val="20"/>
          <w:szCs w:val="20"/>
          <w:lang w:val="es-CR"/>
        </w:rPr>
        <w:t>,</w:t>
      </w:r>
      <w:r w:rsidR="00285FBE" w:rsidRPr="00C73BCF">
        <w:rPr>
          <w:sz w:val="20"/>
          <w:szCs w:val="20"/>
          <w:lang w:val="es-CR"/>
        </w:rPr>
        <w:t xml:space="preserve"> José Vicente Rubiano</w:t>
      </w:r>
      <w:r w:rsidR="00645256" w:rsidRPr="00C73BCF">
        <w:rPr>
          <w:sz w:val="20"/>
          <w:szCs w:val="20"/>
          <w:lang w:val="es-CR"/>
        </w:rPr>
        <w:t xml:space="preserve"> Galvis</w:t>
      </w:r>
      <w:r w:rsidR="00D23DAB" w:rsidRPr="00C73BCF">
        <w:rPr>
          <w:sz w:val="20"/>
          <w:szCs w:val="20"/>
          <w:lang w:val="es-CR"/>
        </w:rPr>
        <w:t xml:space="preserve"> </w:t>
      </w:r>
      <w:r w:rsidR="00323595" w:rsidRPr="00C73BCF">
        <w:rPr>
          <w:sz w:val="20"/>
          <w:szCs w:val="20"/>
          <w:lang w:val="es-CR"/>
        </w:rPr>
        <w:t xml:space="preserve">y </w:t>
      </w:r>
      <w:r w:rsidR="00285FBE" w:rsidRPr="00C73BCF">
        <w:rPr>
          <w:sz w:val="20"/>
          <w:szCs w:val="20"/>
          <w:lang w:val="es-CR"/>
        </w:rPr>
        <w:t xml:space="preserve">Orlando Quijano, </w:t>
      </w:r>
      <w:r w:rsidR="00323595" w:rsidRPr="00C73BCF">
        <w:rPr>
          <w:sz w:val="20"/>
          <w:szCs w:val="20"/>
          <w:lang w:val="es-CR"/>
        </w:rPr>
        <w:t xml:space="preserve">quienes fueron considerados sospechosos de colaborar con el M-19 </w:t>
      </w:r>
      <w:r w:rsidR="00285FBE" w:rsidRPr="00C73BCF">
        <w:rPr>
          <w:sz w:val="20"/>
          <w:szCs w:val="20"/>
          <w:lang w:val="es-CR"/>
        </w:rPr>
        <w:t>en el marco de los mismos hechos. Por último, el Estado fue declarado responsable por la falta de esclarecimiento judicial de los hechos</w:t>
      </w:r>
      <w:r w:rsidR="005B010A" w:rsidRPr="00C73BCF">
        <w:rPr>
          <w:sz w:val="20"/>
          <w:szCs w:val="20"/>
          <w:lang w:val="es-CR"/>
        </w:rPr>
        <w:t>,</w:t>
      </w:r>
      <w:r w:rsidR="00F10907" w:rsidRPr="00C73BCF">
        <w:rPr>
          <w:sz w:val="20"/>
          <w:szCs w:val="20"/>
          <w:lang w:val="es-CR"/>
        </w:rPr>
        <w:t xml:space="preserve"> </w:t>
      </w:r>
      <w:r w:rsidR="00F31AC0" w:rsidRPr="00C73BCF">
        <w:rPr>
          <w:sz w:val="20"/>
          <w:szCs w:val="20"/>
          <w:lang w:val="es-CR"/>
        </w:rPr>
        <w:t xml:space="preserve">y </w:t>
      </w:r>
      <w:r w:rsidR="00296F38" w:rsidRPr="00C73BCF">
        <w:rPr>
          <w:sz w:val="20"/>
          <w:szCs w:val="20"/>
          <w:lang w:val="es-CR"/>
        </w:rPr>
        <w:t xml:space="preserve">la violación del derecho a la integridad personal en perjuicio de los familiares de las víctimas. </w:t>
      </w:r>
      <w:r w:rsidR="00236C4D" w:rsidRPr="00C73BCF">
        <w:rPr>
          <w:sz w:val="20"/>
          <w:szCs w:val="20"/>
          <w:lang w:val="es-CR"/>
        </w:rPr>
        <w:t>La Corte estable</w:t>
      </w:r>
      <w:r w:rsidR="00157974" w:rsidRPr="00C73BCF">
        <w:rPr>
          <w:sz w:val="20"/>
          <w:szCs w:val="20"/>
          <w:lang w:val="es-CR"/>
        </w:rPr>
        <w:t>ció que su Sentencia constituye</w:t>
      </w:r>
      <w:r w:rsidR="00236C4D" w:rsidRPr="00C73BCF">
        <w:rPr>
          <w:sz w:val="20"/>
          <w:szCs w:val="20"/>
          <w:lang w:val="es-CR"/>
        </w:rPr>
        <w:t xml:space="preserve"> </w:t>
      </w:r>
      <w:r w:rsidR="00E71DB0" w:rsidRPr="00C73BCF">
        <w:rPr>
          <w:sz w:val="20"/>
          <w:szCs w:val="20"/>
          <w:lang w:val="es-CR"/>
        </w:rPr>
        <w:t>por sí misma</w:t>
      </w:r>
      <w:r w:rsidR="00236C4D" w:rsidRPr="00C73BCF">
        <w:rPr>
          <w:sz w:val="20"/>
          <w:szCs w:val="20"/>
          <w:lang w:val="es-CR"/>
        </w:rPr>
        <w:t xml:space="preserve"> una forma de reparación y, además, ordenó al Estado determinadas medidas de reparación (</w:t>
      </w:r>
      <w:r w:rsidR="00236C4D" w:rsidRPr="00C73BCF">
        <w:rPr>
          <w:i/>
          <w:sz w:val="20"/>
          <w:szCs w:val="20"/>
          <w:lang w:val="es-CR"/>
        </w:rPr>
        <w:t xml:space="preserve">infra </w:t>
      </w:r>
      <w:r w:rsidR="00236C4D" w:rsidRPr="00C73BCF">
        <w:rPr>
          <w:sz w:val="20"/>
          <w:szCs w:val="20"/>
          <w:lang w:val="es-CR"/>
        </w:rPr>
        <w:t>Considerando 1).</w:t>
      </w:r>
      <w:r w:rsidR="008D1D36" w:rsidRPr="00C73BCF">
        <w:rPr>
          <w:sz w:val="20"/>
          <w:szCs w:val="20"/>
          <w:lang w:val="es-CR"/>
        </w:rPr>
        <w:t xml:space="preserve"> </w:t>
      </w:r>
    </w:p>
    <w:p w:rsidR="005F3D47" w:rsidRPr="00C73BCF" w:rsidRDefault="005F3D47" w:rsidP="00F07333">
      <w:pPr>
        <w:pStyle w:val="Listamedia2-nfasis4"/>
        <w:spacing w:after="0" w:line="240" w:lineRule="auto"/>
        <w:ind w:left="0"/>
        <w:contextualSpacing w:val="0"/>
        <w:jc w:val="both"/>
        <w:rPr>
          <w:rFonts w:ascii="Verdana" w:hAnsi="Verdana"/>
          <w:color w:val="000000"/>
          <w:sz w:val="20"/>
          <w:szCs w:val="20"/>
          <w:shd w:val="clear" w:color="auto" w:fill="FFFFFF"/>
        </w:rPr>
      </w:pPr>
    </w:p>
    <w:p w:rsidR="005F3D47" w:rsidRPr="00C73BCF" w:rsidRDefault="00D1375B" w:rsidP="00D1375B">
      <w:pPr>
        <w:pStyle w:val="Listamedia2-nfasis4"/>
        <w:spacing w:after="0" w:line="240" w:lineRule="auto"/>
        <w:ind w:left="0"/>
        <w:contextualSpacing w:val="0"/>
        <w:jc w:val="both"/>
        <w:rPr>
          <w:rFonts w:ascii="Verdana" w:hAnsi="Verdana"/>
          <w:color w:val="000000"/>
          <w:sz w:val="20"/>
          <w:szCs w:val="20"/>
          <w:shd w:val="clear" w:color="auto" w:fill="FFFFFF"/>
        </w:rPr>
      </w:pPr>
      <w:r w:rsidRPr="00C73BCF">
        <w:rPr>
          <w:rFonts w:ascii="Verdana" w:hAnsi="Verdana"/>
          <w:sz w:val="20"/>
        </w:rPr>
        <w:t>2.</w:t>
      </w:r>
      <w:r w:rsidRPr="00C73BCF">
        <w:rPr>
          <w:rFonts w:ascii="Verdana" w:hAnsi="Verdana"/>
          <w:sz w:val="20"/>
        </w:rPr>
        <w:tab/>
      </w:r>
      <w:r w:rsidR="00E410FD" w:rsidRPr="00C73BCF">
        <w:rPr>
          <w:rFonts w:ascii="Verdana" w:hAnsi="Verdana"/>
          <w:sz w:val="20"/>
        </w:rPr>
        <w:t xml:space="preserve">Los </w:t>
      </w:r>
      <w:r w:rsidR="00645256" w:rsidRPr="00C73BCF">
        <w:rPr>
          <w:rFonts w:ascii="Verdana" w:hAnsi="Verdana"/>
          <w:sz w:val="20"/>
        </w:rPr>
        <w:t xml:space="preserve">cuatro </w:t>
      </w:r>
      <w:r w:rsidR="00E410FD" w:rsidRPr="00C73BCF">
        <w:rPr>
          <w:rFonts w:ascii="Verdana" w:hAnsi="Verdana"/>
          <w:sz w:val="20"/>
        </w:rPr>
        <w:t xml:space="preserve">informes presentados por el Estado </w:t>
      </w:r>
      <w:r w:rsidR="00845C14" w:rsidRPr="00C73BCF">
        <w:rPr>
          <w:rFonts w:ascii="Verdana" w:hAnsi="Verdana"/>
          <w:sz w:val="20"/>
        </w:rPr>
        <w:t>entre</w:t>
      </w:r>
      <w:r w:rsidR="00E410FD" w:rsidRPr="00C73BCF">
        <w:rPr>
          <w:rFonts w:ascii="Verdana" w:hAnsi="Verdana"/>
          <w:sz w:val="20"/>
        </w:rPr>
        <w:t xml:space="preserve"> </w:t>
      </w:r>
      <w:r w:rsidR="008F4072" w:rsidRPr="00C73BCF">
        <w:rPr>
          <w:rFonts w:ascii="Verdana" w:hAnsi="Verdana"/>
          <w:sz w:val="20"/>
        </w:rPr>
        <w:t>diciembre</w:t>
      </w:r>
      <w:r w:rsidR="005B60E1" w:rsidRPr="00C73BCF">
        <w:rPr>
          <w:rFonts w:ascii="Verdana" w:hAnsi="Verdana"/>
          <w:sz w:val="20"/>
        </w:rPr>
        <w:t xml:space="preserve"> de</w:t>
      </w:r>
      <w:r w:rsidR="00E410FD" w:rsidRPr="00C73BCF">
        <w:rPr>
          <w:rFonts w:ascii="Verdana" w:hAnsi="Verdana"/>
          <w:sz w:val="20"/>
        </w:rPr>
        <w:t xml:space="preserve"> </w:t>
      </w:r>
      <w:r w:rsidR="005B60E1" w:rsidRPr="00C73BCF">
        <w:rPr>
          <w:rFonts w:ascii="Verdana" w:hAnsi="Verdana"/>
          <w:sz w:val="20"/>
        </w:rPr>
        <w:t>2</w:t>
      </w:r>
      <w:r w:rsidR="008F4072" w:rsidRPr="00C73BCF">
        <w:rPr>
          <w:rFonts w:ascii="Verdana" w:hAnsi="Verdana"/>
          <w:sz w:val="20"/>
        </w:rPr>
        <w:t>015</w:t>
      </w:r>
      <w:r w:rsidR="00E410FD" w:rsidRPr="00C73BCF">
        <w:rPr>
          <w:rFonts w:ascii="Verdana" w:hAnsi="Verdana"/>
          <w:sz w:val="20"/>
        </w:rPr>
        <w:t xml:space="preserve"> y </w:t>
      </w:r>
      <w:r w:rsidR="00F07333" w:rsidRPr="00C73BCF">
        <w:rPr>
          <w:rFonts w:ascii="Verdana" w:hAnsi="Verdana"/>
          <w:sz w:val="20"/>
        </w:rPr>
        <w:t>enero</w:t>
      </w:r>
      <w:r w:rsidR="00E410FD" w:rsidRPr="00C73BCF">
        <w:rPr>
          <w:rFonts w:ascii="Verdana" w:hAnsi="Verdana"/>
          <w:sz w:val="20"/>
        </w:rPr>
        <w:t xml:space="preserve"> de </w:t>
      </w:r>
      <w:r w:rsidR="00F07333" w:rsidRPr="00C73BCF">
        <w:rPr>
          <w:rFonts w:ascii="Verdana" w:hAnsi="Verdana"/>
          <w:sz w:val="20"/>
        </w:rPr>
        <w:t>2017</w:t>
      </w:r>
      <w:r w:rsidR="00E410FD" w:rsidRPr="00C73BCF">
        <w:rPr>
          <w:rStyle w:val="Refdenotaalpie"/>
          <w:rFonts w:ascii="Verdana" w:hAnsi="Verdana"/>
          <w:color w:val="000000"/>
          <w:sz w:val="20"/>
          <w:szCs w:val="20"/>
          <w:shd w:val="clear" w:color="auto" w:fill="FFFFFF"/>
        </w:rPr>
        <w:footnoteReference w:id="2"/>
      </w:r>
      <w:r w:rsidR="00845C14" w:rsidRPr="00C73BCF">
        <w:rPr>
          <w:rFonts w:ascii="Verdana" w:hAnsi="Verdana"/>
          <w:sz w:val="20"/>
        </w:rPr>
        <w:t>.</w:t>
      </w:r>
    </w:p>
    <w:p w:rsidR="005F3D47" w:rsidRPr="00C73BCF" w:rsidRDefault="005F3D47" w:rsidP="00F07333">
      <w:pPr>
        <w:pStyle w:val="Listamedia2-nfasis4"/>
        <w:spacing w:after="0" w:line="240" w:lineRule="auto"/>
        <w:ind w:left="0"/>
        <w:contextualSpacing w:val="0"/>
        <w:jc w:val="both"/>
        <w:rPr>
          <w:rFonts w:ascii="Verdana" w:hAnsi="Verdana"/>
          <w:color w:val="000000"/>
          <w:sz w:val="20"/>
          <w:szCs w:val="20"/>
          <w:shd w:val="clear" w:color="auto" w:fill="FFFFFF"/>
        </w:rPr>
      </w:pPr>
    </w:p>
    <w:p w:rsidR="00D1375B" w:rsidRPr="00C73BCF" w:rsidRDefault="00D1375B" w:rsidP="00D1375B">
      <w:pPr>
        <w:pStyle w:val="Listamedia2-nfasis4"/>
        <w:spacing w:after="0" w:line="240" w:lineRule="auto"/>
        <w:ind w:left="0"/>
        <w:contextualSpacing w:val="0"/>
        <w:jc w:val="both"/>
        <w:rPr>
          <w:rFonts w:ascii="Verdana" w:hAnsi="Verdana"/>
          <w:b/>
          <w:color w:val="000000"/>
          <w:sz w:val="20"/>
          <w:szCs w:val="20"/>
          <w:shd w:val="clear" w:color="auto" w:fill="FFFFFF"/>
        </w:rPr>
      </w:pPr>
      <w:r w:rsidRPr="00C73BCF">
        <w:rPr>
          <w:rFonts w:ascii="Verdana" w:hAnsi="Verdana"/>
          <w:color w:val="000000"/>
          <w:sz w:val="20"/>
          <w:szCs w:val="20"/>
          <w:shd w:val="clear" w:color="auto" w:fill="FFFFFF"/>
        </w:rPr>
        <w:t>3.</w:t>
      </w:r>
      <w:r w:rsidRPr="00C73BCF">
        <w:rPr>
          <w:rFonts w:ascii="Verdana" w:hAnsi="Verdana"/>
          <w:color w:val="000000"/>
          <w:sz w:val="20"/>
          <w:szCs w:val="20"/>
          <w:shd w:val="clear" w:color="auto" w:fill="FFFFFF"/>
        </w:rPr>
        <w:tab/>
      </w:r>
      <w:r w:rsidR="00E96F7A" w:rsidRPr="00C73BCF">
        <w:rPr>
          <w:rFonts w:ascii="Verdana" w:hAnsi="Verdana"/>
          <w:color w:val="000000"/>
          <w:sz w:val="20"/>
          <w:szCs w:val="20"/>
          <w:shd w:val="clear" w:color="auto" w:fill="FFFFFF"/>
        </w:rPr>
        <w:t xml:space="preserve">Los </w:t>
      </w:r>
      <w:r w:rsidR="00645256" w:rsidRPr="00C73BCF">
        <w:rPr>
          <w:rFonts w:ascii="Verdana" w:hAnsi="Verdana"/>
          <w:sz w:val="20"/>
        </w:rPr>
        <w:t xml:space="preserve">cinco </w:t>
      </w:r>
      <w:r w:rsidR="00E96F7A" w:rsidRPr="00C73BCF">
        <w:rPr>
          <w:rFonts w:ascii="Verdana" w:hAnsi="Verdana"/>
          <w:color w:val="000000"/>
          <w:sz w:val="20"/>
          <w:szCs w:val="20"/>
          <w:shd w:val="clear" w:color="auto" w:fill="FFFFFF"/>
        </w:rPr>
        <w:t xml:space="preserve">escritos presentados por </w:t>
      </w:r>
      <w:r w:rsidR="0026403E" w:rsidRPr="00C73BCF">
        <w:rPr>
          <w:rFonts w:ascii="Verdana" w:hAnsi="Verdana"/>
          <w:color w:val="000000"/>
          <w:sz w:val="20"/>
          <w:szCs w:val="20"/>
          <w:shd w:val="clear" w:color="auto" w:fill="FFFFFF"/>
        </w:rPr>
        <w:t>los</w:t>
      </w:r>
      <w:r w:rsidR="00E96F7A" w:rsidRPr="00C73BCF">
        <w:rPr>
          <w:rFonts w:ascii="Verdana" w:hAnsi="Verdana"/>
          <w:color w:val="000000"/>
          <w:sz w:val="20"/>
          <w:szCs w:val="20"/>
          <w:shd w:val="clear" w:color="auto" w:fill="FFFFFF"/>
        </w:rPr>
        <w:t xml:space="preserve"> representante</w:t>
      </w:r>
      <w:r w:rsidR="0026403E" w:rsidRPr="00C73BCF">
        <w:rPr>
          <w:rFonts w:ascii="Verdana" w:hAnsi="Verdana"/>
          <w:color w:val="000000"/>
          <w:sz w:val="20"/>
          <w:szCs w:val="20"/>
          <w:shd w:val="clear" w:color="auto" w:fill="FFFFFF"/>
        </w:rPr>
        <w:t>s</w:t>
      </w:r>
      <w:r w:rsidR="00E96F7A" w:rsidRPr="00C73BCF">
        <w:rPr>
          <w:rFonts w:ascii="Verdana" w:hAnsi="Verdana"/>
          <w:color w:val="000000"/>
          <w:sz w:val="20"/>
          <w:szCs w:val="20"/>
          <w:shd w:val="clear" w:color="auto" w:fill="FFFFFF"/>
        </w:rPr>
        <w:t xml:space="preserve"> de la</w:t>
      </w:r>
      <w:r w:rsidR="0026403E" w:rsidRPr="00C73BCF">
        <w:rPr>
          <w:rFonts w:ascii="Verdana" w:hAnsi="Verdana"/>
          <w:color w:val="000000"/>
          <w:sz w:val="20"/>
          <w:szCs w:val="20"/>
          <w:shd w:val="clear" w:color="auto" w:fill="FFFFFF"/>
        </w:rPr>
        <w:t>s</w:t>
      </w:r>
      <w:r w:rsidR="00E96F7A" w:rsidRPr="00C73BCF">
        <w:rPr>
          <w:rFonts w:ascii="Verdana" w:hAnsi="Verdana"/>
          <w:color w:val="000000"/>
          <w:sz w:val="20"/>
          <w:szCs w:val="20"/>
          <w:shd w:val="clear" w:color="auto" w:fill="FFFFFF"/>
        </w:rPr>
        <w:t xml:space="preserve"> víctima</w:t>
      </w:r>
      <w:r w:rsidR="0026403E" w:rsidRPr="00C73BCF">
        <w:rPr>
          <w:rFonts w:ascii="Verdana" w:hAnsi="Verdana"/>
          <w:color w:val="000000"/>
          <w:sz w:val="20"/>
          <w:szCs w:val="20"/>
          <w:shd w:val="clear" w:color="auto" w:fill="FFFFFF"/>
        </w:rPr>
        <w:t>s</w:t>
      </w:r>
      <w:r w:rsidR="00E96F7A" w:rsidRPr="00C73BCF">
        <w:rPr>
          <w:rFonts w:ascii="Verdana" w:hAnsi="Verdana"/>
          <w:color w:val="000000"/>
          <w:sz w:val="20"/>
          <w:szCs w:val="20"/>
          <w:shd w:val="clear" w:color="auto" w:fill="FFFFFF"/>
        </w:rPr>
        <w:t xml:space="preserve"> (en adelante “</w:t>
      </w:r>
      <w:r w:rsidR="0026403E" w:rsidRPr="00C73BCF">
        <w:rPr>
          <w:rFonts w:ascii="Verdana" w:hAnsi="Verdana"/>
          <w:color w:val="000000"/>
          <w:sz w:val="20"/>
          <w:szCs w:val="20"/>
          <w:shd w:val="clear" w:color="auto" w:fill="FFFFFF"/>
        </w:rPr>
        <w:t>los</w:t>
      </w:r>
      <w:r w:rsidR="00E96F7A" w:rsidRPr="00C73BCF">
        <w:rPr>
          <w:rFonts w:ascii="Verdana" w:hAnsi="Verdana"/>
          <w:color w:val="000000"/>
          <w:sz w:val="20"/>
          <w:szCs w:val="20"/>
          <w:shd w:val="clear" w:color="auto" w:fill="FFFFFF"/>
        </w:rPr>
        <w:t xml:space="preserve"> representantes”)</w:t>
      </w:r>
      <w:r w:rsidR="00E96F7A" w:rsidRPr="00C73BCF">
        <w:rPr>
          <w:rStyle w:val="Refdenotaalpie"/>
          <w:rFonts w:ascii="Verdana" w:hAnsi="Verdana"/>
          <w:color w:val="000000"/>
          <w:sz w:val="20"/>
          <w:szCs w:val="20"/>
          <w:shd w:val="clear" w:color="auto" w:fill="FFFFFF"/>
        </w:rPr>
        <w:footnoteReference w:id="3"/>
      </w:r>
      <w:r w:rsidR="0026403E" w:rsidRPr="00C73BCF">
        <w:rPr>
          <w:rFonts w:ascii="Verdana" w:hAnsi="Verdana"/>
          <w:color w:val="000000"/>
          <w:sz w:val="20"/>
          <w:szCs w:val="20"/>
          <w:shd w:val="clear" w:color="auto" w:fill="FFFFFF"/>
        </w:rPr>
        <w:t xml:space="preserve"> entre marzo </w:t>
      </w:r>
      <w:r w:rsidR="00072210" w:rsidRPr="00C73BCF">
        <w:rPr>
          <w:rFonts w:ascii="Verdana" w:hAnsi="Verdana"/>
          <w:sz w:val="20"/>
        </w:rPr>
        <w:t xml:space="preserve">y </w:t>
      </w:r>
      <w:r w:rsidR="0026403E" w:rsidRPr="00C73BCF">
        <w:rPr>
          <w:rFonts w:ascii="Verdana" w:hAnsi="Verdana"/>
          <w:sz w:val="20"/>
        </w:rPr>
        <w:t>diciembre</w:t>
      </w:r>
      <w:r w:rsidR="00072210" w:rsidRPr="00C73BCF">
        <w:rPr>
          <w:rFonts w:ascii="Verdana" w:hAnsi="Verdana"/>
          <w:sz w:val="20"/>
        </w:rPr>
        <w:t xml:space="preserve"> de </w:t>
      </w:r>
      <w:r w:rsidR="0026403E" w:rsidRPr="00C73BCF">
        <w:rPr>
          <w:rFonts w:ascii="Verdana" w:hAnsi="Verdana"/>
          <w:sz w:val="20"/>
        </w:rPr>
        <w:t>2016</w:t>
      </w:r>
      <w:r w:rsidR="00072210" w:rsidRPr="00C73BCF">
        <w:rPr>
          <w:rStyle w:val="Refdenotaalpie"/>
          <w:rFonts w:ascii="Verdana" w:hAnsi="Verdana"/>
          <w:color w:val="000000"/>
          <w:sz w:val="20"/>
          <w:szCs w:val="20"/>
          <w:shd w:val="clear" w:color="auto" w:fill="FFFFFF"/>
        </w:rPr>
        <w:footnoteReference w:id="4"/>
      </w:r>
      <w:r w:rsidRPr="00C73BCF">
        <w:rPr>
          <w:rFonts w:ascii="Verdana" w:hAnsi="Verdana"/>
          <w:color w:val="000000"/>
          <w:sz w:val="20"/>
          <w:szCs w:val="20"/>
          <w:shd w:val="clear" w:color="auto" w:fill="FFFFFF"/>
        </w:rPr>
        <w:t>, así como las seis comunicaciones remitidas por las víctimas</w:t>
      </w:r>
      <w:r w:rsidRPr="00C73BCF">
        <w:rPr>
          <w:rFonts w:ascii="Verdana" w:hAnsi="Verdana"/>
          <w:sz w:val="20"/>
          <w:szCs w:val="20"/>
        </w:rPr>
        <w:t xml:space="preserve"> Francisco Lanao Anzola</w:t>
      </w:r>
      <w:r w:rsidRPr="00C73BCF">
        <w:rPr>
          <w:rStyle w:val="Refdenotaalpie"/>
          <w:rFonts w:ascii="Verdana" w:hAnsi="Verdana"/>
          <w:sz w:val="20"/>
          <w:szCs w:val="20"/>
        </w:rPr>
        <w:footnoteReference w:id="5"/>
      </w:r>
      <w:r w:rsidRPr="00C73BCF">
        <w:rPr>
          <w:rFonts w:ascii="Verdana" w:hAnsi="Verdana"/>
          <w:sz w:val="20"/>
          <w:szCs w:val="20"/>
        </w:rPr>
        <w:t xml:space="preserve"> y René Guarín Cortés</w:t>
      </w:r>
      <w:r w:rsidRPr="00C73BCF">
        <w:rPr>
          <w:rStyle w:val="Refdenotaalpie"/>
          <w:rFonts w:ascii="Verdana" w:hAnsi="Verdana"/>
          <w:sz w:val="20"/>
          <w:szCs w:val="20"/>
        </w:rPr>
        <w:footnoteReference w:id="6"/>
      </w:r>
      <w:r w:rsidRPr="00C73BCF">
        <w:rPr>
          <w:rFonts w:ascii="Verdana" w:hAnsi="Verdana"/>
          <w:sz w:val="20"/>
          <w:szCs w:val="20"/>
        </w:rPr>
        <w:t xml:space="preserve"> entre agosto de 2016 y enero de 2017.</w:t>
      </w:r>
    </w:p>
    <w:p w:rsidR="005F3D47" w:rsidRPr="00C73BCF" w:rsidRDefault="005F3D47" w:rsidP="00F07333">
      <w:pPr>
        <w:pStyle w:val="Listamedia2-nfasis4"/>
        <w:spacing w:after="0" w:line="240" w:lineRule="auto"/>
        <w:ind w:left="0"/>
        <w:contextualSpacing w:val="0"/>
        <w:jc w:val="both"/>
        <w:rPr>
          <w:rFonts w:ascii="Verdana" w:hAnsi="Verdana"/>
          <w:color w:val="000000"/>
          <w:sz w:val="20"/>
          <w:szCs w:val="20"/>
          <w:shd w:val="clear" w:color="auto" w:fill="FFFFFF"/>
        </w:rPr>
      </w:pPr>
    </w:p>
    <w:p w:rsidR="00072210" w:rsidRPr="00C73BCF" w:rsidRDefault="00D1375B" w:rsidP="00D1375B">
      <w:pPr>
        <w:pStyle w:val="Listamedia2-nfasis4"/>
        <w:spacing w:after="0" w:line="240" w:lineRule="auto"/>
        <w:ind w:left="0"/>
        <w:contextualSpacing w:val="0"/>
        <w:jc w:val="both"/>
        <w:rPr>
          <w:rFonts w:ascii="Verdana" w:hAnsi="Verdana"/>
          <w:color w:val="000000"/>
          <w:sz w:val="20"/>
          <w:szCs w:val="20"/>
          <w:shd w:val="clear" w:color="auto" w:fill="FFFFFF"/>
        </w:rPr>
      </w:pPr>
      <w:r w:rsidRPr="00C73BCF">
        <w:rPr>
          <w:rFonts w:ascii="Verdana" w:hAnsi="Verdana"/>
          <w:color w:val="000000"/>
          <w:sz w:val="20"/>
          <w:szCs w:val="20"/>
          <w:shd w:val="clear" w:color="auto" w:fill="FFFFFF"/>
        </w:rPr>
        <w:t>4.</w:t>
      </w:r>
      <w:r w:rsidRPr="00C73BCF">
        <w:rPr>
          <w:rFonts w:ascii="Verdana" w:hAnsi="Verdana"/>
          <w:color w:val="000000"/>
          <w:sz w:val="20"/>
          <w:szCs w:val="20"/>
          <w:shd w:val="clear" w:color="auto" w:fill="FFFFFF"/>
        </w:rPr>
        <w:tab/>
      </w:r>
      <w:r w:rsidR="00400170" w:rsidRPr="00C73BCF">
        <w:rPr>
          <w:rFonts w:ascii="Verdana" w:hAnsi="Verdana"/>
          <w:color w:val="000000"/>
          <w:sz w:val="20"/>
          <w:szCs w:val="20"/>
          <w:shd w:val="clear" w:color="auto" w:fill="FFFFFF"/>
        </w:rPr>
        <w:t>El</w:t>
      </w:r>
      <w:r w:rsidR="00D02B0B" w:rsidRPr="00C73BCF">
        <w:rPr>
          <w:rFonts w:ascii="Verdana" w:hAnsi="Verdana"/>
          <w:color w:val="000000"/>
          <w:sz w:val="20"/>
          <w:szCs w:val="20"/>
          <w:shd w:val="clear" w:color="auto" w:fill="FFFFFF"/>
        </w:rPr>
        <w:t xml:space="preserve"> </w:t>
      </w:r>
      <w:r w:rsidR="00F90AD1" w:rsidRPr="00C73BCF">
        <w:rPr>
          <w:rFonts w:ascii="Verdana" w:hAnsi="Verdana"/>
          <w:color w:val="000000"/>
          <w:sz w:val="20"/>
          <w:szCs w:val="20"/>
          <w:shd w:val="clear" w:color="auto" w:fill="FFFFFF"/>
        </w:rPr>
        <w:t>escrito de observaciones presentado por la Comisión Interamericana de Derechos Humanos (en adelante “la Comisión</w:t>
      </w:r>
      <w:r w:rsidR="00157974" w:rsidRPr="00C73BCF">
        <w:rPr>
          <w:rFonts w:ascii="Verdana" w:hAnsi="Verdana"/>
          <w:color w:val="000000"/>
          <w:sz w:val="20"/>
          <w:szCs w:val="20"/>
          <w:shd w:val="clear" w:color="auto" w:fill="FFFFFF"/>
        </w:rPr>
        <w:t xml:space="preserve"> Interamericana</w:t>
      </w:r>
      <w:r w:rsidR="00F90AD1" w:rsidRPr="00C73BCF">
        <w:rPr>
          <w:rFonts w:ascii="Verdana" w:hAnsi="Verdana"/>
          <w:color w:val="000000"/>
          <w:sz w:val="20"/>
          <w:szCs w:val="20"/>
          <w:shd w:val="clear" w:color="auto" w:fill="FFFFFF"/>
        </w:rPr>
        <w:t>”</w:t>
      </w:r>
      <w:r w:rsidR="00157974" w:rsidRPr="00C73BCF">
        <w:rPr>
          <w:rFonts w:ascii="Verdana" w:hAnsi="Verdana"/>
          <w:color w:val="000000"/>
          <w:sz w:val="20"/>
          <w:szCs w:val="20"/>
          <w:shd w:val="clear" w:color="auto" w:fill="FFFFFF"/>
        </w:rPr>
        <w:t xml:space="preserve"> o “la Comisión”</w:t>
      </w:r>
      <w:r w:rsidR="0072546D" w:rsidRPr="00C73BCF">
        <w:rPr>
          <w:rFonts w:ascii="Verdana" w:hAnsi="Verdana"/>
          <w:color w:val="000000"/>
          <w:sz w:val="20"/>
          <w:szCs w:val="20"/>
          <w:shd w:val="clear" w:color="auto" w:fill="FFFFFF"/>
        </w:rPr>
        <w:t xml:space="preserve">) </w:t>
      </w:r>
      <w:r w:rsidR="004B6911" w:rsidRPr="00C73BCF">
        <w:rPr>
          <w:rFonts w:ascii="Verdana" w:hAnsi="Verdana"/>
          <w:color w:val="000000"/>
          <w:sz w:val="20"/>
          <w:szCs w:val="20"/>
          <w:shd w:val="clear" w:color="auto" w:fill="FFFFFF"/>
        </w:rPr>
        <w:t xml:space="preserve">el </w:t>
      </w:r>
      <w:r w:rsidR="00400170" w:rsidRPr="00C73BCF">
        <w:rPr>
          <w:rFonts w:ascii="Verdana" w:hAnsi="Verdana"/>
          <w:color w:val="000000"/>
          <w:sz w:val="20"/>
          <w:szCs w:val="20"/>
          <w:shd w:val="clear" w:color="auto" w:fill="FFFFFF"/>
        </w:rPr>
        <w:t>7 de febrero de 2017</w:t>
      </w:r>
      <w:r w:rsidR="00D02B0B" w:rsidRPr="00C73BCF">
        <w:rPr>
          <w:rFonts w:ascii="Verdana" w:hAnsi="Verdana"/>
          <w:color w:val="000000"/>
          <w:sz w:val="20"/>
          <w:szCs w:val="20"/>
          <w:shd w:val="clear" w:color="auto" w:fill="FFFFFF"/>
        </w:rPr>
        <w:t>.</w:t>
      </w:r>
    </w:p>
    <w:p w:rsidR="005F3D47" w:rsidRPr="00C73BCF" w:rsidRDefault="005F3D47" w:rsidP="00F07333">
      <w:pPr>
        <w:pStyle w:val="Listamedia2-nfasis4"/>
        <w:spacing w:after="0" w:line="240" w:lineRule="auto"/>
        <w:ind w:left="0"/>
        <w:contextualSpacing w:val="0"/>
        <w:jc w:val="both"/>
        <w:rPr>
          <w:rFonts w:ascii="Verdana" w:hAnsi="Verdana"/>
          <w:color w:val="000000"/>
          <w:sz w:val="20"/>
          <w:szCs w:val="20"/>
          <w:shd w:val="clear" w:color="auto" w:fill="FFFFFF"/>
        </w:rPr>
      </w:pPr>
    </w:p>
    <w:p w:rsidR="00253240" w:rsidRPr="00C73BCF" w:rsidRDefault="005921C0" w:rsidP="00F07333">
      <w:pPr>
        <w:spacing w:after="0" w:line="240" w:lineRule="auto"/>
        <w:jc w:val="both"/>
        <w:rPr>
          <w:rFonts w:ascii="Verdana" w:hAnsi="Verdana"/>
          <w:b/>
          <w:sz w:val="20"/>
        </w:rPr>
      </w:pPr>
      <w:r w:rsidRPr="00C73BCF">
        <w:rPr>
          <w:rFonts w:ascii="Verdana" w:hAnsi="Verdana"/>
          <w:b/>
          <w:sz w:val="20"/>
          <w:szCs w:val="20"/>
        </w:rPr>
        <w:t>C</w:t>
      </w:r>
      <w:r w:rsidR="008F5FD0" w:rsidRPr="00C73BCF">
        <w:rPr>
          <w:rFonts w:ascii="Verdana" w:hAnsi="Verdana"/>
          <w:b/>
          <w:sz w:val="20"/>
        </w:rPr>
        <w:t xml:space="preserve">ONSIDERANDO QUE: </w:t>
      </w:r>
    </w:p>
    <w:p w:rsidR="00E85F17" w:rsidRPr="00C73BCF" w:rsidRDefault="00E85F17" w:rsidP="00F07333">
      <w:pPr>
        <w:spacing w:after="0" w:line="240" w:lineRule="auto"/>
        <w:jc w:val="both"/>
        <w:rPr>
          <w:rFonts w:ascii="Verdana" w:hAnsi="Verdana"/>
          <w:b/>
          <w:sz w:val="20"/>
        </w:rPr>
      </w:pPr>
    </w:p>
    <w:p w:rsidR="00CD0A94" w:rsidRPr="00C73BCF" w:rsidRDefault="008F5FD0" w:rsidP="00497668">
      <w:pPr>
        <w:pStyle w:val="Listamedia2-nfasis4"/>
        <w:numPr>
          <w:ilvl w:val="0"/>
          <w:numId w:val="3"/>
        </w:numPr>
        <w:spacing w:after="0" w:line="240" w:lineRule="auto"/>
        <w:ind w:left="0" w:firstLine="0"/>
        <w:contextualSpacing w:val="0"/>
        <w:jc w:val="both"/>
        <w:rPr>
          <w:rFonts w:ascii="Verdana" w:hAnsi="Verdana"/>
          <w:b/>
          <w:sz w:val="20"/>
        </w:rPr>
      </w:pPr>
      <w:r w:rsidRPr="00C73BCF">
        <w:rPr>
          <w:rFonts w:ascii="Verdana" w:hAnsi="Verdana"/>
          <w:sz w:val="20"/>
        </w:rPr>
        <w:t>En el ejercicio de su función jurisdiccional de supervisar el cumplimiento de sus decisiones</w:t>
      </w:r>
      <w:r w:rsidRPr="00C73BCF">
        <w:rPr>
          <w:rStyle w:val="Refdenotaalpie"/>
          <w:rFonts w:ascii="Verdana" w:hAnsi="Verdana"/>
          <w:sz w:val="20"/>
        </w:rPr>
        <w:footnoteReference w:id="7"/>
      </w:r>
      <w:r w:rsidRPr="00C73BCF">
        <w:rPr>
          <w:rFonts w:ascii="Verdana" w:hAnsi="Verdana"/>
          <w:sz w:val="20"/>
        </w:rPr>
        <w:t xml:space="preserve">, la Corte ha venido </w:t>
      </w:r>
      <w:r w:rsidR="00253240" w:rsidRPr="00C73BCF">
        <w:rPr>
          <w:rFonts w:ascii="Verdana" w:hAnsi="Verdana"/>
          <w:sz w:val="20"/>
        </w:rPr>
        <w:t>supervisando</w:t>
      </w:r>
      <w:r w:rsidRPr="00C73BCF">
        <w:rPr>
          <w:rFonts w:ascii="Verdana" w:hAnsi="Verdana"/>
          <w:sz w:val="20"/>
        </w:rPr>
        <w:t xml:space="preserve"> la ejecució</w:t>
      </w:r>
      <w:r w:rsidR="00C74AB8" w:rsidRPr="00C73BCF">
        <w:rPr>
          <w:rFonts w:ascii="Verdana" w:hAnsi="Verdana"/>
          <w:sz w:val="20"/>
        </w:rPr>
        <w:t xml:space="preserve">n de la Sentencia emitida en el año 2014 </w:t>
      </w:r>
      <w:r w:rsidRPr="00C73BCF">
        <w:rPr>
          <w:rFonts w:ascii="Verdana" w:hAnsi="Verdana"/>
          <w:sz w:val="20"/>
        </w:rPr>
        <w:t>(</w:t>
      </w:r>
      <w:r w:rsidRPr="00C73BCF">
        <w:rPr>
          <w:rFonts w:ascii="Verdana" w:hAnsi="Verdana"/>
          <w:i/>
          <w:sz w:val="20"/>
        </w:rPr>
        <w:t>supra</w:t>
      </w:r>
      <w:r w:rsidRPr="00C73BCF">
        <w:rPr>
          <w:rFonts w:ascii="Verdana" w:hAnsi="Verdana"/>
          <w:sz w:val="20"/>
        </w:rPr>
        <w:t xml:space="preserve"> Visto </w:t>
      </w:r>
      <w:r w:rsidR="00C74AB8" w:rsidRPr="00C73BCF">
        <w:rPr>
          <w:rFonts w:ascii="Verdana" w:hAnsi="Verdana"/>
          <w:sz w:val="20"/>
        </w:rPr>
        <w:t>1</w:t>
      </w:r>
      <w:r w:rsidR="008A3408" w:rsidRPr="00C73BCF">
        <w:rPr>
          <w:rFonts w:ascii="Verdana" w:hAnsi="Verdana"/>
          <w:sz w:val="20"/>
        </w:rPr>
        <w:t>)</w:t>
      </w:r>
      <w:r w:rsidR="00EF06FD" w:rsidRPr="00C73BCF">
        <w:rPr>
          <w:rFonts w:ascii="Verdana" w:hAnsi="Verdana"/>
          <w:sz w:val="20"/>
        </w:rPr>
        <w:t>,</w:t>
      </w:r>
      <w:r w:rsidR="00A35A0C" w:rsidRPr="00C73BCF">
        <w:rPr>
          <w:rFonts w:ascii="Verdana" w:hAnsi="Verdana"/>
          <w:sz w:val="20"/>
        </w:rPr>
        <w:t xml:space="preserve"> </w:t>
      </w:r>
      <w:r w:rsidR="00A35A0C" w:rsidRPr="00C73BCF">
        <w:rPr>
          <w:rFonts w:ascii="Verdana" w:hAnsi="Verdana"/>
          <w:sz w:val="20"/>
          <w:szCs w:val="20"/>
        </w:rPr>
        <w:t xml:space="preserve">en la cual se ordenaron </w:t>
      </w:r>
      <w:r w:rsidR="00DF0AAF" w:rsidRPr="00C73BCF">
        <w:rPr>
          <w:rFonts w:ascii="Verdana" w:hAnsi="Verdana"/>
          <w:sz w:val="20"/>
          <w:szCs w:val="20"/>
        </w:rPr>
        <w:t>nueve</w:t>
      </w:r>
      <w:r w:rsidR="00A35A0C" w:rsidRPr="00C73BCF">
        <w:rPr>
          <w:rFonts w:ascii="Verdana" w:hAnsi="Verdana"/>
          <w:sz w:val="20"/>
          <w:szCs w:val="20"/>
        </w:rPr>
        <w:t xml:space="preserve"> reparaciones</w:t>
      </w:r>
      <w:r w:rsidR="00A35A0C" w:rsidRPr="00C73BCF">
        <w:rPr>
          <w:rStyle w:val="Refdenotaalpie"/>
          <w:rFonts w:ascii="Verdana" w:hAnsi="Verdana"/>
          <w:sz w:val="20"/>
          <w:szCs w:val="20"/>
        </w:rPr>
        <w:footnoteReference w:id="8"/>
      </w:r>
      <w:r w:rsidR="00CD0A94" w:rsidRPr="00C73BCF">
        <w:rPr>
          <w:rFonts w:ascii="Verdana" w:hAnsi="Verdana"/>
          <w:sz w:val="20"/>
        </w:rPr>
        <w:t xml:space="preserve">. </w:t>
      </w:r>
      <w:r w:rsidR="00EF06FD" w:rsidRPr="00C73BCF">
        <w:rPr>
          <w:rFonts w:ascii="Verdana" w:hAnsi="Verdana"/>
          <w:sz w:val="20"/>
        </w:rPr>
        <w:t xml:space="preserve">En el marco de esta supervisión, ha recibido consultas </w:t>
      </w:r>
      <w:r w:rsidR="00C14143" w:rsidRPr="00C73BCF">
        <w:rPr>
          <w:rFonts w:ascii="Verdana" w:hAnsi="Verdana"/>
          <w:sz w:val="20"/>
        </w:rPr>
        <w:t xml:space="preserve">tanto por el Estado como por </w:t>
      </w:r>
      <w:r w:rsidR="00EF06FD" w:rsidRPr="00C73BCF">
        <w:rPr>
          <w:rFonts w:ascii="Verdana" w:hAnsi="Verdana"/>
          <w:sz w:val="20"/>
        </w:rPr>
        <w:t xml:space="preserve">los representantes de las víctimas </w:t>
      </w:r>
      <w:r w:rsidR="00C14143" w:rsidRPr="00C73BCF">
        <w:rPr>
          <w:rFonts w:ascii="Verdana" w:hAnsi="Verdana"/>
          <w:sz w:val="20"/>
        </w:rPr>
        <w:t xml:space="preserve">y algunas víctimas </w:t>
      </w:r>
      <w:r w:rsidR="00EF06FD" w:rsidRPr="00C73BCF">
        <w:rPr>
          <w:rFonts w:ascii="Verdana" w:hAnsi="Verdana"/>
          <w:sz w:val="20"/>
        </w:rPr>
        <w:t xml:space="preserve">con respecto a los montos ordenados en la Sentencia por concepto de indemnización del </w:t>
      </w:r>
      <w:r w:rsidR="00EF06FD" w:rsidRPr="00C73BCF">
        <w:rPr>
          <w:rFonts w:ascii="Verdana" w:hAnsi="Verdana"/>
          <w:sz w:val="20"/>
          <w:szCs w:val="20"/>
        </w:rPr>
        <w:t>daño inmaterial de las once víctimas de desaparición forzada</w:t>
      </w:r>
      <w:r w:rsidR="00CD42D5" w:rsidRPr="00C73BCF">
        <w:rPr>
          <w:rFonts w:ascii="Verdana" w:hAnsi="Verdana"/>
          <w:sz w:val="20"/>
          <w:szCs w:val="20"/>
        </w:rPr>
        <w:t xml:space="preserve"> y de sus familiares</w:t>
      </w:r>
      <w:r w:rsidR="000554B1" w:rsidRPr="00C73BCF">
        <w:rPr>
          <w:rFonts w:ascii="Verdana" w:hAnsi="Verdana"/>
          <w:sz w:val="20"/>
          <w:szCs w:val="20"/>
        </w:rPr>
        <w:t xml:space="preserve">, así como sobre </w:t>
      </w:r>
      <w:r w:rsidR="00CD42D5" w:rsidRPr="00C73BCF">
        <w:rPr>
          <w:rFonts w:ascii="Verdana" w:hAnsi="Verdana"/>
          <w:sz w:val="20"/>
          <w:szCs w:val="20"/>
        </w:rPr>
        <w:t xml:space="preserve">el pago </w:t>
      </w:r>
      <w:r w:rsidR="000554B1" w:rsidRPr="00C73BCF">
        <w:rPr>
          <w:rFonts w:ascii="Verdana" w:hAnsi="Verdana"/>
          <w:sz w:val="20"/>
          <w:szCs w:val="20"/>
        </w:rPr>
        <w:t xml:space="preserve">de las indemnizaciones en el caso de </w:t>
      </w:r>
      <w:r w:rsidR="00CD42D5" w:rsidRPr="00C73BCF">
        <w:rPr>
          <w:rFonts w:ascii="Verdana" w:hAnsi="Verdana"/>
          <w:sz w:val="20"/>
          <w:szCs w:val="20"/>
        </w:rPr>
        <w:t xml:space="preserve">víctimas y </w:t>
      </w:r>
      <w:r w:rsidR="000554B1" w:rsidRPr="00C73BCF">
        <w:rPr>
          <w:rFonts w:ascii="Verdana" w:hAnsi="Verdana"/>
          <w:sz w:val="20"/>
          <w:szCs w:val="20"/>
        </w:rPr>
        <w:t xml:space="preserve">beneficiarios fallecidos. </w:t>
      </w:r>
    </w:p>
    <w:p w:rsidR="00CD0A94" w:rsidRPr="00C73BCF" w:rsidRDefault="00CD0A94" w:rsidP="00CD0A94">
      <w:pPr>
        <w:pStyle w:val="Listamedia2-nfasis4"/>
        <w:spacing w:after="0" w:line="240" w:lineRule="auto"/>
        <w:ind w:left="0"/>
        <w:contextualSpacing w:val="0"/>
        <w:jc w:val="both"/>
        <w:rPr>
          <w:rFonts w:ascii="Verdana" w:hAnsi="Verdana"/>
          <w:sz w:val="20"/>
          <w:szCs w:val="20"/>
        </w:rPr>
      </w:pPr>
    </w:p>
    <w:p w:rsidR="00253240" w:rsidRPr="00C73BCF" w:rsidRDefault="0028181B" w:rsidP="00497668">
      <w:pPr>
        <w:pStyle w:val="Listamedia2-nfasis4"/>
        <w:numPr>
          <w:ilvl w:val="0"/>
          <w:numId w:val="3"/>
        </w:numPr>
        <w:spacing w:after="0" w:line="240" w:lineRule="auto"/>
        <w:ind w:left="0" w:firstLine="0"/>
        <w:contextualSpacing w:val="0"/>
        <w:jc w:val="both"/>
        <w:rPr>
          <w:rFonts w:ascii="Verdana" w:hAnsi="Verdana"/>
          <w:b/>
          <w:sz w:val="20"/>
        </w:rPr>
      </w:pPr>
      <w:r w:rsidRPr="00C73BCF">
        <w:rPr>
          <w:rFonts w:ascii="Verdana" w:hAnsi="Verdana"/>
          <w:sz w:val="20"/>
          <w:szCs w:val="20"/>
        </w:rPr>
        <w:t>De conformidad con lo establecido en el artículo 68.1 de la Convención Americana, “[l]os Estados Partes en la Convención se comprometen a cumplir la decisión de la Corte en todo caso en que sean partes”. Esta obligación incluye el deber del Estado de informar a la Corte sobre las medidas adoptadas para cumplir cada uno de los puntos ordenados</w:t>
      </w:r>
      <w:r w:rsidR="009715FA" w:rsidRPr="00C73BCF">
        <w:rPr>
          <w:rFonts w:ascii="Verdana" w:hAnsi="Verdana"/>
          <w:sz w:val="20"/>
          <w:szCs w:val="20"/>
        </w:rPr>
        <w:t xml:space="preserve"> por ésta</w:t>
      </w:r>
      <w:r w:rsidRPr="00C73BCF">
        <w:rPr>
          <w:rFonts w:ascii="Verdana" w:hAnsi="Verdana"/>
          <w:sz w:val="20"/>
          <w:szCs w:val="20"/>
        </w:rPr>
        <w:t>, lo cual es fundamental para evaluar el estado de cumplimiento de la Sentencia en su conjunto</w:t>
      </w:r>
      <w:r w:rsidR="009715FA" w:rsidRPr="00C73BCF">
        <w:rPr>
          <w:rStyle w:val="Refdenotaalpie"/>
          <w:rFonts w:ascii="Verdana" w:hAnsi="Verdana"/>
          <w:sz w:val="20"/>
          <w:szCs w:val="20"/>
        </w:rPr>
        <w:footnoteReference w:id="9"/>
      </w:r>
      <w:r w:rsidR="00F64ED9" w:rsidRPr="00C73BCF">
        <w:rPr>
          <w:rFonts w:ascii="Verdana" w:hAnsi="Verdana"/>
          <w:sz w:val="20"/>
          <w:szCs w:val="20"/>
        </w:rPr>
        <w:t>.</w:t>
      </w:r>
      <w:r w:rsidR="006A08FC" w:rsidRPr="00C73BCF">
        <w:rPr>
          <w:rFonts w:ascii="Times New Roman" w:hAnsi="Times New Roman"/>
          <w:sz w:val="24"/>
          <w:szCs w:val="24"/>
        </w:rPr>
        <w:t xml:space="preserve"> </w:t>
      </w:r>
      <w:r w:rsidR="00FB3834" w:rsidRPr="00C73BCF">
        <w:rPr>
          <w:rFonts w:ascii="Verdana" w:hAnsi="Verdana"/>
          <w:sz w:val="20"/>
          <w:szCs w:val="20"/>
        </w:rPr>
        <w:t>Los Estados Parte en la Convención deben garantizar el cumplimiento de las disposiciones convencionales y sus efectos propios (</w:t>
      </w:r>
      <w:r w:rsidR="00FB3834" w:rsidRPr="00C73BCF">
        <w:rPr>
          <w:rFonts w:ascii="Verdana" w:hAnsi="Verdana"/>
          <w:i/>
          <w:sz w:val="20"/>
          <w:szCs w:val="20"/>
        </w:rPr>
        <w:t>effet utile</w:t>
      </w:r>
      <w:r w:rsidR="00FB3834" w:rsidRPr="00C73BCF">
        <w:rPr>
          <w:rFonts w:ascii="Verdana" w:hAnsi="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FB3834" w:rsidRPr="00C73BCF">
        <w:rPr>
          <w:rStyle w:val="Refdenotaalpie"/>
          <w:rFonts w:ascii="Verdana" w:hAnsi="Verdana"/>
          <w:sz w:val="20"/>
          <w:szCs w:val="20"/>
        </w:rPr>
        <w:footnoteReference w:id="10"/>
      </w:r>
      <w:r w:rsidR="00FB3834" w:rsidRPr="00C73BCF">
        <w:rPr>
          <w:rFonts w:ascii="Verdana" w:hAnsi="Verdana"/>
          <w:sz w:val="20"/>
          <w:szCs w:val="20"/>
        </w:rPr>
        <w:t>.</w:t>
      </w:r>
    </w:p>
    <w:p w:rsidR="008A3408" w:rsidRPr="00C73BCF" w:rsidRDefault="008A3408" w:rsidP="00F07333">
      <w:pPr>
        <w:pStyle w:val="Listamedia2-nfasis4"/>
        <w:spacing w:after="0" w:line="240" w:lineRule="auto"/>
        <w:ind w:left="0"/>
        <w:jc w:val="both"/>
        <w:rPr>
          <w:rFonts w:ascii="Verdana" w:hAnsi="Verdana"/>
          <w:sz w:val="20"/>
          <w:szCs w:val="20"/>
        </w:rPr>
      </w:pPr>
    </w:p>
    <w:p w:rsidR="00294880" w:rsidRPr="00C73BCF" w:rsidRDefault="00C14143" w:rsidP="00497668">
      <w:pPr>
        <w:pStyle w:val="Listamedia2-nfasis4"/>
        <w:numPr>
          <w:ilvl w:val="0"/>
          <w:numId w:val="3"/>
        </w:numPr>
        <w:spacing w:after="0" w:line="240" w:lineRule="auto"/>
        <w:ind w:left="0" w:firstLine="0"/>
        <w:jc w:val="both"/>
        <w:rPr>
          <w:rFonts w:ascii="Verdana" w:hAnsi="Verdana"/>
          <w:sz w:val="20"/>
          <w:szCs w:val="20"/>
        </w:rPr>
      </w:pPr>
      <w:r w:rsidRPr="00C73BCF">
        <w:rPr>
          <w:rFonts w:ascii="Verdana" w:hAnsi="Verdana"/>
          <w:sz w:val="20"/>
          <w:szCs w:val="20"/>
        </w:rPr>
        <w:t xml:space="preserve">Debido a las controversias que las partes tienen con respecto a </w:t>
      </w:r>
      <w:r w:rsidR="002C37DC" w:rsidRPr="00C73BCF">
        <w:rPr>
          <w:rFonts w:ascii="Verdana" w:hAnsi="Verdana"/>
          <w:sz w:val="20"/>
          <w:szCs w:val="20"/>
        </w:rPr>
        <w:t>determinados aspectos sobre</w:t>
      </w:r>
      <w:r w:rsidRPr="00C73BCF">
        <w:rPr>
          <w:rFonts w:ascii="Verdana" w:hAnsi="Verdana"/>
          <w:sz w:val="20"/>
          <w:szCs w:val="20"/>
        </w:rPr>
        <w:t xml:space="preserve"> la forma como el Estado debe dar cumplimiento al pago de las indemnizaciones (</w:t>
      </w:r>
      <w:r w:rsidRPr="00C73BCF">
        <w:rPr>
          <w:rFonts w:ascii="Verdana" w:hAnsi="Verdana"/>
          <w:i/>
          <w:sz w:val="20"/>
          <w:szCs w:val="20"/>
        </w:rPr>
        <w:t>supra</w:t>
      </w:r>
      <w:r w:rsidRPr="00C73BCF">
        <w:rPr>
          <w:rFonts w:ascii="Verdana" w:hAnsi="Verdana"/>
          <w:sz w:val="20"/>
          <w:szCs w:val="20"/>
        </w:rPr>
        <w:t xml:space="preserve"> Considerando 1), </w:t>
      </w:r>
      <w:r w:rsidR="00B73671" w:rsidRPr="00C73BCF">
        <w:rPr>
          <w:rFonts w:ascii="Verdana" w:hAnsi="Verdana"/>
          <w:sz w:val="20"/>
          <w:szCs w:val="20"/>
        </w:rPr>
        <w:t xml:space="preserve">el Tribunal estima conveniente orientar el cumplimiento al respecto, de manera previa a pronunciarse en una siguiente Resolución sobre el grado de cumplimiento por el Estado de las reparaciones. En concreto, la Corte </w:t>
      </w:r>
      <w:r w:rsidR="00340A3A" w:rsidRPr="00C73BCF">
        <w:rPr>
          <w:rFonts w:ascii="Verdana" w:hAnsi="Verdana"/>
          <w:sz w:val="20"/>
          <w:szCs w:val="20"/>
        </w:rPr>
        <w:t>se referirá a los siguientes puntos</w:t>
      </w:r>
      <w:r w:rsidR="00B73671" w:rsidRPr="00C73BCF">
        <w:rPr>
          <w:rFonts w:ascii="Verdana" w:hAnsi="Verdana"/>
          <w:sz w:val="20"/>
          <w:szCs w:val="20"/>
        </w:rPr>
        <w:t xml:space="preserve">: </w:t>
      </w:r>
      <w:r w:rsidR="004B2447" w:rsidRPr="00C73BCF">
        <w:rPr>
          <w:rFonts w:ascii="Verdana" w:hAnsi="Verdana"/>
          <w:sz w:val="20"/>
          <w:szCs w:val="20"/>
        </w:rPr>
        <w:t xml:space="preserve">a) </w:t>
      </w:r>
      <w:r w:rsidR="003624CA" w:rsidRPr="00C73BCF">
        <w:rPr>
          <w:rFonts w:ascii="Verdana" w:hAnsi="Verdana"/>
          <w:sz w:val="20"/>
          <w:szCs w:val="20"/>
        </w:rPr>
        <w:t>los montos por daño inmaterial ordenados en el párrafo 603 de la Sentencia a favor de las once víctimas de desaparición forzada y sus familiares</w:t>
      </w:r>
      <w:r w:rsidR="00584011" w:rsidRPr="00C73BCF">
        <w:rPr>
          <w:rFonts w:ascii="Verdana" w:hAnsi="Verdana"/>
          <w:sz w:val="20"/>
          <w:szCs w:val="20"/>
        </w:rPr>
        <w:t xml:space="preserve">, y b) </w:t>
      </w:r>
      <w:r w:rsidR="003624CA" w:rsidRPr="00C73BCF">
        <w:rPr>
          <w:rFonts w:ascii="Verdana" w:hAnsi="Verdana"/>
          <w:sz w:val="20"/>
          <w:szCs w:val="20"/>
        </w:rPr>
        <w:t>la distribución de las indemnizaciones de las víctimas de desaparición forzada, víctimas de violación del derecho a la vida y de los beneficiarios que fallecieron previo a recibir el pago.</w:t>
      </w:r>
    </w:p>
    <w:p w:rsidR="008A3408" w:rsidRPr="00C73BCF" w:rsidRDefault="008A3408" w:rsidP="00F07333">
      <w:pPr>
        <w:pStyle w:val="Listamedia2-nfasis4"/>
        <w:spacing w:after="0" w:line="240" w:lineRule="auto"/>
        <w:ind w:left="0"/>
        <w:contextualSpacing w:val="0"/>
        <w:jc w:val="both"/>
        <w:rPr>
          <w:rFonts w:ascii="Verdana" w:hAnsi="Verdana"/>
          <w:sz w:val="20"/>
          <w:szCs w:val="20"/>
        </w:rPr>
      </w:pPr>
    </w:p>
    <w:p w:rsidR="00D80EAD" w:rsidRPr="00C73BCF" w:rsidRDefault="002528F7" w:rsidP="00497668">
      <w:pPr>
        <w:pStyle w:val="Listamedia2-nfasis4"/>
        <w:numPr>
          <w:ilvl w:val="0"/>
          <w:numId w:val="1"/>
        </w:numPr>
        <w:spacing w:after="0" w:line="240" w:lineRule="auto"/>
        <w:contextualSpacing w:val="0"/>
        <w:jc w:val="both"/>
        <w:outlineLvl w:val="0"/>
        <w:rPr>
          <w:rFonts w:ascii="Verdana" w:hAnsi="Verdana"/>
          <w:b/>
          <w:i/>
          <w:sz w:val="20"/>
        </w:rPr>
      </w:pPr>
      <w:r w:rsidRPr="00C73BCF">
        <w:rPr>
          <w:rFonts w:ascii="Verdana" w:hAnsi="Verdana"/>
          <w:b/>
          <w:bCs/>
          <w:i/>
          <w:iCs/>
          <w:sz w:val="20"/>
        </w:rPr>
        <w:t>M</w:t>
      </w:r>
      <w:r w:rsidR="00D80EAD" w:rsidRPr="00C73BCF">
        <w:rPr>
          <w:rFonts w:ascii="Verdana" w:hAnsi="Verdana"/>
          <w:b/>
          <w:bCs/>
          <w:i/>
          <w:iCs/>
          <w:sz w:val="20"/>
        </w:rPr>
        <w:t xml:space="preserve">ontos por daño inmaterial ordenados en el párrafo 603 de </w:t>
      </w:r>
      <w:r w:rsidRPr="00C73BCF">
        <w:rPr>
          <w:rFonts w:ascii="Verdana" w:hAnsi="Verdana"/>
          <w:b/>
          <w:bCs/>
          <w:i/>
          <w:iCs/>
          <w:sz w:val="20"/>
        </w:rPr>
        <w:t>la Sentencia a favor de las 11</w:t>
      </w:r>
      <w:r w:rsidR="00D80EAD" w:rsidRPr="00C73BCF">
        <w:rPr>
          <w:rFonts w:ascii="Verdana" w:hAnsi="Verdana"/>
          <w:b/>
          <w:bCs/>
          <w:i/>
          <w:iCs/>
          <w:sz w:val="20"/>
        </w:rPr>
        <w:t xml:space="preserve"> víctimas de desaparición forzada y </w:t>
      </w:r>
      <w:r w:rsidR="00A7182C" w:rsidRPr="00C73BCF">
        <w:rPr>
          <w:rFonts w:ascii="Verdana" w:hAnsi="Verdana"/>
          <w:b/>
          <w:bCs/>
          <w:i/>
          <w:iCs/>
          <w:sz w:val="20"/>
        </w:rPr>
        <w:t xml:space="preserve">de </w:t>
      </w:r>
      <w:r w:rsidR="00D80EAD" w:rsidRPr="00C73BCF">
        <w:rPr>
          <w:rFonts w:ascii="Verdana" w:hAnsi="Verdana"/>
          <w:b/>
          <w:bCs/>
          <w:i/>
          <w:iCs/>
          <w:sz w:val="20"/>
        </w:rPr>
        <w:t>sus familiares</w:t>
      </w:r>
    </w:p>
    <w:p w:rsidR="00D80EAD" w:rsidRPr="00C73BCF" w:rsidRDefault="00D80EAD" w:rsidP="00D80EAD">
      <w:pPr>
        <w:pStyle w:val="Listamedia2-nfasis4"/>
        <w:spacing w:after="0" w:line="240" w:lineRule="auto"/>
        <w:contextualSpacing w:val="0"/>
        <w:jc w:val="both"/>
        <w:rPr>
          <w:rFonts w:ascii="Verdana" w:hAnsi="Verdana"/>
          <w:i/>
          <w:sz w:val="20"/>
        </w:rPr>
      </w:pPr>
    </w:p>
    <w:p w:rsidR="00D80EAD" w:rsidRPr="00C73BCF" w:rsidRDefault="004C152E" w:rsidP="00D80EAD">
      <w:pPr>
        <w:pStyle w:val="Listamedia2-nfasis4"/>
        <w:spacing w:after="0" w:line="240" w:lineRule="auto"/>
        <w:contextualSpacing w:val="0"/>
        <w:jc w:val="both"/>
        <w:rPr>
          <w:rFonts w:ascii="Verdana" w:hAnsi="Verdana"/>
          <w:i/>
          <w:sz w:val="20"/>
        </w:rPr>
      </w:pPr>
      <w:r w:rsidRPr="00C73BCF">
        <w:rPr>
          <w:rFonts w:ascii="Verdana" w:hAnsi="Verdana"/>
          <w:i/>
          <w:sz w:val="20"/>
        </w:rPr>
        <w:t>A</w:t>
      </w:r>
      <w:r w:rsidR="00D80EAD" w:rsidRPr="00C73BCF">
        <w:rPr>
          <w:rFonts w:ascii="Verdana" w:hAnsi="Verdana"/>
          <w:i/>
          <w:sz w:val="20"/>
        </w:rPr>
        <w:t xml:space="preserve">.1. Medida ordenada por la Corte </w:t>
      </w:r>
    </w:p>
    <w:p w:rsidR="00D80EAD" w:rsidRPr="00C73BCF" w:rsidRDefault="00D80EAD" w:rsidP="00D80EAD">
      <w:pPr>
        <w:pStyle w:val="Listamedia2-nfasis4"/>
        <w:spacing w:after="0" w:line="240" w:lineRule="auto"/>
        <w:ind w:left="0"/>
        <w:contextualSpacing w:val="0"/>
        <w:jc w:val="both"/>
        <w:rPr>
          <w:rFonts w:ascii="Verdana" w:hAnsi="Verdana"/>
          <w:sz w:val="20"/>
        </w:rPr>
      </w:pPr>
    </w:p>
    <w:p w:rsidR="00D80EAD" w:rsidRPr="00C73BCF" w:rsidRDefault="005B7C31" w:rsidP="005B7C31">
      <w:pPr>
        <w:pStyle w:val="Default"/>
        <w:jc w:val="both"/>
        <w:rPr>
          <w:sz w:val="20"/>
          <w:szCs w:val="20"/>
          <w:lang w:val="es-CR"/>
        </w:rPr>
      </w:pPr>
      <w:r w:rsidRPr="00C73BCF">
        <w:rPr>
          <w:sz w:val="20"/>
          <w:szCs w:val="20"/>
          <w:lang w:val="es-CR"/>
        </w:rPr>
        <w:t>4.</w:t>
      </w:r>
      <w:r w:rsidRPr="00C73BCF">
        <w:rPr>
          <w:sz w:val="20"/>
          <w:szCs w:val="20"/>
          <w:lang w:val="es-CR"/>
        </w:rPr>
        <w:tab/>
      </w:r>
      <w:r w:rsidR="00D80EAD" w:rsidRPr="00C73BCF">
        <w:rPr>
          <w:sz w:val="20"/>
          <w:szCs w:val="20"/>
          <w:lang w:val="es-CR"/>
        </w:rPr>
        <w:t>En el punto dispositivo vigésimo sexto y en el párrafo 603 de la Sentencia la Corte se pronunció sobre las indemnizaciones por concepto del daño inmaterial de las víctimas de desaparición forzada y las de sus familiares, en los siguientes términos:</w:t>
      </w:r>
    </w:p>
    <w:p w:rsidR="00D80EAD" w:rsidRPr="00C73BCF" w:rsidRDefault="00D80EAD" w:rsidP="00D80EAD">
      <w:pPr>
        <w:pStyle w:val="Default"/>
        <w:jc w:val="both"/>
        <w:rPr>
          <w:sz w:val="20"/>
          <w:szCs w:val="20"/>
          <w:lang w:val="es-CR"/>
        </w:rPr>
      </w:pPr>
    </w:p>
    <w:p w:rsidR="008A10F1" w:rsidRPr="00C73BCF" w:rsidRDefault="00D80EAD" w:rsidP="004A5209">
      <w:pPr>
        <w:pStyle w:val="Default"/>
        <w:tabs>
          <w:tab w:val="left" w:pos="8640"/>
        </w:tabs>
        <w:ind w:left="720" w:right="720"/>
        <w:jc w:val="both"/>
        <w:rPr>
          <w:sz w:val="16"/>
          <w:szCs w:val="20"/>
          <w:lang w:val="es-CR"/>
        </w:rPr>
      </w:pPr>
      <w:r w:rsidRPr="00C73BCF">
        <w:rPr>
          <w:sz w:val="16"/>
          <w:szCs w:val="20"/>
          <w:lang w:val="es-CR"/>
        </w:rPr>
        <w:t>603. E</w:t>
      </w:r>
      <w:r w:rsidRPr="00C73BCF">
        <w:rPr>
          <w:sz w:val="16"/>
          <w:lang w:val="es-CR"/>
        </w:rPr>
        <w:t>n atención a las indemnizaciones ordenadas por la Corte Interamericana en otros casos sobre desaparición forzada de personas, así como las circunstancias del presente caso, la entidad, carácter y gravedad de las violaciones cometidas, los sufrimientos ocasionados a las víctimas y sus familiares, el tiempo transcurrido desde el momento de los hechos y la impunidad en que se encuentran, la Corte estima pertinente fijar, en equidad, la cantidad de US$ 100.000,00 (cien mil dólares de los Estados Unidos de América) a favor de las once víctimas de desaparición forzada, incluyendo a Carlos Horacio Urán Rojas; US$ 80.000,00 (ochenta mil dólares de los Estados Unidos de América) a favor de madres, padres, hijas e hijos, cónyuges, compañeros y compañeras permanentes de las referidas víctimas de desaparición forzada y Carlos Horacio Urán Rojas, y US$ 40.000,00 (cuarenta mil dólares de los Estados Unidos de América) a favor de los hermanos y hermanas de dichas víctimas, ya que se han comprobado las afectaciones a la integridad personal de éstos, sufridas como consecuencia de los hechos del presente caso, así como de sus esfuerzos para la búsqueda del paradero de sus seres queridos y de justicia.</w:t>
      </w:r>
    </w:p>
    <w:p w:rsidR="00D80EAD" w:rsidRPr="00C73BCF" w:rsidRDefault="00D80EAD" w:rsidP="00D80EAD">
      <w:pPr>
        <w:pStyle w:val="Listamedia2-nfasis4"/>
        <w:spacing w:after="0" w:line="240" w:lineRule="auto"/>
        <w:ind w:left="0"/>
        <w:jc w:val="both"/>
        <w:rPr>
          <w:rFonts w:ascii="Verdana" w:hAnsi="Verdana"/>
          <w:sz w:val="20"/>
        </w:rPr>
      </w:pPr>
    </w:p>
    <w:p w:rsidR="00D80EAD" w:rsidRPr="00C73BCF" w:rsidRDefault="004C152E" w:rsidP="00D80EAD">
      <w:pPr>
        <w:pStyle w:val="Listamedia2-nfasis4"/>
        <w:spacing w:after="0" w:line="240" w:lineRule="auto"/>
        <w:contextualSpacing w:val="0"/>
        <w:jc w:val="both"/>
        <w:rPr>
          <w:rFonts w:ascii="Verdana" w:hAnsi="Verdana"/>
          <w:i/>
          <w:sz w:val="20"/>
        </w:rPr>
      </w:pPr>
      <w:r w:rsidRPr="00C73BCF">
        <w:rPr>
          <w:rFonts w:ascii="Verdana" w:hAnsi="Verdana"/>
          <w:i/>
          <w:sz w:val="20"/>
        </w:rPr>
        <w:t>A</w:t>
      </w:r>
      <w:r w:rsidR="00D80EAD" w:rsidRPr="00C73BCF">
        <w:rPr>
          <w:rFonts w:ascii="Verdana" w:hAnsi="Verdana"/>
          <w:i/>
          <w:sz w:val="20"/>
        </w:rPr>
        <w:t xml:space="preserve">.2. Planteamientos de las partes </w:t>
      </w:r>
    </w:p>
    <w:p w:rsidR="00D80EAD" w:rsidRPr="00C73BCF" w:rsidRDefault="00D80EAD" w:rsidP="00D80EAD">
      <w:pPr>
        <w:pStyle w:val="Listamedia2-nfasis4"/>
        <w:spacing w:after="0" w:line="240" w:lineRule="auto"/>
        <w:ind w:left="0"/>
        <w:contextualSpacing w:val="0"/>
        <w:jc w:val="both"/>
        <w:rPr>
          <w:rFonts w:ascii="Verdana" w:hAnsi="Verdana"/>
          <w:sz w:val="20"/>
        </w:rPr>
      </w:pPr>
    </w:p>
    <w:p w:rsidR="00D80EAD" w:rsidRPr="00C73BCF" w:rsidRDefault="00D80EAD" w:rsidP="00497668">
      <w:pPr>
        <w:pStyle w:val="Listamedia2-nfasis4"/>
        <w:numPr>
          <w:ilvl w:val="0"/>
          <w:numId w:val="4"/>
        </w:numPr>
        <w:spacing w:after="0" w:line="240" w:lineRule="auto"/>
        <w:ind w:left="0" w:firstLine="0"/>
        <w:contextualSpacing w:val="0"/>
        <w:jc w:val="both"/>
        <w:rPr>
          <w:rFonts w:ascii="Verdana" w:hAnsi="Verdana"/>
          <w:sz w:val="20"/>
        </w:rPr>
      </w:pPr>
      <w:r w:rsidRPr="00C73BCF">
        <w:rPr>
          <w:rFonts w:ascii="Verdana" w:hAnsi="Verdana"/>
          <w:sz w:val="20"/>
        </w:rPr>
        <w:lastRenderedPageBreak/>
        <w:t xml:space="preserve">Mediante escrito de 7 de diciembre de 2016, el </w:t>
      </w:r>
      <w:r w:rsidRPr="00C73BCF">
        <w:rPr>
          <w:rFonts w:ascii="Verdana" w:hAnsi="Verdana"/>
          <w:i/>
          <w:sz w:val="20"/>
        </w:rPr>
        <w:t>Estado</w:t>
      </w:r>
      <w:r w:rsidRPr="00C73BCF">
        <w:rPr>
          <w:rFonts w:ascii="Verdana" w:hAnsi="Verdana"/>
          <w:sz w:val="20"/>
        </w:rPr>
        <w:t xml:space="preserve"> planteó varias consultas a la Corte “con el objetivo de dar claridad a lo preceptuado en el párrafo 603 de la [S]entencia”. Las cuatro preguntas realizadas por Colombia se referían a si los montos de US$</w:t>
      </w:r>
      <w:r w:rsidR="00820E4E" w:rsidRPr="00C73BCF">
        <w:rPr>
          <w:rFonts w:ascii="Verdana" w:hAnsi="Verdana"/>
          <w:sz w:val="20"/>
        </w:rPr>
        <w:t xml:space="preserve"> </w:t>
      </w:r>
      <w:r w:rsidRPr="00C73BCF">
        <w:rPr>
          <w:rFonts w:ascii="Verdana" w:hAnsi="Verdana"/>
          <w:sz w:val="20"/>
        </w:rPr>
        <w:t>100,000</w:t>
      </w:r>
      <w:r w:rsidR="00602E54" w:rsidRPr="00C73BCF">
        <w:rPr>
          <w:rFonts w:ascii="Verdana" w:hAnsi="Verdana"/>
          <w:sz w:val="20"/>
        </w:rPr>
        <w:t xml:space="preserve"> (cien mil dólares de los Estados Unidos de América)</w:t>
      </w:r>
      <w:r w:rsidRPr="00C73BCF">
        <w:rPr>
          <w:rFonts w:ascii="Verdana" w:hAnsi="Verdana"/>
          <w:sz w:val="20"/>
        </w:rPr>
        <w:t>, US$</w:t>
      </w:r>
      <w:r w:rsidR="00820E4E" w:rsidRPr="00C73BCF">
        <w:rPr>
          <w:rFonts w:ascii="Verdana" w:hAnsi="Verdana"/>
          <w:sz w:val="20"/>
        </w:rPr>
        <w:t xml:space="preserve"> </w:t>
      </w:r>
      <w:r w:rsidRPr="00C73BCF">
        <w:rPr>
          <w:rFonts w:ascii="Verdana" w:hAnsi="Verdana"/>
          <w:sz w:val="20"/>
        </w:rPr>
        <w:t xml:space="preserve">80,000 </w:t>
      </w:r>
      <w:r w:rsidR="00602E54" w:rsidRPr="00C73BCF">
        <w:rPr>
          <w:rFonts w:ascii="Verdana" w:hAnsi="Verdana"/>
          <w:sz w:val="20"/>
        </w:rPr>
        <w:t xml:space="preserve">(ochenta mil dólares de los Estados Unidos de América) </w:t>
      </w:r>
      <w:r w:rsidRPr="00C73BCF">
        <w:rPr>
          <w:rFonts w:ascii="Verdana" w:hAnsi="Verdana"/>
          <w:sz w:val="20"/>
        </w:rPr>
        <w:t>y US$</w:t>
      </w:r>
      <w:r w:rsidR="00820E4E" w:rsidRPr="00C73BCF">
        <w:rPr>
          <w:rFonts w:ascii="Verdana" w:hAnsi="Verdana"/>
          <w:sz w:val="20"/>
        </w:rPr>
        <w:t xml:space="preserve"> </w:t>
      </w:r>
      <w:r w:rsidRPr="00C73BCF">
        <w:rPr>
          <w:rFonts w:ascii="Verdana" w:hAnsi="Verdana"/>
          <w:sz w:val="20"/>
        </w:rPr>
        <w:t>40,000</w:t>
      </w:r>
      <w:r w:rsidR="00602E54" w:rsidRPr="00C73BCF">
        <w:rPr>
          <w:rFonts w:ascii="Verdana" w:hAnsi="Verdana"/>
          <w:sz w:val="20"/>
        </w:rPr>
        <w:t xml:space="preserve"> (cuarenta mil dólares de los Estados Unidos de América)</w:t>
      </w:r>
      <w:r w:rsidRPr="00C73BCF">
        <w:rPr>
          <w:rFonts w:ascii="Verdana" w:hAnsi="Verdana"/>
          <w:sz w:val="20"/>
        </w:rPr>
        <w:t xml:space="preserve">, dispuestos en dicho párrafo, debían entenderse como montos totales que tenían que dividirse en partes iguales a favor de las víctimas de </w:t>
      </w:r>
      <w:r w:rsidR="008A10F1" w:rsidRPr="00C73BCF">
        <w:rPr>
          <w:rFonts w:ascii="Verdana" w:hAnsi="Verdana"/>
          <w:sz w:val="20"/>
        </w:rPr>
        <w:t>desaparición</w:t>
      </w:r>
      <w:r w:rsidRPr="00C73BCF">
        <w:rPr>
          <w:rFonts w:ascii="Verdana" w:hAnsi="Verdana"/>
          <w:sz w:val="20"/>
        </w:rPr>
        <w:t xml:space="preserve"> forzada</w:t>
      </w:r>
      <w:r w:rsidR="008A10F1" w:rsidRPr="00C73BCF">
        <w:rPr>
          <w:rFonts w:ascii="Verdana" w:hAnsi="Verdana"/>
          <w:sz w:val="20"/>
        </w:rPr>
        <w:t>, así como</w:t>
      </w:r>
      <w:r w:rsidRPr="00C73BCF">
        <w:rPr>
          <w:rFonts w:ascii="Verdana" w:hAnsi="Verdana"/>
          <w:sz w:val="20"/>
        </w:rPr>
        <w:t xml:space="preserve"> dividirse a favor </w:t>
      </w:r>
      <w:r w:rsidR="008A10F1" w:rsidRPr="00C73BCF">
        <w:rPr>
          <w:rFonts w:ascii="Verdana" w:hAnsi="Verdana"/>
          <w:sz w:val="20"/>
        </w:rPr>
        <w:t xml:space="preserve">de </w:t>
      </w:r>
      <w:r w:rsidRPr="00C73BCF">
        <w:rPr>
          <w:rFonts w:ascii="Verdana" w:hAnsi="Verdana"/>
          <w:sz w:val="20"/>
        </w:rPr>
        <w:t>todas las personas que integran las referidas categorías de familiares</w:t>
      </w:r>
      <w:r w:rsidR="00346D31" w:rsidRPr="00C73BCF">
        <w:rPr>
          <w:rFonts w:ascii="Verdana" w:hAnsi="Verdana"/>
          <w:sz w:val="20"/>
        </w:rPr>
        <w:t>,</w:t>
      </w:r>
      <w:r w:rsidRPr="00C73BCF">
        <w:rPr>
          <w:rFonts w:ascii="Verdana" w:hAnsi="Verdana"/>
          <w:sz w:val="20"/>
        </w:rPr>
        <w:t xml:space="preserve"> o si </w:t>
      </w:r>
      <w:r w:rsidR="00F102DF" w:rsidRPr="00C73BCF">
        <w:rPr>
          <w:rFonts w:ascii="Verdana" w:hAnsi="Verdana"/>
          <w:sz w:val="20"/>
        </w:rPr>
        <w:t xml:space="preserve">se </w:t>
      </w:r>
      <w:r w:rsidRPr="00C73BCF">
        <w:rPr>
          <w:rFonts w:ascii="Verdana" w:hAnsi="Verdana"/>
          <w:sz w:val="20"/>
        </w:rPr>
        <w:t xml:space="preserve">trata de montos que debían ser pagados respecto de cada una de las víctimas de desaparición forzada y a cada una de las personas que integran las referidas categorías de familiares. </w:t>
      </w:r>
    </w:p>
    <w:p w:rsidR="00D80EAD" w:rsidRPr="00C73BCF" w:rsidRDefault="00D80EAD" w:rsidP="00D80EAD">
      <w:pPr>
        <w:pStyle w:val="Listamedia2-nfasis4"/>
        <w:spacing w:after="0" w:line="240" w:lineRule="auto"/>
        <w:ind w:left="0"/>
        <w:contextualSpacing w:val="0"/>
        <w:jc w:val="both"/>
        <w:rPr>
          <w:rFonts w:ascii="Verdana" w:hAnsi="Verdana"/>
          <w:sz w:val="20"/>
        </w:rPr>
      </w:pPr>
    </w:p>
    <w:p w:rsidR="00D80EAD" w:rsidRPr="00C73BCF" w:rsidRDefault="00D80EAD" w:rsidP="00497668">
      <w:pPr>
        <w:pStyle w:val="Listamedia2-nfasis4"/>
        <w:numPr>
          <w:ilvl w:val="0"/>
          <w:numId w:val="4"/>
        </w:numPr>
        <w:spacing w:after="0" w:line="240" w:lineRule="auto"/>
        <w:ind w:left="0" w:firstLine="0"/>
        <w:contextualSpacing w:val="0"/>
        <w:jc w:val="both"/>
        <w:rPr>
          <w:rFonts w:ascii="Verdana" w:hAnsi="Verdana"/>
          <w:sz w:val="20"/>
          <w:szCs w:val="20"/>
        </w:rPr>
      </w:pPr>
      <w:r w:rsidRPr="00C73BCF">
        <w:rPr>
          <w:rFonts w:ascii="Verdana" w:hAnsi="Verdana"/>
          <w:sz w:val="20"/>
        </w:rPr>
        <w:t xml:space="preserve">Posteriormente, en su escrito de 12 de enero de 2017, el </w:t>
      </w:r>
      <w:r w:rsidRPr="00C73BCF">
        <w:rPr>
          <w:rFonts w:ascii="Verdana" w:hAnsi="Verdana"/>
          <w:i/>
          <w:sz w:val="20"/>
        </w:rPr>
        <w:t>Estado</w:t>
      </w:r>
      <w:r w:rsidRPr="00C73BCF">
        <w:rPr>
          <w:rFonts w:ascii="Verdana" w:hAnsi="Verdana"/>
          <w:sz w:val="20"/>
        </w:rPr>
        <w:t xml:space="preserve"> </w:t>
      </w:r>
      <w:r w:rsidR="001058C0" w:rsidRPr="00C73BCF">
        <w:rPr>
          <w:rFonts w:ascii="Verdana" w:hAnsi="Verdana"/>
          <w:sz w:val="20"/>
        </w:rPr>
        <w:t xml:space="preserve">indicó que </w:t>
      </w:r>
      <w:r w:rsidR="00734E41" w:rsidRPr="00C73BCF">
        <w:rPr>
          <w:rFonts w:ascii="Verdana" w:hAnsi="Verdana"/>
          <w:sz w:val="20"/>
        </w:rPr>
        <w:t xml:space="preserve">procedió a “poner en conocimiento </w:t>
      </w:r>
      <w:r w:rsidR="00346D31" w:rsidRPr="00C73BCF">
        <w:rPr>
          <w:rFonts w:ascii="Verdana" w:hAnsi="Verdana"/>
          <w:sz w:val="20"/>
        </w:rPr>
        <w:t xml:space="preserve">[…] </w:t>
      </w:r>
      <w:r w:rsidR="00734E41" w:rsidRPr="00C73BCF">
        <w:rPr>
          <w:rFonts w:ascii="Verdana" w:hAnsi="Verdana"/>
          <w:sz w:val="20"/>
        </w:rPr>
        <w:t xml:space="preserve">los argumentos esgrimidos por el Ministerio de Defensa Nacional y las acciones llevadas a cabo por dicha cartera ministerial, como entidad encargada de ejecutar los pagos por concepto de las indemnizaciones”. </w:t>
      </w:r>
      <w:r w:rsidR="00346D31" w:rsidRPr="00C73BCF">
        <w:rPr>
          <w:rFonts w:ascii="Verdana" w:hAnsi="Verdana"/>
          <w:sz w:val="20"/>
        </w:rPr>
        <w:t>Al respecto</w:t>
      </w:r>
      <w:r w:rsidR="00E73280" w:rsidRPr="00C73BCF">
        <w:rPr>
          <w:rFonts w:ascii="Verdana" w:hAnsi="Verdana"/>
          <w:sz w:val="20"/>
        </w:rPr>
        <w:t xml:space="preserve">, </w:t>
      </w:r>
      <w:r w:rsidRPr="00C73BCF">
        <w:rPr>
          <w:rFonts w:ascii="Verdana" w:hAnsi="Verdana"/>
          <w:sz w:val="20"/>
        </w:rPr>
        <w:t>el</w:t>
      </w:r>
      <w:r w:rsidR="00346D31" w:rsidRPr="00C73BCF">
        <w:rPr>
          <w:rFonts w:ascii="Verdana" w:hAnsi="Verdana"/>
          <w:sz w:val="20"/>
        </w:rPr>
        <w:t xml:space="preserve"> referido</w:t>
      </w:r>
      <w:r w:rsidRPr="00C73BCF">
        <w:rPr>
          <w:rFonts w:ascii="Verdana" w:hAnsi="Verdana"/>
          <w:sz w:val="20"/>
        </w:rPr>
        <w:t xml:space="preserve"> Ministerio </w:t>
      </w:r>
      <w:r w:rsidR="00346D31" w:rsidRPr="00C73BCF">
        <w:rPr>
          <w:rFonts w:ascii="Verdana" w:hAnsi="Verdana"/>
          <w:sz w:val="20"/>
        </w:rPr>
        <w:t>dictó</w:t>
      </w:r>
      <w:r w:rsidRPr="00C73BCF">
        <w:rPr>
          <w:rFonts w:ascii="Verdana" w:hAnsi="Verdana"/>
          <w:sz w:val="20"/>
        </w:rPr>
        <w:t xml:space="preserve"> “actos administrativos de pago” y sostuvo que </w:t>
      </w:r>
      <w:r w:rsidR="008A10F1" w:rsidRPr="00C73BCF">
        <w:rPr>
          <w:rFonts w:ascii="Verdana" w:hAnsi="Verdana"/>
          <w:sz w:val="20"/>
        </w:rPr>
        <w:t xml:space="preserve">los mismos </w:t>
      </w:r>
      <w:r w:rsidRPr="00C73BCF">
        <w:rPr>
          <w:rFonts w:ascii="Verdana" w:hAnsi="Verdana"/>
          <w:sz w:val="20"/>
        </w:rPr>
        <w:t xml:space="preserve">“se encuentran ajustados a lo dispuesto en párrafo 603 de la [S]entencia”. El </w:t>
      </w:r>
      <w:r w:rsidRPr="00C73BCF">
        <w:rPr>
          <w:rFonts w:ascii="Verdana" w:hAnsi="Verdana"/>
          <w:i/>
          <w:sz w:val="20"/>
        </w:rPr>
        <w:t>Estado</w:t>
      </w:r>
      <w:r w:rsidRPr="00C73BCF">
        <w:rPr>
          <w:rFonts w:ascii="Verdana" w:hAnsi="Verdana"/>
          <w:sz w:val="20"/>
        </w:rPr>
        <w:t xml:space="preserve"> explicó que </w:t>
      </w:r>
      <w:r w:rsidR="00346D31" w:rsidRPr="00C73BCF">
        <w:rPr>
          <w:rFonts w:ascii="Verdana" w:hAnsi="Verdana"/>
          <w:sz w:val="20"/>
        </w:rPr>
        <w:t>la</w:t>
      </w:r>
      <w:r w:rsidRPr="00C73BCF">
        <w:rPr>
          <w:rFonts w:ascii="Verdana" w:hAnsi="Verdana"/>
          <w:sz w:val="20"/>
        </w:rPr>
        <w:t xml:space="preserve"> comprensión de</w:t>
      </w:r>
      <w:r w:rsidR="00346D31" w:rsidRPr="00C73BCF">
        <w:rPr>
          <w:rFonts w:ascii="Verdana" w:hAnsi="Verdana"/>
          <w:sz w:val="20"/>
        </w:rPr>
        <w:t>l Ministerio de Defensa de</w:t>
      </w:r>
      <w:r w:rsidRPr="00C73BCF">
        <w:rPr>
          <w:rFonts w:ascii="Verdana" w:hAnsi="Verdana"/>
          <w:sz w:val="20"/>
        </w:rPr>
        <w:t xml:space="preserve"> lo dispuesto en dicho párrafo consiste en que se “fijó […] la cantidad de US$ 100.000,00 </w:t>
      </w:r>
      <w:r w:rsidRPr="00C73BCF">
        <w:rPr>
          <w:rFonts w:ascii="Verdana" w:hAnsi="Verdana"/>
          <w:sz w:val="20"/>
          <w:szCs w:val="20"/>
        </w:rPr>
        <w:t xml:space="preserve">[cien mil dólares de los Estados Unidos de América] a favor de las once […] víctimas de desaparición forzada […] sin que en ningún momento indicara expresamente que corresponde [dicha] suma […] a cada una de ellas, de suerte tal que al aplicar taxativamente el párrafo aludido, corresponde realizar la distribución de la [referida] suma </w:t>
      </w:r>
      <w:r w:rsidR="00820E4E" w:rsidRPr="00C73BCF">
        <w:rPr>
          <w:rFonts w:ascii="Verdana" w:hAnsi="Verdana"/>
          <w:sz w:val="20"/>
          <w:szCs w:val="20"/>
        </w:rPr>
        <w:t xml:space="preserve">[…] </w:t>
      </w:r>
      <w:r w:rsidRPr="00C73BCF">
        <w:rPr>
          <w:rFonts w:ascii="Verdana" w:hAnsi="Verdana"/>
          <w:sz w:val="20"/>
          <w:szCs w:val="20"/>
        </w:rPr>
        <w:t>en[</w:t>
      </w:r>
      <w:proofErr w:type="spellStart"/>
      <w:r w:rsidRPr="00C73BCF">
        <w:rPr>
          <w:rFonts w:ascii="Verdana" w:hAnsi="Verdana"/>
          <w:sz w:val="20"/>
          <w:szCs w:val="20"/>
        </w:rPr>
        <w:t>tre</w:t>
      </w:r>
      <w:proofErr w:type="spellEnd"/>
      <w:r w:rsidRPr="00C73BCF">
        <w:rPr>
          <w:rFonts w:ascii="Verdana" w:hAnsi="Verdana"/>
          <w:sz w:val="20"/>
          <w:szCs w:val="20"/>
        </w:rPr>
        <w:t>] las [once] víctimas de desaparición forzada”. Asimismo, indicó que el referido Ministerio “realizó el mismo ejercicio” respec</w:t>
      </w:r>
      <w:r w:rsidR="008A10F1" w:rsidRPr="00C73BCF">
        <w:rPr>
          <w:rFonts w:ascii="Verdana" w:hAnsi="Verdana"/>
          <w:sz w:val="20"/>
          <w:szCs w:val="20"/>
        </w:rPr>
        <w:t>to de la suma de US$ 80.000,00 (</w:t>
      </w:r>
      <w:r w:rsidRPr="00C73BCF">
        <w:rPr>
          <w:rFonts w:ascii="Verdana" w:hAnsi="Verdana"/>
          <w:sz w:val="20"/>
          <w:szCs w:val="20"/>
        </w:rPr>
        <w:t>ochenta mil dólares de los Estados Unidos de América</w:t>
      </w:r>
      <w:r w:rsidR="008A10F1" w:rsidRPr="00C73BCF">
        <w:rPr>
          <w:rFonts w:ascii="Verdana" w:hAnsi="Verdana"/>
          <w:sz w:val="20"/>
          <w:szCs w:val="20"/>
        </w:rPr>
        <w:t>)</w:t>
      </w:r>
      <w:r w:rsidRPr="00C73BCF">
        <w:rPr>
          <w:rFonts w:ascii="Verdana" w:hAnsi="Verdana"/>
          <w:sz w:val="20"/>
          <w:szCs w:val="20"/>
        </w:rPr>
        <w:t xml:space="preserve"> que “distribuyó […] entre todos y cada un</w:t>
      </w:r>
      <w:r w:rsidR="00A832F2" w:rsidRPr="00C73BCF">
        <w:rPr>
          <w:rFonts w:ascii="Verdana" w:hAnsi="Verdana"/>
          <w:sz w:val="20"/>
          <w:szCs w:val="20"/>
        </w:rPr>
        <w:t>[a]</w:t>
      </w:r>
      <w:r w:rsidRPr="00C73BCF">
        <w:rPr>
          <w:rFonts w:ascii="Verdana" w:hAnsi="Verdana"/>
          <w:sz w:val="20"/>
          <w:szCs w:val="20"/>
        </w:rPr>
        <w:t xml:space="preserve"> de [las] madres, padres, hijas e hijos, cónyuges, compañeros y compañeras permanentes de las referidas víctimas” y respecto de la suma de US$ 40.000,00 </w:t>
      </w:r>
      <w:r w:rsidR="008A10F1" w:rsidRPr="00C73BCF">
        <w:rPr>
          <w:rFonts w:ascii="Verdana" w:hAnsi="Verdana"/>
          <w:sz w:val="20"/>
          <w:szCs w:val="20"/>
        </w:rPr>
        <w:t>(</w:t>
      </w:r>
      <w:r w:rsidRPr="00C73BCF">
        <w:rPr>
          <w:rFonts w:ascii="Verdana" w:hAnsi="Verdana"/>
          <w:sz w:val="20"/>
          <w:szCs w:val="20"/>
        </w:rPr>
        <w:t>cuarenta mil dólares de los Estados Unidos de América</w:t>
      </w:r>
      <w:r w:rsidR="008A10F1" w:rsidRPr="00C73BCF">
        <w:rPr>
          <w:rFonts w:ascii="Verdana" w:hAnsi="Verdana"/>
          <w:sz w:val="20"/>
          <w:szCs w:val="20"/>
        </w:rPr>
        <w:t>)</w:t>
      </w:r>
      <w:r w:rsidRPr="00C73BCF">
        <w:rPr>
          <w:rFonts w:ascii="Verdana" w:hAnsi="Verdana"/>
          <w:sz w:val="20"/>
          <w:szCs w:val="20"/>
        </w:rPr>
        <w:t xml:space="preserve"> la cual “se cancel[ó] a favor de los hermanos y hermanas de dichas víctimas”. El </w:t>
      </w:r>
      <w:r w:rsidRPr="00C73BCF">
        <w:rPr>
          <w:rFonts w:ascii="Verdana" w:hAnsi="Verdana"/>
          <w:i/>
          <w:sz w:val="20"/>
          <w:szCs w:val="20"/>
        </w:rPr>
        <w:t>Estado</w:t>
      </w:r>
      <w:r w:rsidRPr="00C73BCF">
        <w:rPr>
          <w:rFonts w:ascii="Verdana" w:hAnsi="Verdana"/>
          <w:sz w:val="20"/>
          <w:szCs w:val="20"/>
        </w:rPr>
        <w:t xml:space="preserve"> señaló que “cuando la [</w:t>
      </w:r>
      <w:r w:rsidR="00A832F2" w:rsidRPr="00C73BCF">
        <w:rPr>
          <w:rFonts w:ascii="Verdana" w:hAnsi="Verdana"/>
          <w:sz w:val="20"/>
          <w:szCs w:val="20"/>
        </w:rPr>
        <w:t xml:space="preserve">…] </w:t>
      </w:r>
      <w:r w:rsidRPr="00C73BCF">
        <w:rPr>
          <w:rFonts w:ascii="Verdana" w:hAnsi="Verdana"/>
          <w:sz w:val="20"/>
          <w:szCs w:val="20"/>
        </w:rPr>
        <w:t>Corte consideró que las sumas de dinero que reconoce se harían en forma individual, así lo dejó expreso, empleando varias fórmulas” para ello en los párrafos 596, 599, 604 y 605</w:t>
      </w:r>
      <w:r w:rsidRPr="00C73BCF">
        <w:rPr>
          <w:rFonts w:ascii="Verdana" w:hAnsi="Verdana"/>
          <w:sz w:val="16"/>
          <w:szCs w:val="16"/>
        </w:rPr>
        <w:t xml:space="preserve"> </w:t>
      </w:r>
      <w:r w:rsidRPr="00C73BCF">
        <w:rPr>
          <w:rFonts w:ascii="Verdana" w:hAnsi="Verdana"/>
          <w:sz w:val="20"/>
          <w:szCs w:val="20"/>
        </w:rPr>
        <w:t>de la Sentencia</w:t>
      </w:r>
      <w:r w:rsidR="00820E4E" w:rsidRPr="00C73BCF">
        <w:rPr>
          <w:rFonts w:ascii="Verdana" w:hAnsi="Verdana"/>
          <w:sz w:val="20"/>
          <w:szCs w:val="20"/>
        </w:rPr>
        <w:t>,</w:t>
      </w:r>
      <w:r w:rsidRPr="00C73BCF">
        <w:rPr>
          <w:rFonts w:ascii="Verdana" w:hAnsi="Verdana"/>
          <w:sz w:val="20"/>
          <w:szCs w:val="20"/>
        </w:rPr>
        <w:t xml:space="preserve"> al ordenar indemnizaciones para otras víctimas. </w:t>
      </w:r>
      <w:r w:rsidRPr="00C73BCF">
        <w:rPr>
          <w:rFonts w:ascii="Verdana" w:hAnsi="Verdana"/>
          <w:i/>
          <w:sz w:val="20"/>
          <w:szCs w:val="20"/>
        </w:rPr>
        <w:t>Colombia</w:t>
      </w:r>
      <w:r w:rsidRPr="00C73BCF">
        <w:rPr>
          <w:rFonts w:ascii="Verdana" w:hAnsi="Verdana"/>
          <w:sz w:val="20"/>
          <w:szCs w:val="20"/>
        </w:rPr>
        <w:t xml:space="preserve"> también</w:t>
      </w:r>
      <w:r w:rsidR="00B22F05" w:rsidRPr="00C73BCF">
        <w:rPr>
          <w:rFonts w:ascii="Verdana" w:hAnsi="Verdana"/>
          <w:sz w:val="20"/>
          <w:szCs w:val="20"/>
        </w:rPr>
        <w:t xml:space="preserve"> </w:t>
      </w:r>
      <w:r w:rsidR="00892797" w:rsidRPr="00C73BCF">
        <w:rPr>
          <w:rFonts w:ascii="Verdana" w:hAnsi="Verdana"/>
          <w:sz w:val="20"/>
        </w:rPr>
        <w:t>alegó</w:t>
      </w:r>
      <w:r w:rsidR="00B22F05" w:rsidRPr="00C73BCF">
        <w:rPr>
          <w:rFonts w:ascii="Verdana" w:hAnsi="Verdana"/>
          <w:sz w:val="20"/>
        </w:rPr>
        <w:t xml:space="preserve"> que </w:t>
      </w:r>
      <w:r w:rsidR="00892797" w:rsidRPr="00C73BCF">
        <w:rPr>
          <w:rFonts w:ascii="Verdana" w:hAnsi="Verdana"/>
          <w:sz w:val="20"/>
        </w:rPr>
        <w:t xml:space="preserve">en </w:t>
      </w:r>
      <w:r w:rsidR="00B22F05" w:rsidRPr="00C73BCF">
        <w:rPr>
          <w:rFonts w:ascii="Verdana" w:hAnsi="Verdana"/>
          <w:sz w:val="20"/>
        </w:rPr>
        <w:t>la jurisprudencia de la Corte “no es uniforme el monto ordenado a reconocer a favor de las víctimas de desaparición forzada”</w:t>
      </w:r>
      <w:r w:rsidR="00892797" w:rsidRPr="00C73BCF">
        <w:rPr>
          <w:rFonts w:ascii="Verdana" w:hAnsi="Verdana"/>
          <w:sz w:val="20"/>
        </w:rPr>
        <w:t xml:space="preserve"> y citó</w:t>
      </w:r>
      <w:r w:rsidR="00B22F05" w:rsidRPr="00C73BCF">
        <w:rPr>
          <w:rFonts w:ascii="Verdana" w:hAnsi="Verdana"/>
          <w:sz w:val="20"/>
        </w:rPr>
        <w:t xml:space="preserve"> tres casos en los cuales se ordenaron indemnizaciones por concepto del daño inmaterial sufrido por las víctimas de desaparición forzada por montos de US$ 66</w:t>
      </w:r>
      <w:r w:rsidR="00892797" w:rsidRPr="00C73BCF">
        <w:rPr>
          <w:rFonts w:ascii="Verdana" w:hAnsi="Verdana"/>
          <w:sz w:val="20"/>
        </w:rPr>
        <w:t xml:space="preserve">,000 </w:t>
      </w:r>
      <w:r w:rsidR="008E37AC" w:rsidRPr="00C73BCF">
        <w:rPr>
          <w:rFonts w:ascii="Verdana" w:hAnsi="Verdana"/>
          <w:sz w:val="20"/>
        </w:rPr>
        <w:t xml:space="preserve">(sesenta y seis mil dólares de los Estados Unidos de América) </w:t>
      </w:r>
      <w:r w:rsidR="00892797" w:rsidRPr="00C73BCF">
        <w:rPr>
          <w:rFonts w:ascii="Verdana" w:hAnsi="Verdana"/>
          <w:sz w:val="20"/>
        </w:rPr>
        <w:t xml:space="preserve">y </w:t>
      </w:r>
      <w:r w:rsidR="00B22F05" w:rsidRPr="00C73BCF">
        <w:rPr>
          <w:rFonts w:ascii="Verdana" w:hAnsi="Verdana"/>
          <w:sz w:val="20"/>
        </w:rPr>
        <w:t>US$</w:t>
      </w:r>
      <w:r w:rsidR="00820E4E" w:rsidRPr="00C73BCF">
        <w:rPr>
          <w:rFonts w:ascii="Verdana" w:hAnsi="Verdana"/>
          <w:sz w:val="20"/>
        </w:rPr>
        <w:t xml:space="preserve"> </w:t>
      </w:r>
      <w:r w:rsidR="00B22F05" w:rsidRPr="00C73BCF">
        <w:rPr>
          <w:rFonts w:ascii="Verdana" w:hAnsi="Verdana"/>
          <w:sz w:val="20"/>
        </w:rPr>
        <w:t>80,000</w:t>
      </w:r>
      <w:r w:rsidR="008E37AC" w:rsidRPr="00C73BCF">
        <w:rPr>
          <w:rFonts w:ascii="Verdana" w:hAnsi="Verdana"/>
          <w:sz w:val="20"/>
        </w:rPr>
        <w:t xml:space="preserve"> (ochenta mil dólares de los Estados Unidos de América)</w:t>
      </w:r>
      <w:r w:rsidR="00B22F05" w:rsidRPr="00C73BCF">
        <w:rPr>
          <w:rFonts w:ascii="Verdana" w:hAnsi="Verdana"/>
          <w:sz w:val="20"/>
        </w:rPr>
        <w:t xml:space="preserve">. </w:t>
      </w:r>
      <w:r w:rsidR="000240AA" w:rsidRPr="00C73BCF">
        <w:rPr>
          <w:rFonts w:ascii="Verdana" w:hAnsi="Verdana"/>
          <w:sz w:val="20"/>
          <w:szCs w:val="20"/>
        </w:rPr>
        <w:t xml:space="preserve">Asimismo, sostuvo que </w:t>
      </w:r>
      <w:r w:rsidR="000240AA" w:rsidRPr="00C73BCF">
        <w:rPr>
          <w:rFonts w:ascii="Verdana" w:hAnsi="Verdana"/>
          <w:color w:val="000000"/>
          <w:sz w:val="20"/>
          <w:szCs w:val="20"/>
        </w:rPr>
        <w:t>como a nivel interno se otorgaron indemnizaciones por “daño moral” a familiares de las víctimas de desaparición forzada, ello supuestamente justificó que la Corte no ordenara en la Sentencia pagos por concepto de daño inmaterial para cada una de dichas víctimas y cada uno de sus familiares.</w:t>
      </w:r>
    </w:p>
    <w:p w:rsidR="00D80EAD" w:rsidRPr="00C73BCF" w:rsidRDefault="00D80EAD" w:rsidP="00D80EAD">
      <w:pPr>
        <w:pStyle w:val="Listamedia2-nfasis4"/>
        <w:spacing w:after="0" w:line="240" w:lineRule="auto"/>
        <w:ind w:left="0"/>
        <w:contextualSpacing w:val="0"/>
        <w:jc w:val="both"/>
        <w:rPr>
          <w:rFonts w:ascii="Verdana" w:hAnsi="Verdana"/>
          <w:sz w:val="20"/>
        </w:rPr>
      </w:pPr>
    </w:p>
    <w:p w:rsidR="00D80EAD" w:rsidRPr="00C73BCF" w:rsidRDefault="00D80EAD" w:rsidP="00497668">
      <w:pPr>
        <w:pStyle w:val="Listamedia2-nfasis4"/>
        <w:numPr>
          <w:ilvl w:val="0"/>
          <w:numId w:val="4"/>
        </w:numPr>
        <w:spacing w:after="0" w:line="240" w:lineRule="auto"/>
        <w:ind w:left="0" w:firstLine="0"/>
        <w:contextualSpacing w:val="0"/>
        <w:jc w:val="both"/>
        <w:rPr>
          <w:rFonts w:ascii="Verdana" w:hAnsi="Verdana"/>
          <w:sz w:val="20"/>
        </w:rPr>
      </w:pPr>
      <w:r w:rsidRPr="00C73BCF">
        <w:rPr>
          <w:rFonts w:ascii="Verdana" w:hAnsi="Verdana"/>
          <w:sz w:val="20"/>
        </w:rPr>
        <w:t xml:space="preserve">Los </w:t>
      </w:r>
      <w:r w:rsidRPr="00C73BCF">
        <w:rPr>
          <w:rFonts w:ascii="Verdana" w:hAnsi="Verdana"/>
          <w:i/>
          <w:sz w:val="20"/>
        </w:rPr>
        <w:t xml:space="preserve">representantes </w:t>
      </w:r>
      <w:r w:rsidRPr="00C73BCF">
        <w:rPr>
          <w:rFonts w:ascii="Verdana" w:hAnsi="Verdana"/>
          <w:sz w:val="20"/>
        </w:rPr>
        <w:t>indicaron</w:t>
      </w:r>
      <w:r w:rsidR="00346D31" w:rsidRPr="00C73BCF">
        <w:rPr>
          <w:rFonts w:ascii="Verdana" w:hAnsi="Verdana"/>
          <w:sz w:val="20"/>
        </w:rPr>
        <w:t>,</w:t>
      </w:r>
      <w:r w:rsidRPr="00C73BCF">
        <w:rPr>
          <w:rFonts w:ascii="Verdana" w:hAnsi="Verdana"/>
          <w:sz w:val="20"/>
        </w:rPr>
        <w:t xml:space="preserve"> en su escrito de 1 de diciembre de 2016</w:t>
      </w:r>
      <w:r w:rsidR="00346D31" w:rsidRPr="00C73BCF">
        <w:rPr>
          <w:rFonts w:ascii="Verdana" w:hAnsi="Verdana"/>
          <w:sz w:val="20"/>
        </w:rPr>
        <w:t>,</w:t>
      </w:r>
      <w:r w:rsidR="00B160DD" w:rsidRPr="00C73BCF">
        <w:rPr>
          <w:rFonts w:ascii="Verdana" w:hAnsi="Verdana"/>
          <w:sz w:val="20"/>
        </w:rPr>
        <w:t xml:space="preserve"> </w:t>
      </w:r>
      <w:r w:rsidR="001D4423" w:rsidRPr="00C73BCF">
        <w:rPr>
          <w:rFonts w:ascii="Verdana" w:hAnsi="Verdana"/>
          <w:sz w:val="20"/>
        </w:rPr>
        <w:t>“que las indemnizaciones ordenadas en el [referido párrafo] corresponden en monto a cada persona reconocida como víctima, y no de manera global y conjunta”.</w:t>
      </w:r>
      <w:r w:rsidR="00B160DD" w:rsidRPr="00C73BCF">
        <w:rPr>
          <w:rFonts w:ascii="Verdana" w:hAnsi="Verdana"/>
          <w:sz w:val="20"/>
        </w:rPr>
        <w:t xml:space="preserve"> Consideran que “el Ministerio [de Defensa] hace una interpretación preocupantemente descontextualizada y errónea del párrafo 603 de la Sentencia”</w:t>
      </w:r>
      <w:r w:rsidR="001D4423" w:rsidRPr="00C73BCF">
        <w:rPr>
          <w:rFonts w:ascii="Verdana" w:hAnsi="Verdana"/>
          <w:sz w:val="20"/>
        </w:rPr>
        <w:t xml:space="preserve"> </w:t>
      </w:r>
      <w:r w:rsidRPr="00C73BCF">
        <w:rPr>
          <w:rFonts w:ascii="Verdana" w:hAnsi="Verdana"/>
          <w:sz w:val="20"/>
        </w:rPr>
        <w:t xml:space="preserve">Los </w:t>
      </w:r>
      <w:r w:rsidRPr="00C73BCF">
        <w:rPr>
          <w:rFonts w:ascii="Verdana" w:hAnsi="Verdana"/>
          <w:i/>
          <w:sz w:val="20"/>
        </w:rPr>
        <w:t>representantes</w:t>
      </w:r>
      <w:r w:rsidRPr="00C73BCF">
        <w:rPr>
          <w:rFonts w:ascii="Verdana" w:hAnsi="Verdana"/>
          <w:sz w:val="20"/>
        </w:rPr>
        <w:t xml:space="preserve"> expresaron que ello lleva a que “las liquidaciones </w:t>
      </w:r>
      <w:r w:rsidR="00B160DD" w:rsidRPr="00C73BCF">
        <w:rPr>
          <w:rFonts w:ascii="Verdana" w:hAnsi="Verdana"/>
          <w:sz w:val="20"/>
        </w:rPr>
        <w:t xml:space="preserve">[realizadas por el Ministerio de Defensa] </w:t>
      </w:r>
      <w:r w:rsidRPr="00C73BCF">
        <w:rPr>
          <w:rFonts w:ascii="Verdana" w:hAnsi="Verdana"/>
          <w:sz w:val="20"/>
        </w:rPr>
        <w:t xml:space="preserve">lleguen a puntos de absurdo, no tengan fundamentación alguna, materialicen un nuevo escenario de re victimización y sea la </w:t>
      </w:r>
      <w:r w:rsidRPr="00C73BCF">
        <w:rPr>
          <w:rFonts w:ascii="Verdana" w:hAnsi="Verdana"/>
          <w:sz w:val="20"/>
        </w:rPr>
        <w:lastRenderedPageBreak/>
        <w:t>forma de presentar un aparente cumplimiento de esta medida de reparación”</w:t>
      </w:r>
      <w:r w:rsidRPr="00C73BCF">
        <w:rPr>
          <w:rStyle w:val="Refdenotaalpie"/>
          <w:rFonts w:ascii="Verdana" w:hAnsi="Verdana"/>
          <w:sz w:val="20"/>
        </w:rPr>
        <w:footnoteReference w:id="11"/>
      </w:r>
      <w:r w:rsidRPr="00C73BCF">
        <w:rPr>
          <w:rFonts w:ascii="Verdana" w:hAnsi="Verdana"/>
          <w:sz w:val="20"/>
        </w:rPr>
        <w:t>. En razón de ello,</w:t>
      </w:r>
      <w:r w:rsidR="00A832F2" w:rsidRPr="00C73BCF">
        <w:rPr>
          <w:rFonts w:ascii="Verdana" w:hAnsi="Verdana"/>
          <w:sz w:val="20"/>
        </w:rPr>
        <w:t xml:space="preserve"> en</w:t>
      </w:r>
      <w:r w:rsidR="00F82985" w:rsidRPr="00C73BCF">
        <w:rPr>
          <w:rFonts w:ascii="Verdana" w:hAnsi="Verdana"/>
          <w:sz w:val="20"/>
        </w:rPr>
        <w:t xml:space="preserve"> su escrito de 8</w:t>
      </w:r>
      <w:r w:rsidR="00A832F2" w:rsidRPr="00C73BCF">
        <w:rPr>
          <w:rFonts w:ascii="Verdana" w:hAnsi="Verdana"/>
          <w:sz w:val="20"/>
        </w:rPr>
        <w:t xml:space="preserve"> diciembre de 2016</w:t>
      </w:r>
      <w:r w:rsidRPr="00C73BCF">
        <w:rPr>
          <w:rFonts w:ascii="Verdana" w:hAnsi="Verdana"/>
          <w:sz w:val="20"/>
        </w:rPr>
        <w:t xml:space="preserve"> los </w:t>
      </w:r>
      <w:r w:rsidRPr="00C73BCF">
        <w:rPr>
          <w:rFonts w:ascii="Verdana" w:hAnsi="Verdana"/>
          <w:i/>
          <w:sz w:val="20"/>
        </w:rPr>
        <w:t>representantes</w:t>
      </w:r>
      <w:r w:rsidRPr="00C73BCF">
        <w:rPr>
          <w:rFonts w:ascii="Verdana" w:hAnsi="Verdana"/>
          <w:sz w:val="20"/>
        </w:rPr>
        <w:t xml:space="preserve"> solicitaron a la Corte pronunciarse “a efectos de que la ejecución de la [S]entencia […] se realice en los plazos y modalidad fijada por el Tribunal, en beneficio de las víctimas y sus </w:t>
      </w:r>
      <w:proofErr w:type="gramStart"/>
      <w:r w:rsidRPr="00C73BCF">
        <w:rPr>
          <w:rFonts w:ascii="Verdana" w:hAnsi="Verdana"/>
          <w:sz w:val="20"/>
        </w:rPr>
        <w:t>familiares[</w:t>
      </w:r>
      <w:proofErr w:type="gramEnd"/>
      <w:r w:rsidRPr="00C73BCF">
        <w:rPr>
          <w:rFonts w:ascii="Verdana" w:hAnsi="Verdana"/>
          <w:sz w:val="20"/>
        </w:rPr>
        <w:t xml:space="preserve">, de manera que] las indemnizaciones ordenadas en el párrafo 603 corresponden a cada persona reconocida como víctima[,] sin lugar a reparticiones y descuentos por cargas fiscales [ni] de manera global y conjunta”. </w:t>
      </w:r>
    </w:p>
    <w:p w:rsidR="00D80EAD" w:rsidRPr="00C73BCF" w:rsidRDefault="00D80EAD" w:rsidP="00D80EAD">
      <w:pPr>
        <w:pStyle w:val="Listamedia2-nfasis4"/>
        <w:spacing w:after="0" w:line="240" w:lineRule="auto"/>
        <w:ind w:left="0"/>
        <w:contextualSpacing w:val="0"/>
        <w:jc w:val="both"/>
        <w:rPr>
          <w:rFonts w:ascii="Verdana" w:hAnsi="Verdana"/>
          <w:sz w:val="20"/>
        </w:rPr>
      </w:pPr>
    </w:p>
    <w:p w:rsidR="00D80EAD" w:rsidRPr="00C73BCF" w:rsidRDefault="00D80EAD" w:rsidP="00D80EAD">
      <w:pPr>
        <w:pStyle w:val="Listamedia2-nfasis4"/>
        <w:numPr>
          <w:ilvl w:val="0"/>
          <w:numId w:val="4"/>
        </w:numPr>
        <w:spacing w:after="0" w:line="240" w:lineRule="auto"/>
        <w:ind w:left="0" w:firstLine="0"/>
        <w:contextualSpacing w:val="0"/>
        <w:jc w:val="both"/>
        <w:rPr>
          <w:rFonts w:ascii="Verdana" w:hAnsi="Verdana"/>
          <w:i/>
          <w:sz w:val="20"/>
        </w:rPr>
      </w:pPr>
      <w:r w:rsidRPr="00C73BCF">
        <w:rPr>
          <w:rFonts w:ascii="Verdana" w:hAnsi="Verdana"/>
          <w:sz w:val="20"/>
        </w:rPr>
        <w:t xml:space="preserve">La </w:t>
      </w:r>
      <w:r w:rsidRPr="00C73BCF">
        <w:rPr>
          <w:rFonts w:ascii="Verdana" w:hAnsi="Verdana"/>
          <w:i/>
          <w:sz w:val="20"/>
        </w:rPr>
        <w:t>Comisión Interamericana</w:t>
      </w:r>
      <w:r w:rsidRPr="00C73BCF">
        <w:rPr>
          <w:rFonts w:ascii="Verdana" w:hAnsi="Verdana"/>
          <w:sz w:val="20"/>
        </w:rPr>
        <w:t xml:space="preserve"> </w:t>
      </w:r>
      <w:r w:rsidR="001C71BB" w:rsidRPr="00C73BCF">
        <w:rPr>
          <w:rFonts w:ascii="Verdana" w:hAnsi="Verdana"/>
          <w:sz w:val="20"/>
        </w:rPr>
        <w:t>consideró</w:t>
      </w:r>
      <w:r w:rsidR="00592821" w:rsidRPr="00C73BCF">
        <w:rPr>
          <w:rFonts w:ascii="Verdana" w:hAnsi="Verdana"/>
          <w:sz w:val="20"/>
        </w:rPr>
        <w:t>, en sus observaciones de 7 de febrero de 2017,</w:t>
      </w:r>
      <w:r w:rsidR="001C71BB" w:rsidRPr="00C73BCF">
        <w:rPr>
          <w:rFonts w:ascii="Verdana" w:hAnsi="Verdana"/>
          <w:sz w:val="20"/>
        </w:rPr>
        <w:t xml:space="preserve"> que “la interpretación informada por el Estado a la Corte sobre el monto del daño inmaterial para cada beneficiari[o] no es compatible con el espíritu de la [S]entencia y, en particular, con los criterios establecidos en el propio párrafo 603 [del fallo]</w:t>
      </w:r>
      <w:r w:rsidR="00E07CB0" w:rsidRPr="00C73BCF">
        <w:rPr>
          <w:rFonts w:ascii="Verdana" w:hAnsi="Verdana"/>
          <w:sz w:val="20"/>
        </w:rPr>
        <w:t>, en cuanto a la gravedad y naturaleza del daño ocasionado por la desaparición forzada</w:t>
      </w:r>
      <w:r w:rsidR="001C71BB" w:rsidRPr="00C73BCF">
        <w:rPr>
          <w:rFonts w:ascii="Verdana" w:hAnsi="Verdana"/>
          <w:sz w:val="20"/>
        </w:rPr>
        <w:t>”.</w:t>
      </w:r>
      <w:r w:rsidR="00E07CB0" w:rsidRPr="00C73BCF">
        <w:rPr>
          <w:rFonts w:ascii="Verdana" w:hAnsi="Verdana"/>
          <w:sz w:val="20"/>
        </w:rPr>
        <w:t xml:space="preserve"> </w:t>
      </w:r>
      <w:r w:rsidR="00310C4C" w:rsidRPr="00C73BCF">
        <w:rPr>
          <w:rFonts w:ascii="Verdana" w:hAnsi="Verdana"/>
          <w:sz w:val="20"/>
        </w:rPr>
        <w:t>Comparó el monto de US</w:t>
      </w:r>
      <w:r w:rsidR="00665758" w:rsidRPr="00C73BCF">
        <w:rPr>
          <w:rFonts w:ascii="Verdana" w:hAnsi="Verdana"/>
          <w:sz w:val="20"/>
        </w:rPr>
        <w:t xml:space="preserve"> </w:t>
      </w:r>
      <w:r w:rsidR="00310C4C" w:rsidRPr="00C73BCF">
        <w:rPr>
          <w:rFonts w:ascii="Verdana" w:hAnsi="Verdana"/>
          <w:sz w:val="20"/>
        </w:rPr>
        <w:t>$8,000 que pretende entregar Colombia en este caso con los montos ordenados por la Corte en sentencias recientes de casos de desaparición forzada que ascienden a US</w:t>
      </w:r>
      <w:r w:rsidR="00665758" w:rsidRPr="00C73BCF">
        <w:rPr>
          <w:rFonts w:ascii="Verdana" w:hAnsi="Verdana"/>
          <w:sz w:val="20"/>
        </w:rPr>
        <w:t xml:space="preserve"> </w:t>
      </w:r>
      <w:r w:rsidR="00310C4C" w:rsidRPr="00C73BCF">
        <w:rPr>
          <w:rFonts w:ascii="Verdana" w:hAnsi="Verdana"/>
          <w:sz w:val="20"/>
        </w:rPr>
        <w:t>$80,000</w:t>
      </w:r>
      <w:r w:rsidR="00E07CB0" w:rsidRPr="00C73BCF">
        <w:rPr>
          <w:rFonts w:ascii="Verdana" w:hAnsi="Verdana"/>
          <w:sz w:val="20"/>
        </w:rPr>
        <w:t xml:space="preserve">. La </w:t>
      </w:r>
      <w:r w:rsidR="00E07CB0" w:rsidRPr="00C73BCF">
        <w:rPr>
          <w:rFonts w:ascii="Verdana" w:hAnsi="Verdana"/>
          <w:i/>
          <w:sz w:val="20"/>
        </w:rPr>
        <w:t xml:space="preserve">Comisión </w:t>
      </w:r>
      <w:r w:rsidR="00E07CB0" w:rsidRPr="00C73BCF">
        <w:rPr>
          <w:rFonts w:ascii="Verdana" w:hAnsi="Verdana"/>
          <w:sz w:val="20"/>
        </w:rPr>
        <w:t xml:space="preserve">resaltó que el monto señalado por el Estado </w:t>
      </w:r>
      <w:r w:rsidR="004F4C4F" w:rsidRPr="00C73BCF">
        <w:rPr>
          <w:rFonts w:ascii="Verdana" w:hAnsi="Verdana"/>
          <w:sz w:val="20"/>
        </w:rPr>
        <w:t>no es “mínimamente cercan[o] a la reparación ordenada por la Corte”</w:t>
      </w:r>
      <w:r w:rsidR="005D29DF" w:rsidRPr="00C73BCF">
        <w:rPr>
          <w:rFonts w:ascii="Verdana" w:hAnsi="Verdana"/>
          <w:sz w:val="20"/>
        </w:rPr>
        <w:t xml:space="preserve"> </w:t>
      </w:r>
      <w:r w:rsidR="004562C1" w:rsidRPr="00C73BCF">
        <w:rPr>
          <w:rFonts w:ascii="Verdana" w:hAnsi="Verdana"/>
          <w:sz w:val="20"/>
        </w:rPr>
        <w:t xml:space="preserve">y sostuvo </w:t>
      </w:r>
      <w:r w:rsidR="005D29DF" w:rsidRPr="00C73BCF">
        <w:rPr>
          <w:rFonts w:ascii="Verdana" w:hAnsi="Verdana"/>
          <w:sz w:val="20"/>
        </w:rPr>
        <w:t>que “resultaría conveniente” que la Corte emitiera una Resol</w:t>
      </w:r>
      <w:r w:rsidR="00027B3D" w:rsidRPr="00C73BCF">
        <w:rPr>
          <w:rFonts w:ascii="Verdana" w:hAnsi="Verdana"/>
          <w:sz w:val="20"/>
        </w:rPr>
        <w:t>ución para aclarar “el monto de las reparaciones ordenadas”.</w:t>
      </w:r>
      <w:r w:rsidR="001608C6" w:rsidRPr="00C73BCF">
        <w:rPr>
          <w:rFonts w:ascii="Verdana" w:hAnsi="Verdana"/>
          <w:sz w:val="20"/>
        </w:rPr>
        <w:t xml:space="preserve"> </w:t>
      </w:r>
    </w:p>
    <w:p w:rsidR="006F75CC" w:rsidRPr="00C73BCF" w:rsidRDefault="006F75CC" w:rsidP="001107F5">
      <w:pPr>
        <w:pStyle w:val="Listamedia2-nfasis4"/>
        <w:spacing w:after="0" w:line="240" w:lineRule="auto"/>
        <w:ind w:left="0"/>
        <w:contextualSpacing w:val="0"/>
        <w:jc w:val="both"/>
        <w:rPr>
          <w:rFonts w:ascii="Verdana" w:hAnsi="Verdana"/>
          <w:i/>
          <w:sz w:val="20"/>
        </w:rPr>
      </w:pPr>
    </w:p>
    <w:p w:rsidR="00D80EAD" w:rsidRPr="00C73BCF" w:rsidRDefault="004C152E" w:rsidP="00D80EAD">
      <w:pPr>
        <w:pStyle w:val="Listamedia2-nfasis4"/>
        <w:spacing w:after="0" w:line="240" w:lineRule="auto"/>
        <w:contextualSpacing w:val="0"/>
        <w:jc w:val="both"/>
        <w:rPr>
          <w:rFonts w:ascii="Verdana" w:hAnsi="Verdana"/>
          <w:i/>
          <w:sz w:val="20"/>
        </w:rPr>
      </w:pPr>
      <w:r w:rsidRPr="00C73BCF">
        <w:rPr>
          <w:rFonts w:ascii="Verdana" w:hAnsi="Verdana"/>
          <w:i/>
          <w:sz w:val="20"/>
        </w:rPr>
        <w:t>A</w:t>
      </w:r>
      <w:r w:rsidR="00D80EAD" w:rsidRPr="00C73BCF">
        <w:rPr>
          <w:rFonts w:ascii="Verdana" w:hAnsi="Verdana"/>
          <w:i/>
          <w:sz w:val="20"/>
        </w:rPr>
        <w:t>.3. Consideraciones de la Corte</w:t>
      </w:r>
    </w:p>
    <w:p w:rsidR="00D80EAD" w:rsidRPr="00C73BCF" w:rsidRDefault="00D80EAD" w:rsidP="00D80EAD">
      <w:pPr>
        <w:pStyle w:val="Listamedia2-nfasis4"/>
        <w:spacing w:after="0" w:line="240" w:lineRule="auto"/>
        <w:ind w:left="0"/>
        <w:contextualSpacing w:val="0"/>
        <w:jc w:val="both"/>
        <w:rPr>
          <w:rFonts w:ascii="Verdana" w:hAnsi="Verdana"/>
          <w:sz w:val="20"/>
          <w:szCs w:val="10"/>
        </w:rPr>
      </w:pPr>
    </w:p>
    <w:p w:rsidR="00F102DF" w:rsidRPr="00C73BCF" w:rsidRDefault="005B7C31" w:rsidP="00D80EAD">
      <w:pPr>
        <w:pStyle w:val="Listamedia2-nfasis4"/>
        <w:spacing w:after="0" w:line="240" w:lineRule="auto"/>
        <w:ind w:left="0"/>
        <w:jc w:val="both"/>
        <w:rPr>
          <w:rFonts w:ascii="Verdana" w:hAnsi="Verdana"/>
          <w:b/>
          <w:sz w:val="20"/>
          <w:szCs w:val="20"/>
        </w:rPr>
      </w:pPr>
      <w:r w:rsidRPr="00C73BCF">
        <w:rPr>
          <w:rFonts w:ascii="Verdana" w:hAnsi="Verdana"/>
          <w:sz w:val="20"/>
        </w:rPr>
        <w:t>9.</w:t>
      </w:r>
      <w:r w:rsidRPr="00C73BCF">
        <w:rPr>
          <w:rFonts w:ascii="Verdana" w:hAnsi="Verdana"/>
          <w:sz w:val="20"/>
        </w:rPr>
        <w:tab/>
      </w:r>
      <w:r w:rsidR="00D80EAD" w:rsidRPr="00C73BCF">
        <w:rPr>
          <w:rFonts w:ascii="Verdana" w:hAnsi="Verdana"/>
          <w:sz w:val="20"/>
        </w:rPr>
        <w:t xml:space="preserve">La Corte recuerda que las indemnizaciones dispuestas en el párrafo 603 de la Sentencia por concepto de daño inmaterial responden a que: i) </w:t>
      </w:r>
      <w:r w:rsidR="00D80EAD" w:rsidRPr="00C73BCF">
        <w:rPr>
          <w:rFonts w:ascii="Verdana" w:hAnsi="Verdana"/>
          <w:sz w:val="20"/>
          <w:szCs w:val="20"/>
        </w:rPr>
        <w:t xml:space="preserve">Colombia fue encontrado responsable por las desapariciones forzadas de </w:t>
      </w:r>
      <w:r w:rsidR="003110B7" w:rsidRPr="00C73BCF">
        <w:rPr>
          <w:rFonts w:ascii="Verdana" w:hAnsi="Verdana"/>
          <w:sz w:val="20"/>
          <w:szCs w:val="20"/>
        </w:rPr>
        <w:t>once</w:t>
      </w:r>
      <w:r w:rsidR="00D80EAD" w:rsidRPr="00C73BCF">
        <w:rPr>
          <w:rFonts w:ascii="Verdana" w:hAnsi="Verdana"/>
          <w:sz w:val="20"/>
          <w:szCs w:val="20"/>
        </w:rPr>
        <w:t xml:space="preserve"> personas </w:t>
      </w:r>
      <w:r w:rsidR="00986A33" w:rsidRPr="00C73BCF">
        <w:rPr>
          <w:rFonts w:ascii="Verdana" w:hAnsi="Verdana"/>
          <w:sz w:val="20"/>
          <w:szCs w:val="20"/>
        </w:rPr>
        <w:t>y la violación del deber de prevención del derecho a la vida</w:t>
      </w:r>
      <w:r w:rsidR="00B160DD" w:rsidRPr="00C73BCF">
        <w:rPr>
          <w:rFonts w:ascii="Verdana" w:hAnsi="Verdana"/>
          <w:sz w:val="20"/>
          <w:szCs w:val="20"/>
        </w:rPr>
        <w:t xml:space="preserve"> (</w:t>
      </w:r>
      <w:r w:rsidR="00B160DD" w:rsidRPr="00C73BCF">
        <w:rPr>
          <w:rFonts w:ascii="Verdana" w:hAnsi="Verdana"/>
          <w:i/>
          <w:sz w:val="20"/>
          <w:szCs w:val="20"/>
        </w:rPr>
        <w:t>supra</w:t>
      </w:r>
      <w:r w:rsidR="00B160DD" w:rsidRPr="00C73BCF">
        <w:rPr>
          <w:rFonts w:ascii="Verdana" w:hAnsi="Verdana"/>
          <w:sz w:val="20"/>
          <w:szCs w:val="20"/>
        </w:rPr>
        <w:t xml:space="preserve"> Visto 1)</w:t>
      </w:r>
      <w:r w:rsidR="00D80EAD" w:rsidRPr="00C73BCF">
        <w:rPr>
          <w:rFonts w:ascii="Verdana" w:hAnsi="Verdana"/>
          <w:sz w:val="20"/>
          <w:szCs w:val="20"/>
        </w:rPr>
        <w:t>. En la Sentencia se destacaron “las circunstancias del</w:t>
      </w:r>
      <w:r w:rsidR="00592821" w:rsidRPr="00C73BCF">
        <w:rPr>
          <w:rFonts w:ascii="Verdana" w:hAnsi="Verdana"/>
          <w:sz w:val="20"/>
          <w:szCs w:val="20"/>
        </w:rPr>
        <w:t xml:space="preserve"> […]</w:t>
      </w:r>
      <w:r w:rsidR="00D80EAD" w:rsidRPr="00C73BCF">
        <w:rPr>
          <w:rFonts w:ascii="Verdana" w:hAnsi="Verdana"/>
          <w:sz w:val="20"/>
          <w:szCs w:val="20"/>
        </w:rPr>
        <w:t xml:space="preserve"> caso, la entidad, carácter y gravedad de las v</w:t>
      </w:r>
      <w:r w:rsidR="008949B5" w:rsidRPr="00C73BCF">
        <w:rPr>
          <w:rFonts w:ascii="Verdana" w:hAnsi="Verdana"/>
          <w:sz w:val="20"/>
          <w:szCs w:val="20"/>
        </w:rPr>
        <w:t>iolacion</w:t>
      </w:r>
      <w:r w:rsidR="00D80EAD" w:rsidRPr="00C73BCF">
        <w:rPr>
          <w:rFonts w:ascii="Verdana" w:hAnsi="Verdana"/>
          <w:sz w:val="20"/>
          <w:szCs w:val="20"/>
        </w:rPr>
        <w:t>es cometidas, los sufrimientos ocasionados a las víctimas y sus familiares</w:t>
      </w:r>
      <w:r w:rsidR="00592821" w:rsidRPr="00C73BCF">
        <w:rPr>
          <w:rFonts w:ascii="Verdana" w:hAnsi="Verdana"/>
          <w:sz w:val="20"/>
          <w:szCs w:val="20"/>
        </w:rPr>
        <w:t>,</w:t>
      </w:r>
      <w:r w:rsidR="00D80EAD" w:rsidRPr="00C73BCF">
        <w:rPr>
          <w:rFonts w:ascii="Verdana" w:hAnsi="Verdana"/>
          <w:sz w:val="20"/>
          <w:szCs w:val="20"/>
        </w:rPr>
        <w:t xml:space="preserve"> el tiempo transcurrido desde el momento de los hechos y la impunidad en que se encuentran”; y ii) Colombia fue encontrado responsable por las “afectaciones a la integridad personal” de los familiares de las referidas </w:t>
      </w:r>
      <w:r w:rsidR="00AA74EF" w:rsidRPr="00C73BCF">
        <w:rPr>
          <w:rFonts w:ascii="Verdana" w:hAnsi="Verdana"/>
          <w:sz w:val="20"/>
          <w:szCs w:val="20"/>
        </w:rPr>
        <w:t>once</w:t>
      </w:r>
      <w:r w:rsidR="00D80EAD" w:rsidRPr="00C73BCF">
        <w:rPr>
          <w:rFonts w:ascii="Verdana" w:hAnsi="Verdana"/>
          <w:sz w:val="20"/>
          <w:szCs w:val="20"/>
        </w:rPr>
        <w:t xml:space="preserve"> víctimas, “sufridas como consecuencia de los hechos del </w:t>
      </w:r>
      <w:r w:rsidR="00592821" w:rsidRPr="00C73BCF">
        <w:rPr>
          <w:rFonts w:ascii="Verdana" w:hAnsi="Verdana"/>
          <w:sz w:val="20"/>
          <w:szCs w:val="20"/>
        </w:rPr>
        <w:t xml:space="preserve">[…] </w:t>
      </w:r>
      <w:r w:rsidR="00D80EAD" w:rsidRPr="00C73BCF">
        <w:rPr>
          <w:rFonts w:ascii="Verdana" w:hAnsi="Verdana"/>
          <w:sz w:val="20"/>
          <w:szCs w:val="20"/>
        </w:rPr>
        <w:t xml:space="preserve">caso, así como de sus esfuerzos para la búsqueda </w:t>
      </w:r>
      <w:r w:rsidR="00592821" w:rsidRPr="00C73BCF">
        <w:rPr>
          <w:rFonts w:ascii="Verdana" w:hAnsi="Verdana"/>
          <w:sz w:val="20"/>
          <w:szCs w:val="20"/>
        </w:rPr>
        <w:t xml:space="preserve">del paradero </w:t>
      </w:r>
      <w:r w:rsidR="00D80EAD" w:rsidRPr="00C73BCF">
        <w:rPr>
          <w:rFonts w:ascii="Verdana" w:hAnsi="Verdana"/>
          <w:sz w:val="20"/>
          <w:szCs w:val="20"/>
        </w:rPr>
        <w:t>de sus seres queridos y de justicia”</w:t>
      </w:r>
      <w:r w:rsidR="00D80EAD" w:rsidRPr="00C73BCF">
        <w:rPr>
          <w:rStyle w:val="Refdenotaalpie"/>
          <w:rFonts w:ascii="Verdana" w:hAnsi="Verdana"/>
          <w:sz w:val="20"/>
          <w:szCs w:val="20"/>
        </w:rPr>
        <w:footnoteReference w:id="12"/>
      </w:r>
      <w:r w:rsidR="00D80EAD" w:rsidRPr="00C73BCF">
        <w:rPr>
          <w:rFonts w:ascii="Verdana" w:hAnsi="Verdana"/>
          <w:sz w:val="20"/>
          <w:szCs w:val="20"/>
        </w:rPr>
        <w:t>.</w:t>
      </w:r>
    </w:p>
    <w:p w:rsidR="00F102DF" w:rsidRPr="00C73BCF" w:rsidRDefault="00F102DF" w:rsidP="00D80EAD">
      <w:pPr>
        <w:pStyle w:val="Listamedia2-nfasis4"/>
        <w:spacing w:after="0" w:line="240" w:lineRule="auto"/>
        <w:ind w:left="0"/>
        <w:jc w:val="both"/>
        <w:rPr>
          <w:rFonts w:ascii="Verdana" w:hAnsi="Verdana"/>
          <w:sz w:val="20"/>
          <w:szCs w:val="20"/>
        </w:rPr>
      </w:pPr>
    </w:p>
    <w:p w:rsidR="00862C77" w:rsidRPr="00C73BCF" w:rsidRDefault="005B7C31" w:rsidP="00862C77">
      <w:pPr>
        <w:pStyle w:val="Listamedia2-nfasis4"/>
        <w:spacing w:after="0" w:line="240" w:lineRule="auto"/>
        <w:ind w:left="0"/>
        <w:contextualSpacing w:val="0"/>
        <w:jc w:val="both"/>
        <w:rPr>
          <w:rFonts w:ascii="Verdana" w:hAnsi="Verdana"/>
          <w:sz w:val="20"/>
        </w:rPr>
      </w:pPr>
      <w:r w:rsidRPr="00C73BCF">
        <w:rPr>
          <w:rFonts w:ascii="Verdana" w:hAnsi="Verdana"/>
          <w:sz w:val="20"/>
          <w:szCs w:val="20"/>
        </w:rPr>
        <w:t>10.</w:t>
      </w:r>
      <w:r w:rsidRPr="00C73BCF">
        <w:rPr>
          <w:rFonts w:ascii="Verdana" w:hAnsi="Verdana"/>
          <w:sz w:val="20"/>
          <w:szCs w:val="20"/>
        </w:rPr>
        <w:tab/>
      </w:r>
      <w:r w:rsidR="00986A33" w:rsidRPr="00C73BCF">
        <w:rPr>
          <w:rFonts w:ascii="Verdana" w:hAnsi="Verdana"/>
          <w:sz w:val="20"/>
          <w:szCs w:val="20"/>
        </w:rPr>
        <w:t>L</w:t>
      </w:r>
      <w:r w:rsidR="00F102DF" w:rsidRPr="00C73BCF">
        <w:rPr>
          <w:rFonts w:ascii="Verdana" w:hAnsi="Verdana"/>
          <w:sz w:val="20"/>
          <w:szCs w:val="20"/>
        </w:rPr>
        <w:t xml:space="preserve">as cantidades fijadas en el párrafo 603 de la Sentencia son a favor de cada una de las víctimas de desaparición forzada y de cada uno de </w:t>
      </w:r>
      <w:r w:rsidR="00F17E64" w:rsidRPr="00C73BCF">
        <w:rPr>
          <w:rFonts w:ascii="Verdana" w:hAnsi="Verdana"/>
          <w:sz w:val="20"/>
          <w:szCs w:val="20"/>
        </w:rPr>
        <w:t>sus</w:t>
      </w:r>
      <w:r w:rsidR="00F102DF" w:rsidRPr="00C73BCF">
        <w:rPr>
          <w:rFonts w:ascii="Verdana" w:hAnsi="Verdana"/>
          <w:sz w:val="20"/>
          <w:szCs w:val="20"/>
        </w:rPr>
        <w:t xml:space="preserve"> familiares declarados víctimas</w:t>
      </w:r>
      <w:r w:rsidR="00F17E64" w:rsidRPr="00C73BCF">
        <w:rPr>
          <w:rStyle w:val="Refdenotaalpie"/>
          <w:rFonts w:ascii="Verdana" w:hAnsi="Verdana"/>
          <w:sz w:val="20"/>
          <w:szCs w:val="20"/>
        </w:rPr>
        <w:footnoteReference w:id="13"/>
      </w:r>
      <w:r w:rsidR="00F102DF" w:rsidRPr="00C73BCF">
        <w:rPr>
          <w:rFonts w:ascii="Verdana" w:hAnsi="Verdana"/>
          <w:sz w:val="20"/>
          <w:szCs w:val="20"/>
        </w:rPr>
        <w:t>.</w:t>
      </w:r>
      <w:r w:rsidR="00D80EAD" w:rsidRPr="00C73BCF">
        <w:rPr>
          <w:rFonts w:ascii="Verdana" w:hAnsi="Verdana"/>
          <w:sz w:val="20"/>
          <w:szCs w:val="20"/>
        </w:rPr>
        <w:t xml:space="preserve"> </w:t>
      </w:r>
      <w:r w:rsidR="00727E70" w:rsidRPr="00C73BCF">
        <w:rPr>
          <w:rFonts w:ascii="Verdana" w:hAnsi="Verdana"/>
          <w:sz w:val="20"/>
          <w:szCs w:val="20"/>
        </w:rPr>
        <w:t>No</w:t>
      </w:r>
      <w:r w:rsidR="00D80EAD" w:rsidRPr="00C73BCF">
        <w:rPr>
          <w:rFonts w:ascii="Verdana" w:hAnsi="Verdana"/>
          <w:sz w:val="20"/>
          <w:szCs w:val="20"/>
        </w:rPr>
        <w:t xml:space="preserve"> resultaría acorde a las violaciones declaradas en este caso (</w:t>
      </w:r>
      <w:r w:rsidR="00D80EAD" w:rsidRPr="00C73BCF">
        <w:rPr>
          <w:rFonts w:ascii="Verdana" w:hAnsi="Verdana"/>
          <w:i/>
          <w:sz w:val="20"/>
          <w:szCs w:val="20"/>
        </w:rPr>
        <w:t xml:space="preserve">supra </w:t>
      </w:r>
      <w:r w:rsidR="00D80EAD" w:rsidRPr="00C73BCF">
        <w:rPr>
          <w:rFonts w:ascii="Verdana" w:hAnsi="Verdana"/>
          <w:sz w:val="20"/>
          <w:szCs w:val="20"/>
        </w:rPr>
        <w:t>Visto 1) ni conforme a la jurisprudencia de este Tribunal</w:t>
      </w:r>
      <w:r w:rsidR="00D80EAD" w:rsidRPr="00C73BCF">
        <w:rPr>
          <w:rStyle w:val="Refdenotaalpie"/>
          <w:rFonts w:ascii="Verdana" w:hAnsi="Verdana" w:cs="Arial"/>
          <w:sz w:val="20"/>
          <w:szCs w:val="20"/>
        </w:rPr>
        <w:footnoteReference w:id="14"/>
      </w:r>
      <w:r w:rsidR="00D80EAD" w:rsidRPr="00C73BCF">
        <w:rPr>
          <w:rFonts w:ascii="Verdana" w:hAnsi="Verdana"/>
          <w:sz w:val="20"/>
          <w:szCs w:val="20"/>
        </w:rPr>
        <w:t xml:space="preserve"> </w:t>
      </w:r>
      <w:r w:rsidR="00727E70" w:rsidRPr="00C73BCF">
        <w:rPr>
          <w:rFonts w:ascii="Verdana" w:hAnsi="Verdana"/>
          <w:sz w:val="20"/>
          <w:szCs w:val="20"/>
        </w:rPr>
        <w:t xml:space="preserve">considerar </w:t>
      </w:r>
      <w:r w:rsidR="00D80EAD" w:rsidRPr="00C73BCF">
        <w:rPr>
          <w:rFonts w:ascii="Verdana" w:hAnsi="Verdana"/>
          <w:sz w:val="20"/>
          <w:szCs w:val="20"/>
        </w:rPr>
        <w:t xml:space="preserve">que a Colombia sólo le correspondería pagar, </w:t>
      </w:r>
      <w:r w:rsidR="00D80EAD" w:rsidRPr="00C73BCF">
        <w:rPr>
          <w:rFonts w:ascii="Verdana" w:hAnsi="Verdana"/>
          <w:sz w:val="20"/>
          <w:szCs w:val="20"/>
        </w:rPr>
        <w:lastRenderedPageBreak/>
        <w:t>por ejemplo, US$ 8.333,00 (ocho mil trescientos treinta y tres dólares de los Estados Unidos de América) por concepto del daño inmaterial ocasionado a cada una de las víctimas de desaparición forzada en lugar de pagar US$</w:t>
      </w:r>
      <w:r w:rsidR="00B160DD" w:rsidRPr="00C73BCF">
        <w:rPr>
          <w:rFonts w:ascii="Verdana" w:hAnsi="Verdana"/>
          <w:sz w:val="20"/>
          <w:szCs w:val="20"/>
        </w:rPr>
        <w:t xml:space="preserve"> </w:t>
      </w:r>
      <w:r w:rsidR="00D80EAD" w:rsidRPr="00C73BCF">
        <w:rPr>
          <w:rFonts w:ascii="Verdana" w:hAnsi="Verdana"/>
          <w:sz w:val="20"/>
          <w:szCs w:val="20"/>
        </w:rPr>
        <w:t>100,000 respecto de cada una de ellas</w:t>
      </w:r>
      <w:r w:rsidR="008451A5" w:rsidRPr="00C73BCF">
        <w:rPr>
          <w:rStyle w:val="Refdenotaalpie"/>
          <w:rFonts w:ascii="Verdana" w:hAnsi="Verdana"/>
          <w:sz w:val="20"/>
          <w:szCs w:val="20"/>
        </w:rPr>
        <w:footnoteReference w:id="15"/>
      </w:r>
      <w:r w:rsidR="00D80EAD" w:rsidRPr="00C73BCF">
        <w:rPr>
          <w:rFonts w:ascii="Verdana" w:hAnsi="Verdana"/>
          <w:sz w:val="20"/>
          <w:szCs w:val="20"/>
        </w:rPr>
        <w:t xml:space="preserve">. Lo mismo sucede con los montos ordenados para los familiares de las víctimas de </w:t>
      </w:r>
      <w:r w:rsidR="002359DD" w:rsidRPr="00C73BCF">
        <w:rPr>
          <w:rFonts w:ascii="Verdana" w:hAnsi="Verdana"/>
          <w:sz w:val="20"/>
          <w:szCs w:val="20"/>
        </w:rPr>
        <w:t>desaparición</w:t>
      </w:r>
      <w:r w:rsidR="00D80EAD" w:rsidRPr="00C73BCF">
        <w:rPr>
          <w:rFonts w:ascii="Verdana" w:hAnsi="Verdana"/>
          <w:sz w:val="20"/>
          <w:szCs w:val="20"/>
        </w:rPr>
        <w:t xml:space="preserve"> forzada, por el daño inmaterial ocasionado a cada uno de esos familiares declarados víctimas de las violaciones a la integridad personal y </w:t>
      </w:r>
      <w:r w:rsidR="0008580F" w:rsidRPr="00C73BCF">
        <w:rPr>
          <w:rFonts w:ascii="Verdana" w:hAnsi="Verdana"/>
          <w:sz w:val="20"/>
          <w:szCs w:val="20"/>
        </w:rPr>
        <w:t>garantías judiciales y a la protección judicial</w:t>
      </w:r>
      <w:r w:rsidR="00D80EAD" w:rsidRPr="00C73BCF">
        <w:rPr>
          <w:rFonts w:ascii="Verdana" w:hAnsi="Verdana"/>
          <w:sz w:val="20"/>
          <w:szCs w:val="20"/>
        </w:rPr>
        <w:t xml:space="preserve">. Resultaría ilusorio </w:t>
      </w:r>
      <w:r w:rsidR="00727E70" w:rsidRPr="00C73BCF">
        <w:rPr>
          <w:rFonts w:ascii="Verdana" w:hAnsi="Verdana"/>
          <w:sz w:val="20"/>
          <w:szCs w:val="20"/>
        </w:rPr>
        <w:t>entender</w:t>
      </w:r>
      <w:r w:rsidR="00D80EAD" w:rsidRPr="00C73BCF">
        <w:rPr>
          <w:rFonts w:ascii="Verdana" w:hAnsi="Verdana"/>
          <w:sz w:val="20"/>
          <w:szCs w:val="20"/>
        </w:rPr>
        <w:t xml:space="preserve">, por ejemplo, que </w:t>
      </w:r>
      <w:r w:rsidR="00154BDE" w:rsidRPr="00C73BCF">
        <w:rPr>
          <w:rFonts w:ascii="Verdana" w:hAnsi="Verdana"/>
          <w:sz w:val="20"/>
          <w:szCs w:val="20"/>
        </w:rPr>
        <w:t xml:space="preserve">a </w:t>
      </w:r>
      <w:r w:rsidR="00D80EAD" w:rsidRPr="00C73BCF">
        <w:rPr>
          <w:rFonts w:ascii="Verdana" w:hAnsi="Verdana"/>
          <w:sz w:val="20"/>
          <w:szCs w:val="20"/>
        </w:rPr>
        <w:t xml:space="preserve">cada madre, </w:t>
      </w:r>
      <w:r w:rsidR="00154BDE" w:rsidRPr="00C73BCF">
        <w:rPr>
          <w:rFonts w:ascii="Verdana" w:hAnsi="Verdana"/>
          <w:sz w:val="20"/>
          <w:szCs w:val="20"/>
        </w:rPr>
        <w:t xml:space="preserve">a </w:t>
      </w:r>
      <w:r w:rsidR="00D80EAD" w:rsidRPr="00C73BCF">
        <w:rPr>
          <w:rFonts w:ascii="Verdana" w:hAnsi="Verdana"/>
          <w:sz w:val="20"/>
          <w:szCs w:val="20"/>
        </w:rPr>
        <w:t xml:space="preserve">cada esposa, </w:t>
      </w:r>
      <w:r w:rsidR="00154BDE" w:rsidRPr="00C73BCF">
        <w:rPr>
          <w:rFonts w:ascii="Verdana" w:hAnsi="Verdana"/>
          <w:sz w:val="20"/>
          <w:szCs w:val="20"/>
        </w:rPr>
        <w:t xml:space="preserve">a </w:t>
      </w:r>
      <w:r w:rsidR="00D80EAD" w:rsidRPr="00C73BCF">
        <w:rPr>
          <w:rFonts w:ascii="Verdana" w:hAnsi="Verdana"/>
          <w:sz w:val="20"/>
          <w:szCs w:val="20"/>
        </w:rPr>
        <w:t xml:space="preserve">cada hija de uno de los desaparecidos </w:t>
      </w:r>
      <w:r w:rsidR="00154BDE" w:rsidRPr="00C73BCF">
        <w:rPr>
          <w:rFonts w:ascii="Verdana" w:hAnsi="Verdana"/>
          <w:sz w:val="20"/>
          <w:szCs w:val="20"/>
        </w:rPr>
        <w:t xml:space="preserve">le correspondería </w:t>
      </w:r>
      <w:r w:rsidR="00FA2D88" w:rsidRPr="00C73BCF">
        <w:rPr>
          <w:rFonts w:ascii="Verdana" w:hAnsi="Verdana"/>
          <w:sz w:val="20"/>
          <w:szCs w:val="20"/>
        </w:rPr>
        <w:t>únicamente</w:t>
      </w:r>
      <w:r w:rsidR="00D80EAD" w:rsidRPr="00C73BCF">
        <w:rPr>
          <w:rFonts w:ascii="Verdana" w:hAnsi="Verdana"/>
          <w:sz w:val="20"/>
          <w:szCs w:val="20"/>
        </w:rPr>
        <w:t xml:space="preserve"> </w:t>
      </w:r>
      <w:r w:rsidR="00877820" w:rsidRPr="00C73BCF">
        <w:rPr>
          <w:rFonts w:ascii="Verdana" w:hAnsi="Verdana"/>
          <w:sz w:val="20"/>
          <w:szCs w:val="20"/>
        </w:rPr>
        <w:t>US$ 1.860,47 (mil ochocientos sesenta dólares de los Estados Unidos de América con cuarenta y siete centavos)</w:t>
      </w:r>
      <w:r w:rsidR="00877820" w:rsidRPr="00C73BCF">
        <w:rPr>
          <w:rStyle w:val="Refdenotaalpie"/>
          <w:rFonts w:ascii="Verdana" w:hAnsi="Verdana"/>
          <w:sz w:val="20"/>
          <w:szCs w:val="20"/>
        </w:rPr>
        <w:footnoteReference w:id="16"/>
      </w:r>
      <w:r w:rsidR="007C00E9" w:rsidRPr="00C73BCF">
        <w:rPr>
          <w:rFonts w:ascii="Verdana" w:hAnsi="Verdana"/>
          <w:sz w:val="20"/>
          <w:szCs w:val="20"/>
        </w:rPr>
        <w:t>,</w:t>
      </w:r>
      <w:r w:rsidR="00D80EAD" w:rsidRPr="00C73BCF">
        <w:rPr>
          <w:rFonts w:ascii="Verdana" w:hAnsi="Verdana"/>
          <w:sz w:val="20"/>
          <w:szCs w:val="20"/>
        </w:rPr>
        <w:t xml:space="preserve"> </w:t>
      </w:r>
      <w:r w:rsidR="007C00E9" w:rsidRPr="00C73BCF">
        <w:rPr>
          <w:rFonts w:ascii="Verdana" w:hAnsi="Verdana"/>
          <w:sz w:val="20"/>
          <w:szCs w:val="20"/>
        </w:rPr>
        <w:t>luego de que</w:t>
      </w:r>
      <w:r w:rsidR="00D80EAD" w:rsidRPr="00C73BCF">
        <w:rPr>
          <w:rFonts w:ascii="Verdana" w:hAnsi="Verdana"/>
          <w:sz w:val="20"/>
          <w:szCs w:val="20"/>
        </w:rPr>
        <w:t xml:space="preserve"> el monto de US$</w:t>
      </w:r>
      <w:r w:rsidR="00667B8F" w:rsidRPr="00C73BCF">
        <w:rPr>
          <w:rFonts w:ascii="Verdana" w:hAnsi="Verdana"/>
          <w:sz w:val="20"/>
          <w:szCs w:val="20"/>
        </w:rPr>
        <w:t xml:space="preserve"> </w:t>
      </w:r>
      <w:r w:rsidR="00D80EAD" w:rsidRPr="00C73BCF">
        <w:rPr>
          <w:rFonts w:ascii="Verdana" w:hAnsi="Verdana"/>
          <w:sz w:val="20"/>
          <w:szCs w:val="20"/>
        </w:rPr>
        <w:t>80,000</w:t>
      </w:r>
      <w:r w:rsidR="00A6284E" w:rsidRPr="00C73BCF">
        <w:rPr>
          <w:rFonts w:ascii="Verdana" w:hAnsi="Verdana"/>
          <w:sz w:val="20"/>
          <w:szCs w:val="20"/>
        </w:rPr>
        <w:t xml:space="preserve"> (ochenta mil dólares de los Estados Unidos de América)</w:t>
      </w:r>
      <w:r w:rsidR="00D80EAD" w:rsidRPr="00C73BCF">
        <w:rPr>
          <w:rFonts w:ascii="Verdana" w:hAnsi="Verdana"/>
          <w:sz w:val="20"/>
          <w:szCs w:val="20"/>
        </w:rPr>
        <w:t xml:space="preserve"> fue</w:t>
      </w:r>
      <w:r w:rsidR="007C00E9" w:rsidRPr="00C73BCF">
        <w:rPr>
          <w:rFonts w:ascii="Verdana" w:hAnsi="Verdana"/>
          <w:sz w:val="20"/>
          <w:szCs w:val="20"/>
        </w:rPr>
        <w:t>ra</w:t>
      </w:r>
      <w:r w:rsidR="00D80EAD" w:rsidRPr="00C73BCF">
        <w:rPr>
          <w:rFonts w:ascii="Verdana" w:hAnsi="Verdana"/>
          <w:sz w:val="20"/>
          <w:szCs w:val="20"/>
        </w:rPr>
        <w:t xml:space="preserve"> dividido entre </w:t>
      </w:r>
      <w:r w:rsidR="007C00E9" w:rsidRPr="00C73BCF">
        <w:rPr>
          <w:rFonts w:ascii="Verdana" w:hAnsi="Verdana"/>
          <w:sz w:val="20"/>
          <w:szCs w:val="20"/>
        </w:rPr>
        <w:t xml:space="preserve">todas las personas que entrarían en estas categorías </w:t>
      </w:r>
      <w:r w:rsidR="00D80EAD" w:rsidRPr="00C73BCF">
        <w:rPr>
          <w:rFonts w:ascii="Verdana" w:hAnsi="Verdana"/>
          <w:sz w:val="20"/>
          <w:szCs w:val="20"/>
        </w:rPr>
        <w:t>de familiares. Para el presente caso, cantidades así de bajas no implicarían una indemnización del daño.</w:t>
      </w:r>
      <w:r w:rsidR="00E66D28" w:rsidRPr="00C73BCF">
        <w:rPr>
          <w:rFonts w:ascii="Verdana" w:hAnsi="Verdana"/>
          <w:sz w:val="20"/>
        </w:rPr>
        <w:t xml:space="preserve"> En este sentido, si bien la Corte no ordena el mismo monto de indemnización por daño inmaterial en todos los casos de desaparición forzada, pues determina las reparaciones tomando en cuenta las circunstancias de cada caso concreto, en ningún caso ha ordenado una indemnización por el daño inmaterial </w:t>
      </w:r>
      <w:r w:rsidR="00F67D6E" w:rsidRPr="00C73BCF">
        <w:rPr>
          <w:rFonts w:ascii="Verdana" w:hAnsi="Verdana"/>
          <w:sz w:val="20"/>
        </w:rPr>
        <w:t>de</w:t>
      </w:r>
      <w:r w:rsidR="00E66D28" w:rsidRPr="00C73BCF">
        <w:rPr>
          <w:rFonts w:ascii="Verdana" w:hAnsi="Verdana"/>
          <w:sz w:val="20"/>
        </w:rPr>
        <w:t xml:space="preserve"> la víctima de desaparición forzada por montos </w:t>
      </w:r>
      <w:r w:rsidR="00F67D6E" w:rsidRPr="00C73BCF">
        <w:rPr>
          <w:rFonts w:ascii="Verdana" w:hAnsi="Verdana"/>
          <w:sz w:val="20"/>
        </w:rPr>
        <w:t>de</w:t>
      </w:r>
      <w:r w:rsidR="00E66D28" w:rsidRPr="00C73BCF">
        <w:rPr>
          <w:rFonts w:ascii="Verdana" w:hAnsi="Verdana"/>
          <w:sz w:val="20"/>
        </w:rPr>
        <w:t xml:space="preserve"> US$</w:t>
      </w:r>
      <w:r w:rsidR="001B71F2" w:rsidRPr="00C73BCF">
        <w:rPr>
          <w:rFonts w:ascii="Verdana" w:hAnsi="Verdana"/>
          <w:sz w:val="20"/>
        </w:rPr>
        <w:t xml:space="preserve"> </w:t>
      </w:r>
      <w:r w:rsidR="00E66D28" w:rsidRPr="00C73BCF">
        <w:rPr>
          <w:rFonts w:ascii="Verdana" w:hAnsi="Verdana"/>
          <w:sz w:val="20"/>
        </w:rPr>
        <w:t xml:space="preserve">8,000 (ocho mil dólares de los Estados Unidos de América), tal como Colombia entiende para este caso. </w:t>
      </w:r>
    </w:p>
    <w:p w:rsidR="003D7AEE" w:rsidRPr="00C73BCF" w:rsidRDefault="003D7AEE" w:rsidP="00862C77">
      <w:pPr>
        <w:pStyle w:val="Listamedia2-nfasis4"/>
        <w:spacing w:after="0" w:line="240" w:lineRule="auto"/>
        <w:ind w:left="0"/>
        <w:contextualSpacing w:val="0"/>
        <w:jc w:val="both"/>
        <w:rPr>
          <w:rFonts w:ascii="Verdana" w:hAnsi="Verdana"/>
          <w:b/>
          <w:sz w:val="20"/>
          <w:szCs w:val="20"/>
        </w:rPr>
      </w:pPr>
    </w:p>
    <w:p w:rsidR="00862C77" w:rsidRPr="00C73BCF" w:rsidRDefault="005B7C31" w:rsidP="004704D5">
      <w:pPr>
        <w:pStyle w:val="Listamedia2-nfasis4"/>
        <w:spacing w:after="0" w:line="240" w:lineRule="auto"/>
        <w:ind w:left="0"/>
        <w:contextualSpacing w:val="0"/>
        <w:jc w:val="both"/>
        <w:rPr>
          <w:rFonts w:ascii="Verdana" w:hAnsi="Verdana"/>
          <w:color w:val="000000"/>
          <w:sz w:val="20"/>
          <w:szCs w:val="20"/>
        </w:rPr>
      </w:pPr>
      <w:r w:rsidRPr="00C73BCF">
        <w:rPr>
          <w:rFonts w:ascii="Verdana" w:hAnsi="Verdana"/>
          <w:color w:val="000000"/>
          <w:sz w:val="20"/>
          <w:szCs w:val="20"/>
        </w:rPr>
        <w:t>1</w:t>
      </w:r>
      <w:r w:rsidR="008C5BBC" w:rsidRPr="00C73BCF">
        <w:rPr>
          <w:rFonts w:ascii="Verdana" w:hAnsi="Verdana"/>
          <w:color w:val="000000"/>
          <w:sz w:val="20"/>
          <w:szCs w:val="20"/>
        </w:rPr>
        <w:t>1</w:t>
      </w:r>
      <w:r w:rsidRPr="00C73BCF">
        <w:rPr>
          <w:rFonts w:ascii="Verdana" w:hAnsi="Verdana"/>
          <w:color w:val="000000"/>
          <w:sz w:val="20"/>
          <w:szCs w:val="20"/>
        </w:rPr>
        <w:t>.</w:t>
      </w:r>
      <w:r w:rsidRPr="00C73BCF">
        <w:rPr>
          <w:rFonts w:ascii="Verdana" w:hAnsi="Verdana"/>
          <w:color w:val="000000"/>
          <w:sz w:val="20"/>
          <w:szCs w:val="20"/>
        </w:rPr>
        <w:tab/>
      </w:r>
      <w:r w:rsidR="00700657" w:rsidRPr="00C73BCF">
        <w:rPr>
          <w:rFonts w:ascii="Verdana" w:hAnsi="Verdana"/>
          <w:color w:val="000000"/>
          <w:sz w:val="20"/>
          <w:szCs w:val="20"/>
        </w:rPr>
        <w:t xml:space="preserve">Con respecto a lo alegado por Colombia </w:t>
      </w:r>
      <w:r w:rsidR="001F6594" w:rsidRPr="00C73BCF">
        <w:rPr>
          <w:rFonts w:ascii="Verdana" w:hAnsi="Verdana"/>
          <w:color w:val="000000"/>
          <w:sz w:val="20"/>
          <w:szCs w:val="20"/>
        </w:rPr>
        <w:t xml:space="preserve">y los representantes de las víctimas </w:t>
      </w:r>
      <w:r w:rsidR="00700657" w:rsidRPr="00C73BCF">
        <w:rPr>
          <w:rFonts w:ascii="Verdana" w:hAnsi="Verdana"/>
          <w:color w:val="000000"/>
          <w:sz w:val="20"/>
          <w:szCs w:val="20"/>
        </w:rPr>
        <w:t>sobre las indemnizaciones otorgadas a nivel interno previo a la emisión de la Sentencia</w:t>
      </w:r>
      <w:r w:rsidR="009E7CC6" w:rsidRPr="00C73BCF">
        <w:rPr>
          <w:rStyle w:val="Refdenotaalpie"/>
          <w:rFonts w:ascii="Verdana" w:hAnsi="Verdana"/>
          <w:color w:val="000000"/>
          <w:sz w:val="20"/>
          <w:szCs w:val="20"/>
        </w:rPr>
        <w:footnoteReference w:id="17"/>
      </w:r>
      <w:r w:rsidR="00700657" w:rsidRPr="00C73BCF">
        <w:rPr>
          <w:rFonts w:ascii="Verdana" w:hAnsi="Verdana"/>
          <w:color w:val="000000"/>
          <w:sz w:val="20"/>
          <w:szCs w:val="20"/>
        </w:rPr>
        <w:t>, l</w:t>
      </w:r>
      <w:r w:rsidR="00D147E3" w:rsidRPr="00C73BCF">
        <w:rPr>
          <w:rFonts w:ascii="Verdana" w:hAnsi="Verdana"/>
          <w:color w:val="000000"/>
          <w:sz w:val="20"/>
          <w:szCs w:val="20"/>
        </w:rPr>
        <w:t>a Corte recuerda que</w:t>
      </w:r>
      <w:r w:rsidR="004704D5" w:rsidRPr="00C73BCF">
        <w:rPr>
          <w:rFonts w:ascii="Verdana" w:hAnsi="Verdana"/>
          <w:color w:val="000000"/>
          <w:sz w:val="20"/>
          <w:szCs w:val="20"/>
        </w:rPr>
        <w:t>,</w:t>
      </w:r>
      <w:r w:rsidR="00D147E3" w:rsidRPr="00C73BCF">
        <w:rPr>
          <w:rFonts w:ascii="Verdana" w:hAnsi="Verdana"/>
          <w:color w:val="000000"/>
          <w:sz w:val="20"/>
          <w:szCs w:val="20"/>
        </w:rPr>
        <w:t xml:space="preserve"> si bien en la Sentencia valoró el otorgamiento de indemnizaciones </w:t>
      </w:r>
      <w:r w:rsidR="000240AA" w:rsidRPr="00C73BCF">
        <w:rPr>
          <w:rFonts w:ascii="Verdana" w:hAnsi="Verdana"/>
          <w:color w:val="000000"/>
          <w:sz w:val="20"/>
          <w:szCs w:val="20"/>
        </w:rPr>
        <w:t xml:space="preserve">a nivel </w:t>
      </w:r>
      <w:r w:rsidR="00D147E3" w:rsidRPr="00C73BCF">
        <w:rPr>
          <w:rFonts w:ascii="Verdana" w:hAnsi="Verdana"/>
          <w:color w:val="000000"/>
          <w:sz w:val="20"/>
          <w:szCs w:val="20"/>
        </w:rPr>
        <w:t>intern</w:t>
      </w:r>
      <w:r w:rsidR="000240AA" w:rsidRPr="00C73BCF">
        <w:rPr>
          <w:rFonts w:ascii="Verdana" w:hAnsi="Verdana"/>
          <w:color w:val="000000"/>
          <w:sz w:val="20"/>
          <w:szCs w:val="20"/>
        </w:rPr>
        <w:t>o</w:t>
      </w:r>
      <w:r w:rsidR="00700657" w:rsidRPr="00C73BCF">
        <w:rPr>
          <w:rFonts w:ascii="Verdana" w:hAnsi="Verdana"/>
          <w:color w:val="000000"/>
          <w:sz w:val="20"/>
          <w:szCs w:val="20"/>
        </w:rPr>
        <w:t xml:space="preserve"> </w:t>
      </w:r>
      <w:r w:rsidR="0032029F" w:rsidRPr="00C73BCF">
        <w:rPr>
          <w:rFonts w:ascii="Verdana" w:hAnsi="Verdana"/>
          <w:color w:val="000000"/>
          <w:sz w:val="20"/>
          <w:szCs w:val="20"/>
        </w:rPr>
        <w:t>en la jurisdicción contencioso administrativa</w:t>
      </w:r>
      <w:r w:rsidR="00772D7E" w:rsidRPr="00C73BCF">
        <w:rPr>
          <w:rFonts w:ascii="Verdana" w:hAnsi="Verdana"/>
          <w:color w:val="000000"/>
          <w:sz w:val="20"/>
          <w:szCs w:val="20"/>
        </w:rPr>
        <w:t xml:space="preserve"> </w:t>
      </w:r>
      <w:r w:rsidR="00667B8F" w:rsidRPr="00C73BCF">
        <w:rPr>
          <w:rFonts w:ascii="Verdana" w:hAnsi="Verdana"/>
          <w:color w:val="000000"/>
          <w:sz w:val="20"/>
          <w:szCs w:val="20"/>
        </w:rPr>
        <w:t xml:space="preserve">colombiana </w:t>
      </w:r>
      <w:r w:rsidR="00346C14" w:rsidRPr="00C73BCF">
        <w:rPr>
          <w:rFonts w:ascii="Verdana" w:hAnsi="Verdana"/>
          <w:color w:val="000000"/>
          <w:sz w:val="20"/>
          <w:szCs w:val="20"/>
        </w:rPr>
        <w:t xml:space="preserve">por concepto de “daño moral” </w:t>
      </w:r>
      <w:r w:rsidR="00772D7E" w:rsidRPr="00C73BCF">
        <w:rPr>
          <w:rFonts w:ascii="Verdana" w:hAnsi="Verdana"/>
          <w:color w:val="000000"/>
          <w:sz w:val="20"/>
          <w:szCs w:val="20"/>
        </w:rPr>
        <w:t>a “treinta y siete familiares de once de las víctimas”</w:t>
      </w:r>
      <w:r w:rsidR="00772D7E" w:rsidRPr="00C73BCF">
        <w:rPr>
          <w:rStyle w:val="Refdenotaalpie"/>
          <w:rFonts w:ascii="Verdana" w:hAnsi="Verdana"/>
          <w:color w:val="000000"/>
          <w:sz w:val="20"/>
          <w:szCs w:val="20"/>
        </w:rPr>
        <w:footnoteReference w:id="18"/>
      </w:r>
      <w:r w:rsidR="00D147E3" w:rsidRPr="00C73BCF">
        <w:rPr>
          <w:rFonts w:ascii="Verdana" w:hAnsi="Verdana"/>
          <w:color w:val="000000"/>
          <w:sz w:val="20"/>
          <w:szCs w:val="20"/>
        </w:rPr>
        <w:t xml:space="preserve">, </w:t>
      </w:r>
      <w:r w:rsidR="00BF3A53" w:rsidRPr="00C73BCF">
        <w:rPr>
          <w:rFonts w:ascii="Verdana" w:hAnsi="Verdana"/>
          <w:color w:val="000000"/>
          <w:sz w:val="20"/>
          <w:szCs w:val="20"/>
        </w:rPr>
        <w:t xml:space="preserve">en el párrafo 602 de la Sentencia explicó los motivos por los cuales </w:t>
      </w:r>
      <w:r w:rsidR="001510FF" w:rsidRPr="00C73BCF">
        <w:rPr>
          <w:rFonts w:ascii="Verdana" w:hAnsi="Verdana"/>
          <w:color w:val="000000"/>
          <w:sz w:val="20"/>
          <w:szCs w:val="20"/>
        </w:rPr>
        <w:t>“consider</w:t>
      </w:r>
      <w:r w:rsidR="00BF3A53" w:rsidRPr="00C73BCF">
        <w:rPr>
          <w:rFonts w:ascii="Verdana" w:hAnsi="Verdana"/>
          <w:color w:val="000000"/>
          <w:sz w:val="20"/>
          <w:szCs w:val="20"/>
        </w:rPr>
        <w:t>a</w:t>
      </w:r>
      <w:r w:rsidR="00DD1A0C" w:rsidRPr="00C73BCF">
        <w:rPr>
          <w:rFonts w:ascii="Verdana" w:hAnsi="Verdana"/>
          <w:color w:val="000000"/>
          <w:sz w:val="20"/>
          <w:szCs w:val="20"/>
        </w:rPr>
        <w:t>[</w:t>
      </w:r>
      <w:proofErr w:type="spellStart"/>
      <w:r w:rsidR="00BF3A53" w:rsidRPr="00C73BCF">
        <w:rPr>
          <w:rFonts w:ascii="Verdana" w:hAnsi="Verdana"/>
          <w:color w:val="000000"/>
          <w:sz w:val="20"/>
          <w:szCs w:val="20"/>
        </w:rPr>
        <w:t>ba</w:t>
      </w:r>
      <w:proofErr w:type="spellEnd"/>
      <w:r w:rsidR="001510FF" w:rsidRPr="00C73BCF">
        <w:rPr>
          <w:rFonts w:ascii="Verdana" w:hAnsi="Verdana"/>
          <w:color w:val="000000"/>
          <w:sz w:val="20"/>
          <w:szCs w:val="20"/>
        </w:rPr>
        <w:t xml:space="preserve">] adecuado ordenar el pago de </w:t>
      </w:r>
      <w:r w:rsidR="001510FF" w:rsidRPr="00C73BCF">
        <w:rPr>
          <w:rFonts w:ascii="Verdana" w:hAnsi="Verdana"/>
          <w:color w:val="000000"/>
          <w:sz w:val="20"/>
          <w:szCs w:val="20"/>
        </w:rPr>
        <w:lastRenderedPageBreak/>
        <w:t>indemnizaciones adicionales por concepto de daño inmaterial</w:t>
      </w:r>
      <w:r w:rsidR="00772D7E" w:rsidRPr="00C73BCF">
        <w:rPr>
          <w:rFonts w:ascii="Verdana" w:hAnsi="Verdana"/>
          <w:color w:val="000000"/>
          <w:sz w:val="20"/>
          <w:szCs w:val="20"/>
        </w:rPr>
        <w:t>”</w:t>
      </w:r>
      <w:r w:rsidR="00667B8F" w:rsidRPr="00C73BCF">
        <w:rPr>
          <w:rFonts w:ascii="Verdana" w:hAnsi="Verdana"/>
          <w:color w:val="000000"/>
          <w:sz w:val="20"/>
          <w:szCs w:val="20"/>
        </w:rPr>
        <w:t>, principalmente porque las indemnizaciones internas “no responde[n] a la totalidad de las violaciones declaradas en la […] Sentencia”</w:t>
      </w:r>
      <w:r w:rsidR="00700657" w:rsidRPr="00C73BCF">
        <w:rPr>
          <w:rFonts w:ascii="Verdana" w:hAnsi="Verdana"/>
          <w:color w:val="000000"/>
          <w:sz w:val="20"/>
          <w:szCs w:val="20"/>
        </w:rPr>
        <w:t>.</w:t>
      </w:r>
      <w:r w:rsidR="00B54153" w:rsidRPr="00C73BCF">
        <w:rPr>
          <w:rFonts w:ascii="Verdana" w:hAnsi="Verdana"/>
          <w:color w:val="000000"/>
          <w:sz w:val="20"/>
          <w:szCs w:val="20"/>
        </w:rPr>
        <w:t xml:space="preserve"> Asimismo</w:t>
      </w:r>
      <w:r w:rsidR="006603B1" w:rsidRPr="00C73BCF">
        <w:rPr>
          <w:rFonts w:ascii="Verdana" w:hAnsi="Verdana"/>
          <w:color w:val="000000"/>
          <w:sz w:val="20"/>
          <w:szCs w:val="20"/>
        </w:rPr>
        <w:t xml:space="preserve">, </w:t>
      </w:r>
      <w:r w:rsidR="00B54153" w:rsidRPr="00C73BCF">
        <w:rPr>
          <w:rFonts w:ascii="Verdana" w:hAnsi="Verdana"/>
          <w:color w:val="000000"/>
          <w:sz w:val="20"/>
          <w:szCs w:val="20"/>
        </w:rPr>
        <w:t>respecto al descuento que podría hacer Colombia al cancelar</w:t>
      </w:r>
      <w:r w:rsidR="00667B8F" w:rsidRPr="00C73BCF">
        <w:rPr>
          <w:rFonts w:ascii="Verdana" w:hAnsi="Verdana"/>
          <w:color w:val="000000"/>
          <w:sz w:val="20"/>
          <w:szCs w:val="20"/>
        </w:rPr>
        <w:t xml:space="preserve"> dichas indemnizaciones</w:t>
      </w:r>
      <w:r w:rsidR="00B54153" w:rsidRPr="00C73BCF">
        <w:rPr>
          <w:rFonts w:ascii="Verdana" w:hAnsi="Verdana"/>
          <w:color w:val="000000"/>
          <w:sz w:val="20"/>
          <w:szCs w:val="20"/>
        </w:rPr>
        <w:t xml:space="preserve"> </w:t>
      </w:r>
      <w:r w:rsidR="006603B1" w:rsidRPr="00C73BCF">
        <w:rPr>
          <w:rFonts w:ascii="Verdana" w:hAnsi="Verdana"/>
          <w:color w:val="000000"/>
          <w:sz w:val="20"/>
          <w:szCs w:val="20"/>
        </w:rPr>
        <w:t>indicó que</w:t>
      </w:r>
      <w:r w:rsidR="00772D7E" w:rsidRPr="00C73BCF">
        <w:rPr>
          <w:rFonts w:ascii="Verdana" w:hAnsi="Verdana"/>
          <w:color w:val="000000"/>
          <w:sz w:val="20"/>
          <w:szCs w:val="20"/>
        </w:rPr>
        <w:t>:</w:t>
      </w:r>
    </w:p>
    <w:p w:rsidR="00D80EAD" w:rsidRPr="00C73BCF" w:rsidRDefault="00D80EAD" w:rsidP="00F07333">
      <w:pPr>
        <w:pStyle w:val="Listamedia2-nfasis4"/>
        <w:spacing w:after="0" w:line="240" w:lineRule="auto"/>
        <w:ind w:left="0"/>
        <w:contextualSpacing w:val="0"/>
        <w:jc w:val="both"/>
        <w:rPr>
          <w:rFonts w:ascii="Verdana" w:hAnsi="Verdana"/>
          <w:sz w:val="20"/>
          <w:szCs w:val="20"/>
        </w:rPr>
      </w:pPr>
    </w:p>
    <w:p w:rsidR="00772D7E" w:rsidRPr="00C73BCF" w:rsidRDefault="00772D7E" w:rsidP="00C73BCF">
      <w:pPr>
        <w:pStyle w:val="Listamedia2-nfasis4"/>
        <w:spacing w:after="0" w:line="240" w:lineRule="auto"/>
        <w:ind w:right="720"/>
        <w:contextualSpacing w:val="0"/>
        <w:jc w:val="both"/>
        <w:rPr>
          <w:rFonts w:ascii="Verdana" w:hAnsi="Verdana"/>
          <w:sz w:val="16"/>
          <w:szCs w:val="16"/>
        </w:rPr>
      </w:pPr>
      <w:r w:rsidRPr="00C73BCF">
        <w:rPr>
          <w:rFonts w:ascii="Verdana" w:hAnsi="Verdana"/>
          <w:sz w:val="16"/>
          <w:szCs w:val="16"/>
        </w:rPr>
        <w:t>602. […]</w:t>
      </w:r>
      <w:r w:rsidR="00A65A23" w:rsidRPr="00C73BCF">
        <w:rPr>
          <w:rFonts w:ascii="Verdana" w:hAnsi="Verdana"/>
          <w:sz w:val="16"/>
          <w:szCs w:val="16"/>
        </w:rPr>
        <w:t xml:space="preserve"> </w:t>
      </w:r>
      <w:r w:rsidRPr="00C73BCF">
        <w:rPr>
          <w:rFonts w:ascii="Verdana" w:hAnsi="Verdana"/>
          <w:sz w:val="16"/>
          <w:szCs w:val="16"/>
        </w:rPr>
        <w:t xml:space="preserve">Este Tribunal deja constancia que </w:t>
      </w:r>
      <w:r w:rsidR="002060FD" w:rsidRPr="00C73BCF">
        <w:rPr>
          <w:rFonts w:ascii="Verdana" w:hAnsi="Verdana"/>
          <w:sz w:val="16"/>
          <w:szCs w:val="16"/>
        </w:rPr>
        <w:t>estas</w:t>
      </w:r>
      <w:r w:rsidRPr="00C73BCF">
        <w:rPr>
          <w:rFonts w:ascii="Verdana" w:hAnsi="Verdana"/>
          <w:sz w:val="16"/>
          <w:szCs w:val="16"/>
        </w:rPr>
        <w:t xml:space="preserve"> indemnizaciones </w:t>
      </w:r>
      <w:r w:rsidR="006603B1" w:rsidRPr="00C73BCF">
        <w:rPr>
          <w:rFonts w:ascii="Verdana" w:hAnsi="Verdana"/>
          <w:color w:val="000000"/>
          <w:sz w:val="16"/>
          <w:szCs w:val="16"/>
        </w:rPr>
        <w:t>[adicionales]</w:t>
      </w:r>
      <w:r w:rsidR="006603B1" w:rsidRPr="00C73BCF" w:rsidDel="002060FD">
        <w:rPr>
          <w:rFonts w:ascii="Verdana" w:hAnsi="Verdana"/>
          <w:sz w:val="16"/>
          <w:szCs w:val="16"/>
        </w:rPr>
        <w:t xml:space="preserve"> </w:t>
      </w:r>
      <w:r w:rsidRPr="00C73BCF">
        <w:rPr>
          <w:rFonts w:ascii="Verdana" w:hAnsi="Verdana"/>
          <w:sz w:val="16"/>
          <w:szCs w:val="16"/>
        </w:rPr>
        <w:t xml:space="preserve">son complementarias a las ya otorgadas a nivel interno por daño moral. Es por tal razón que el Estado podrá descontar de la indemnización correspondiente </w:t>
      </w:r>
      <w:r w:rsidRPr="00C73BCF">
        <w:rPr>
          <w:rFonts w:ascii="Verdana" w:hAnsi="Verdana"/>
          <w:sz w:val="16"/>
          <w:szCs w:val="16"/>
          <w:u w:val="single"/>
        </w:rPr>
        <w:t>a cada familiar</w:t>
      </w:r>
      <w:r w:rsidRPr="00C73BCF">
        <w:rPr>
          <w:rFonts w:ascii="Verdana" w:hAnsi="Verdana"/>
          <w:sz w:val="16"/>
          <w:szCs w:val="16"/>
        </w:rPr>
        <w:t xml:space="preserve"> la cantidad que hubiere recibido a nivel interno por el mismo concepto</w:t>
      </w:r>
      <w:r w:rsidR="00B67F5D" w:rsidRPr="00C73BCF">
        <w:rPr>
          <w:rFonts w:ascii="Verdana" w:hAnsi="Verdana"/>
          <w:sz w:val="16"/>
          <w:szCs w:val="16"/>
        </w:rPr>
        <w:t xml:space="preserve"> (subrayado no es del original)</w:t>
      </w:r>
      <w:r w:rsidRPr="00C73BCF">
        <w:rPr>
          <w:rFonts w:ascii="Verdana" w:hAnsi="Verdana"/>
          <w:sz w:val="16"/>
          <w:szCs w:val="16"/>
        </w:rPr>
        <w:t>.</w:t>
      </w:r>
    </w:p>
    <w:p w:rsidR="00772D7E" w:rsidRPr="00C73BCF" w:rsidRDefault="00772D7E" w:rsidP="00F07333">
      <w:pPr>
        <w:pStyle w:val="Listamedia2-nfasis4"/>
        <w:spacing w:after="0" w:line="240" w:lineRule="auto"/>
        <w:ind w:left="0"/>
        <w:contextualSpacing w:val="0"/>
        <w:jc w:val="both"/>
        <w:rPr>
          <w:rFonts w:ascii="Verdana" w:hAnsi="Verdana"/>
          <w:sz w:val="20"/>
          <w:szCs w:val="20"/>
        </w:rPr>
      </w:pPr>
    </w:p>
    <w:p w:rsidR="00A65A23" w:rsidRPr="00C73BCF" w:rsidRDefault="005B7C31" w:rsidP="00A65A23">
      <w:pPr>
        <w:pStyle w:val="Listamedia2-nfasis4"/>
        <w:spacing w:after="0" w:line="240" w:lineRule="auto"/>
        <w:ind w:left="0"/>
        <w:contextualSpacing w:val="0"/>
        <w:jc w:val="both"/>
        <w:rPr>
          <w:rFonts w:ascii="Verdana" w:hAnsi="Verdana"/>
          <w:sz w:val="20"/>
          <w:szCs w:val="20"/>
        </w:rPr>
      </w:pPr>
      <w:r w:rsidRPr="00C73BCF">
        <w:rPr>
          <w:rFonts w:ascii="Verdana" w:hAnsi="Verdana"/>
          <w:sz w:val="20"/>
          <w:szCs w:val="20"/>
        </w:rPr>
        <w:t>1</w:t>
      </w:r>
      <w:r w:rsidR="0075715C" w:rsidRPr="00C73BCF">
        <w:rPr>
          <w:rFonts w:ascii="Verdana" w:hAnsi="Verdana"/>
          <w:sz w:val="20"/>
          <w:szCs w:val="20"/>
        </w:rPr>
        <w:t>2</w:t>
      </w:r>
      <w:r w:rsidRPr="00C73BCF">
        <w:rPr>
          <w:rFonts w:ascii="Verdana" w:hAnsi="Verdana"/>
          <w:sz w:val="20"/>
          <w:szCs w:val="20"/>
        </w:rPr>
        <w:t>.</w:t>
      </w:r>
      <w:r w:rsidRPr="00C73BCF">
        <w:rPr>
          <w:rFonts w:ascii="Verdana" w:hAnsi="Verdana"/>
          <w:sz w:val="20"/>
          <w:szCs w:val="20"/>
        </w:rPr>
        <w:tab/>
      </w:r>
      <w:r w:rsidR="00500E9A" w:rsidRPr="00C73BCF">
        <w:rPr>
          <w:rFonts w:ascii="Verdana" w:hAnsi="Verdana"/>
          <w:sz w:val="20"/>
          <w:szCs w:val="20"/>
        </w:rPr>
        <w:t>Es decir, la Corte ordenó en el párrafo 603 de la Sentencia indemnizaciones por concepto de daño inmaterial a favor de</w:t>
      </w:r>
      <w:r w:rsidR="00F27E17" w:rsidRPr="00C73BCF">
        <w:rPr>
          <w:rFonts w:ascii="Verdana" w:hAnsi="Verdana"/>
          <w:sz w:val="20"/>
          <w:szCs w:val="20"/>
        </w:rPr>
        <w:t xml:space="preserve"> cada una de</w:t>
      </w:r>
      <w:r w:rsidR="00500E9A" w:rsidRPr="00C73BCF">
        <w:rPr>
          <w:rFonts w:ascii="Verdana" w:hAnsi="Verdana"/>
          <w:sz w:val="20"/>
          <w:szCs w:val="20"/>
        </w:rPr>
        <w:t xml:space="preserve"> las víctimas de desaparición forzada y de </w:t>
      </w:r>
      <w:r w:rsidR="00F27E17" w:rsidRPr="00C73BCF">
        <w:rPr>
          <w:rFonts w:ascii="Verdana" w:hAnsi="Verdana"/>
          <w:sz w:val="20"/>
          <w:szCs w:val="20"/>
        </w:rPr>
        <w:t xml:space="preserve">cada uno de </w:t>
      </w:r>
      <w:r w:rsidR="00500E9A" w:rsidRPr="00C73BCF">
        <w:rPr>
          <w:rFonts w:ascii="Verdana" w:hAnsi="Verdana"/>
          <w:sz w:val="20"/>
          <w:szCs w:val="20"/>
        </w:rPr>
        <w:t>sus familiares</w:t>
      </w:r>
      <w:r w:rsidR="00D31246" w:rsidRPr="00C73BCF">
        <w:rPr>
          <w:rFonts w:ascii="Verdana" w:hAnsi="Verdana"/>
          <w:sz w:val="20"/>
          <w:szCs w:val="20"/>
        </w:rPr>
        <w:t xml:space="preserve"> declarados víctimas</w:t>
      </w:r>
      <w:r w:rsidR="00500E9A" w:rsidRPr="00C73BCF">
        <w:rPr>
          <w:rFonts w:ascii="Verdana" w:hAnsi="Verdana"/>
          <w:sz w:val="20"/>
          <w:szCs w:val="20"/>
        </w:rPr>
        <w:t xml:space="preserve"> y autorizó al Estado a realizar, en los casos correspondientes, las deducciones de las indemnizaciones que ya había </w:t>
      </w:r>
      <w:r w:rsidR="0016027A" w:rsidRPr="00C73BCF">
        <w:rPr>
          <w:rFonts w:ascii="Verdana" w:hAnsi="Verdana"/>
          <w:sz w:val="20"/>
          <w:szCs w:val="20"/>
        </w:rPr>
        <w:t>pagado</w:t>
      </w:r>
      <w:r w:rsidR="00500E9A" w:rsidRPr="00C73BCF">
        <w:rPr>
          <w:rFonts w:ascii="Verdana" w:hAnsi="Verdana"/>
          <w:sz w:val="20"/>
          <w:szCs w:val="20"/>
        </w:rPr>
        <w:t xml:space="preserve"> previamente a nivel interno por concepto de “daño moral”.</w:t>
      </w:r>
      <w:r w:rsidR="000E7B02" w:rsidRPr="00C73BCF">
        <w:rPr>
          <w:rFonts w:ascii="Verdana" w:hAnsi="Verdana"/>
          <w:sz w:val="20"/>
          <w:szCs w:val="20"/>
        </w:rPr>
        <w:t xml:space="preserve"> Que el Tribunal haya realizado dicho reconocimiento a los esfuerzos internos del Estado por reparar a las víctimas no significa que los montos ordenados en el referido párrafo </w:t>
      </w:r>
      <w:r w:rsidR="00786239" w:rsidRPr="00C73BCF">
        <w:rPr>
          <w:rFonts w:ascii="Verdana" w:hAnsi="Verdana"/>
          <w:sz w:val="20"/>
          <w:szCs w:val="20"/>
        </w:rPr>
        <w:t xml:space="preserve">603 </w:t>
      </w:r>
      <w:r w:rsidR="000E7B02" w:rsidRPr="00C73BCF">
        <w:rPr>
          <w:rFonts w:ascii="Verdana" w:hAnsi="Verdana"/>
          <w:sz w:val="20"/>
          <w:szCs w:val="20"/>
        </w:rPr>
        <w:t xml:space="preserve">no fuesen ordenados </w:t>
      </w:r>
      <w:r w:rsidR="00D31246" w:rsidRPr="00C73BCF">
        <w:rPr>
          <w:rFonts w:ascii="Verdana" w:hAnsi="Verdana"/>
          <w:sz w:val="20"/>
          <w:szCs w:val="20"/>
        </w:rPr>
        <w:t>a favor de</w:t>
      </w:r>
      <w:r w:rsidR="000E7B02" w:rsidRPr="00C73BCF">
        <w:rPr>
          <w:rFonts w:ascii="Verdana" w:hAnsi="Verdana"/>
          <w:sz w:val="20"/>
          <w:szCs w:val="20"/>
        </w:rPr>
        <w:t xml:space="preserve"> cada una de las once víctimas de desaparición forzada y </w:t>
      </w:r>
      <w:r w:rsidR="00D31246" w:rsidRPr="00C73BCF">
        <w:rPr>
          <w:rFonts w:ascii="Verdana" w:hAnsi="Verdana"/>
          <w:sz w:val="20"/>
          <w:szCs w:val="20"/>
        </w:rPr>
        <w:t xml:space="preserve">a favor </w:t>
      </w:r>
      <w:r w:rsidR="000E7B02" w:rsidRPr="00C73BCF">
        <w:rPr>
          <w:rFonts w:ascii="Verdana" w:hAnsi="Verdana"/>
          <w:sz w:val="20"/>
          <w:szCs w:val="20"/>
        </w:rPr>
        <w:t>de cada uno de sus familiares señalados en la Sentencia.</w:t>
      </w:r>
    </w:p>
    <w:p w:rsidR="00A65A23" w:rsidRPr="00C73BCF" w:rsidRDefault="00A65A23" w:rsidP="00A65A23">
      <w:pPr>
        <w:pStyle w:val="Listamedia2-nfasis4"/>
        <w:spacing w:after="0" w:line="240" w:lineRule="auto"/>
        <w:ind w:left="0"/>
        <w:contextualSpacing w:val="0"/>
        <w:jc w:val="both"/>
        <w:rPr>
          <w:rFonts w:ascii="Verdana" w:hAnsi="Verdana"/>
          <w:sz w:val="20"/>
          <w:szCs w:val="20"/>
        </w:rPr>
      </w:pPr>
    </w:p>
    <w:p w:rsidR="00334B4D" w:rsidRPr="00C73BCF" w:rsidRDefault="00A65A23" w:rsidP="00A65A23">
      <w:pPr>
        <w:pStyle w:val="Listamedia2-nfasis4"/>
        <w:spacing w:after="0" w:line="240" w:lineRule="auto"/>
        <w:ind w:left="0"/>
        <w:contextualSpacing w:val="0"/>
        <w:jc w:val="both"/>
        <w:rPr>
          <w:rFonts w:ascii="Verdana" w:hAnsi="Verdana"/>
          <w:sz w:val="20"/>
          <w:szCs w:val="20"/>
        </w:rPr>
      </w:pPr>
      <w:r w:rsidRPr="00C73BCF">
        <w:rPr>
          <w:rFonts w:ascii="Verdana" w:hAnsi="Verdana"/>
          <w:sz w:val="20"/>
          <w:szCs w:val="20"/>
        </w:rPr>
        <w:t>1</w:t>
      </w:r>
      <w:r w:rsidR="00346C14" w:rsidRPr="00C73BCF">
        <w:rPr>
          <w:rFonts w:ascii="Verdana" w:hAnsi="Verdana"/>
          <w:sz w:val="20"/>
          <w:szCs w:val="20"/>
        </w:rPr>
        <w:t>3</w:t>
      </w:r>
      <w:r w:rsidRPr="00C73BCF">
        <w:rPr>
          <w:rFonts w:ascii="Verdana" w:hAnsi="Verdana"/>
          <w:sz w:val="20"/>
          <w:szCs w:val="20"/>
        </w:rPr>
        <w:t>.</w:t>
      </w:r>
      <w:r w:rsidRPr="00C73BCF">
        <w:rPr>
          <w:rFonts w:ascii="Verdana" w:hAnsi="Verdana"/>
          <w:sz w:val="20"/>
          <w:szCs w:val="20"/>
        </w:rPr>
        <w:tab/>
      </w:r>
      <w:r w:rsidR="00334B4D" w:rsidRPr="00C73BCF">
        <w:rPr>
          <w:rFonts w:ascii="Verdana" w:hAnsi="Verdana"/>
          <w:sz w:val="20"/>
          <w:szCs w:val="20"/>
        </w:rPr>
        <w:t xml:space="preserve">Por consiguiente, </w:t>
      </w:r>
      <w:r w:rsidR="009C0A30" w:rsidRPr="00C73BCF">
        <w:rPr>
          <w:rFonts w:ascii="Verdana" w:hAnsi="Verdana"/>
          <w:sz w:val="20"/>
          <w:szCs w:val="20"/>
        </w:rPr>
        <w:t xml:space="preserve">de acuerdo a lo dispuesto </w:t>
      </w:r>
      <w:r w:rsidR="00C2597A" w:rsidRPr="00C73BCF">
        <w:rPr>
          <w:rFonts w:ascii="Verdana" w:hAnsi="Verdana"/>
          <w:sz w:val="20"/>
          <w:szCs w:val="20"/>
        </w:rPr>
        <w:t>en el párrafo 603 de la Sentencia la Corte fijó las siguientes indemnizaciones por concepto de daño inmaterial</w:t>
      </w:r>
      <w:r w:rsidR="00334B4D" w:rsidRPr="00C73BCF">
        <w:rPr>
          <w:rFonts w:ascii="Verdana" w:hAnsi="Verdana"/>
          <w:sz w:val="20"/>
          <w:szCs w:val="20"/>
        </w:rPr>
        <w:t>:</w:t>
      </w:r>
    </w:p>
    <w:p w:rsidR="00334B4D" w:rsidRPr="00C73BCF" w:rsidRDefault="00334B4D" w:rsidP="00334B4D">
      <w:pPr>
        <w:pStyle w:val="Listamedia2-nfasis4"/>
        <w:spacing w:after="0" w:line="240" w:lineRule="auto"/>
        <w:ind w:left="0"/>
        <w:contextualSpacing w:val="0"/>
        <w:jc w:val="both"/>
        <w:rPr>
          <w:rFonts w:ascii="Verdana" w:hAnsi="Verdana"/>
          <w:b/>
          <w:sz w:val="20"/>
          <w:szCs w:val="20"/>
        </w:rPr>
      </w:pPr>
    </w:p>
    <w:p w:rsidR="00334B4D" w:rsidRPr="00C73BCF" w:rsidRDefault="00C2597A" w:rsidP="00334B4D">
      <w:pPr>
        <w:pStyle w:val="Listamedia2-nfasis4"/>
        <w:numPr>
          <w:ilvl w:val="0"/>
          <w:numId w:val="5"/>
        </w:numPr>
        <w:spacing w:after="0" w:line="240" w:lineRule="auto"/>
        <w:contextualSpacing w:val="0"/>
        <w:jc w:val="both"/>
        <w:rPr>
          <w:rFonts w:ascii="Verdana" w:hAnsi="Verdana"/>
          <w:sz w:val="20"/>
          <w:szCs w:val="20"/>
        </w:rPr>
      </w:pPr>
      <w:r w:rsidRPr="00C73BCF">
        <w:rPr>
          <w:rFonts w:ascii="Verdana" w:hAnsi="Verdana"/>
          <w:sz w:val="20"/>
          <w:szCs w:val="20"/>
        </w:rPr>
        <w:t xml:space="preserve">a favor de </w:t>
      </w:r>
      <w:r w:rsidR="00334B4D" w:rsidRPr="00C73BCF">
        <w:rPr>
          <w:rFonts w:ascii="Verdana" w:hAnsi="Verdana"/>
          <w:sz w:val="20"/>
          <w:szCs w:val="20"/>
        </w:rPr>
        <w:t xml:space="preserve">cada una de las once víctimas de desaparición forzada </w:t>
      </w:r>
      <w:r w:rsidRPr="00C73BCF">
        <w:rPr>
          <w:rFonts w:ascii="Verdana" w:hAnsi="Verdana"/>
          <w:sz w:val="20"/>
          <w:szCs w:val="20"/>
        </w:rPr>
        <w:t xml:space="preserve">la cantidad de </w:t>
      </w:r>
      <w:r w:rsidR="00334B4D" w:rsidRPr="00C73BCF">
        <w:rPr>
          <w:rFonts w:ascii="Verdana" w:hAnsi="Verdana"/>
          <w:sz w:val="20"/>
          <w:szCs w:val="20"/>
        </w:rPr>
        <w:t xml:space="preserve">US$ 100.000,00 (cien mil dólares de los Estados Unidos de América); </w:t>
      </w:r>
    </w:p>
    <w:p w:rsidR="00334B4D" w:rsidRPr="00C73BCF" w:rsidRDefault="009C0A30" w:rsidP="00334B4D">
      <w:pPr>
        <w:pStyle w:val="Listamedia2-nfasis4"/>
        <w:numPr>
          <w:ilvl w:val="0"/>
          <w:numId w:val="5"/>
        </w:numPr>
        <w:spacing w:after="0" w:line="240" w:lineRule="auto"/>
        <w:contextualSpacing w:val="0"/>
        <w:jc w:val="both"/>
        <w:rPr>
          <w:rFonts w:ascii="Verdana" w:hAnsi="Verdana"/>
          <w:sz w:val="20"/>
          <w:szCs w:val="20"/>
        </w:rPr>
      </w:pPr>
      <w:r w:rsidRPr="00C73BCF">
        <w:rPr>
          <w:rFonts w:ascii="Verdana" w:hAnsi="Verdana"/>
          <w:sz w:val="20"/>
          <w:szCs w:val="20"/>
        </w:rPr>
        <w:t xml:space="preserve">a favor de </w:t>
      </w:r>
      <w:r w:rsidR="00334B4D" w:rsidRPr="00C73BCF">
        <w:rPr>
          <w:rFonts w:ascii="Verdana" w:hAnsi="Verdana"/>
          <w:sz w:val="20"/>
          <w:szCs w:val="20"/>
        </w:rPr>
        <w:t xml:space="preserve">cada una de las madres, padres, hijas e hijos, cónyuges, compañeros y compañeras permanentes de las referidas once víctimas de desaparición forzada </w:t>
      </w:r>
      <w:r w:rsidRPr="00C73BCF">
        <w:rPr>
          <w:rFonts w:ascii="Verdana" w:hAnsi="Verdana"/>
          <w:sz w:val="20"/>
          <w:szCs w:val="20"/>
        </w:rPr>
        <w:t xml:space="preserve">la cantidad de </w:t>
      </w:r>
      <w:r w:rsidR="00334B4D" w:rsidRPr="00C73BCF">
        <w:rPr>
          <w:rFonts w:ascii="Verdana" w:hAnsi="Verdana"/>
          <w:sz w:val="20"/>
          <w:szCs w:val="20"/>
        </w:rPr>
        <w:t xml:space="preserve">US$ 80.000,00 (ochenta mil dólares de los Estados Unidos de América), y </w:t>
      </w:r>
    </w:p>
    <w:p w:rsidR="00334B4D" w:rsidRPr="00C73BCF" w:rsidRDefault="009C0A30" w:rsidP="00F00506">
      <w:pPr>
        <w:pStyle w:val="Listamedia2-nfasis4"/>
        <w:numPr>
          <w:ilvl w:val="0"/>
          <w:numId w:val="5"/>
        </w:numPr>
        <w:spacing w:after="0" w:line="240" w:lineRule="auto"/>
        <w:contextualSpacing w:val="0"/>
        <w:jc w:val="both"/>
        <w:rPr>
          <w:rFonts w:ascii="Verdana" w:hAnsi="Verdana"/>
          <w:sz w:val="20"/>
          <w:szCs w:val="20"/>
        </w:rPr>
      </w:pPr>
      <w:r w:rsidRPr="00C73BCF">
        <w:rPr>
          <w:rFonts w:ascii="Verdana" w:hAnsi="Verdana"/>
          <w:sz w:val="20"/>
          <w:szCs w:val="20"/>
        </w:rPr>
        <w:t xml:space="preserve">a favor de </w:t>
      </w:r>
      <w:r w:rsidR="00334B4D" w:rsidRPr="00C73BCF">
        <w:rPr>
          <w:rFonts w:ascii="Verdana" w:hAnsi="Verdana"/>
          <w:sz w:val="20"/>
          <w:szCs w:val="20"/>
        </w:rPr>
        <w:t xml:space="preserve">cada uno de los hermanos y hermanas de dichas once víctimas de desaparición forzada </w:t>
      </w:r>
      <w:r w:rsidRPr="00C73BCF">
        <w:rPr>
          <w:rFonts w:ascii="Verdana" w:hAnsi="Verdana"/>
          <w:sz w:val="20"/>
          <w:szCs w:val="20"/>
        </w:rPr>
        <w:t xml:space="preserve">la cantidad de </w:t>
      </w:r>
      <w:r w:rsidR="00334B4D" w:rsidRPr="00C73BCF">
        <w:rPr>
          <w:rFonts w:ascii="Verdana" w:hAnsi="Verdana"/>
          <w:sz w:val="20"/>
          <w:szCs w:val="20"/>
        </w:rPr>
        <w:t>US$ 40.000,00 (cuarenta mil dólares de los Estados Unidos de América).</w:t>
      </w:r>
    </w:p>
    <w:p w:rsidR="00500E9A" w:rsidRPr="00C73BCF" w:rsidRDefault="00500E9A" w:rsidP="00F07333">
      <w:pPr>
        <w:pStyle w:val="Listamedia2-nfasis4"/>
        <w:spacing w:after="0" w:line="240" w:lineRule="auto"/>
        <w:ind w:left="0"/>
        <w:contextualSpacing w:val="0"/>
        <w:jc w:val="both"/>
        <w:rPr>
          <w:rFonts w:ascii="Verdana" w:hAnsi="Verdana"/>
          <w:sz w:val="20"/>
          <w:szCs w:val="20"/>
        </w:rPr>
      </w:pPr>
    </w:p>
    <w:p w:rsidR="003110B7" w:rsidRPr="00C73BCF" w:rsidRDefault="00B60D90" w:rsidP="00497668">
      <w:pPr>
        <w:numPr>
          <w:ilvl w:val="0"/>
          <w:numId w:val="1"/>
        </w:numPr>
        <w:spacing w:after="0" w:line="240" w:lineRule="auto"/>
        <w:contextualSpacing/>
        <w:jc w:val="both"/>
        <w:outlineLvl w:val="0"/>
        <w:rPr>
          <w:rFonts w:ascii="Verdana" w:hAnsi="Verdana"/>
          <w:b/>
          <w:i/>
          <w:sz w:val="20"/>
        </w:rPr>
      </w:pPr>
      <w:r w:rsidRPr="00C73BCF">
        <w:rPr>
          <w:rFonts w:ascii="Verdana" w:hAnsi="Verdana"/>
          <w:b/>
          <w:i/>
          <w:sz w:val="20"/>
        </w:rPr>
        <w:t>E</w:t>
      </w:r>
      <w:r w:rsidR="00770FCA" w:rsidRPr="00C73BCF">
        <w:rPr>
          <w:rFonts w:ascii="Verdana" w:hAnsi="Verdana"/>
          <w:b/>
          <w:i/>
          <w:sz w:val="20"/>
        </w:rPr>
        <w:t xml:space="preserve">l pago de las indemnizaciones en el caso de víctimas y beneficiarios fallecidos </w:t>
      </w:r>
    </w:p>
    <w:p w:rsidR="003110B7" w:rsidRPr="00C73BCF" w:rsidRDefault="003110B7" w:rsidP="003110B7">
      <w:pPr>
        <w:spacing w:after="0" w:line="240" w:lineRule="auto"/>
        <w:jc w:val="both"/>
        <w:outlineLvl w:val="0"/>
        <w:rPr>
          <w:rFonts w:ascii="Verdana" w:hAnsi="Verdana"/>
          <w:sz w:val="20"/>
        </w:rPr>
      </w:pPr>
    </w:p>
    <w:p w:rsidR="003110B7" w:rsidRPr="00C73BCF" w:rsidRDefault="003110B7" w:rsidP="003110B7">
      <w:pPr>
        <w:spacing w:after="0" w:line="240" w:lineRule="auto"/>
        <w:ind w:firstLine="720"/>
        <w:jc w:val="both"/>
        <w:rPr>
          <w:rFonts w:ascii="Verdana" w:hAnsi="Verdana"/>
          <w:i/>
          <w:sz w:val="20"/>
        </w:rPr>
      </w:pPr>
      <w:r w:rsidRPr="00C73BCF">
        <w:rPr>
          <w:rFonts w:ascii="Verdana" w:hAnsi="Verdana"/>
          <w:i/>
          <w:sz w:val="20"/>
        </w:rPr>
        <w:t xml:space="preserve">B.1. Medida ordenada por la Corte </w:t>
      </w:r>
    </w:p>
    <w:p w:rsidR="003110B7" w:rsidRPr="00C73BCF" w:rsidRDefault="003110B7" w:rsidP="003110B7">
      <w:pPr>
        <w:pStyle w:val="Default"/>
        <w:rPr>
          <w:color w:val="auto"/>
          <w:sz w:val="22"/>
          <w:lang w:val="es-CR"/>
        </w:rPr>
      </w:pPr>
    </w:p>
    <w:p w:rsidR="003110B7" w:rsidRPr="00C73BCF" w:rsidRDefault="00852E6A" w:rsidP="00F71090">
      <w:pPr>
        <w:pStyle w:val="Default"/>
        <w:numPr>
          <w:ilvl w:val="0"/>
          <w:numId w:val="13"/>
        </w:numPr>
        <w:ind w:left="0" w:firstLine="0"/>
        <w:jc w:val="both"/>
        <w:rPr>
          <w:sz w:val="20"/>
          <w:szCs w:val="20"/>
          <w:lang w:val="es-CR"/>
        </w:rPr>
      </w:pPr>
      <w:r w:rsidRPr="00C73BCF">
        <w:rPr>
          <w:color w:val="auto"/>
          <w:sz w:val="20"/>
          <w:szCs w:val="20"/>
          <w:lang w:val="es-CR"/>
        </w:rPr>
        <w:t xml:space="preserve">En el punto dispositivo vigésimo sexto y en </w:t>
      </w:r>
      <w:r w:rsidR="00274B6B" w:rsidRPr="00C73BCF">
        <w:rPr>
          <w:color w:val="auto"/>
          <w:sz w:val="20"/>
          <w:szCs w:val="20"/>
          <w:lang w:val="es-CR"/>
        </w:rPr>
        <w:t>los párrafos</w:t>
      </w:r>
      <w:r w:rsidRPr="00C73BCF">
        <w:rPr>
          <w:color w:val="auto"/>
          <w:sz w:val="20"/>
          <w:szCs w:val="20"/>
          <w:lang w:val="es-CR"/>
        </w:rPr>
        <w:t xml:space="preserve"> </w:t>
      </w:r>
      <w:r w:rsidR="00274B6B" w:rsidRPr="00C73BCF">
        <w:rPr>
          <w:color w:val="auto"/>
          <w:sz w:val="20"/>
          <w:szCs w:val="20"/>
          <w:lang w:val="es-CR"/>
        </w:rPr>
        <w:t xml:space="preserve">596, 597 y </w:t>
      </w:r>
      <w:r w:rsidRPr="00C73BCF">
        <w:rPr>
          <w:color w:val="auto"/>
          <w:sz w:val="20"/>
          <w:szCs w:val="20"/>
          <w:lang w:val="es-CR"/>
        </w:rPr>
        <w:t xml:space="preserve">606 de la Sentencia </w:t>
      </w:r>
      <w:r w:rsidR="00FF4605" w:rsidRPr="00C73BCF">
        <w:rPr>
          <w:color w:val="auto"/>
          <w:sz w:val="20"/>
          <w:szCs w:val="20"/>
          <w:lang w:val="es-CR"/>
        </w:rPr>
        <w:t xml:space="preserve">se </w:t>
      </w:r>
      <w:r w:rsidR="00274B6B" w:rsidRPr="00C73BCF">
        <w:rPr>
          <w:color w:val="auto"/>
          <w:sz w:val="20"/>
          <w:szCs w:val="20"/>
          <w:lang w:val="es-CR"/>
        </w:rPr>
        <w:t>dispuso</w:t>
      </w:r>
      <w:r w:rsidR="00FF4605" w:rsidRPr="00C73BCF">
        <w:rPr>
          <w:color w:val="auto"/>
          <w:sz w:val="20"/>
          <w:szCs w:val="20"/>
          <w:lang w:val="es-CR"/>
        </w:rPr>
        <w:t xml:space="preserve"> </w:t>
      </w:r>
      <w:r w:rsidR="002F472B" w:rsidRPr="00C73BCF">
        <w:rPr>
          <w:color w:val="auto"/>
          <w:sz w:val="20"/>
          <w:szCs w:val="20"/>
          <w:lang w:val="es-CR"/>
        </w:rPr>
        <w:t xml:space="preserve">cómo se deberían realizar los pagos de </w:t>
      </w:r>
      <w:r w:rsidR="003110B7" w:rsidRPr="00C73BCF">
        <w:rPr>
          <w:color w:val="auto"/>
          <w:sz w:val="20"/>
          <w:szCs w:val="20"/>
          <w:lang w:val="es-CR"/>
        </w:rPr>
        <w:t xml:space="preserve">los montos </w:t>
      </w:r>
      <w:r w:rsidR="007762F6" w:rsidRPr="00C73BCF">
        <w:rPr>
          <w:color w:val="auto"/>
          <w:sz w:val="20"/>
          <w:szCs w:val="20"/>
          <w:lang w:val="es-CR"/>
        </w:rPr>
        <w:t xml:space="preserve">por concepto de </w:t>
      </w:r>
      <w:r w:rsidR="007F498C" w:rsidRPr="00C73BCF">
        <w:rPr>
          <w:color w:val="auto"/>
          <w:sz w:val="20"/>
          <w:szCs w:val="20"/>
          <w:lang w:val="es-CR"/>
        </w:rPr>
        <w:t xml:space="preserve">indemnización de </w:t>
      </w:r>
      <w:r w:rsidR="00274B6B" w:rsidRPr="00C73BCF">
        <w:rPr>
          <w:color w:val="auto"/>
          <w:sz w:val="20"/>
          <w:szCs w:val="20"/>
          <w:lang w:val="es-CR"/>
        </w:rPr>
        <w:t>daño material e inmaterial</w:t>
      </w:r>
      <w:r w:rsidR="007762F6" w:rsidRPr="00C73BCF">
        <w:rPr>
          <w:color w:val="auto"/>
          <w:sz w:val="20"/>
          <w:szCs w:val="20"/>
          <w:lang w:val="es-CR"/>
        </w:rPr>
        <w:t xml:space="preserve"> </w:t>
      </w:r>
      <w:r w:rsidR="003110B7" w:rsidRPr="00C73BCF">
        <w:rPr>
          <w:color w:val="auto"/>
          <w:sz w:val="20"/>
          <w:szCs w:val="20"/>
          <w:lang w:val="es-CR"/>
        </w:rPr>
        <w:t xml:space="preserve">dispuestos a favor de las once víctimas de desaparición forzada, </w:t>
      </w:r>
      <w:r w:rsidR="00274B6B" w:rsidRPr="00C73BCF">
        <w:rPr>
          <w:color w:val="auto"/>
          <w:sz w:val="20"/>
          <w:szCs w:val="20"/>
          <w:lang w:val="es-CR"/>
        </w:rPr>
        <w:t xml:space="preserve">de </w:t>
      </w:r>
      <w:r w:rsidR="003110B7" w:rsidRPr="00C73BCF">
        <w:rPr>
          <w:color w:val="auto"/>
          <w:sz w:val="20"/>
          <w:szCs w:val="20"/>
          <w:lang w:val="es-CR"/>
        </w:rPr>
        <w:t xml:space="preserve">Norma Constanza </w:t>
      </w:r>
      <w:proofErr w:type="spellStart"/>
      <w:r w:rsidR="003110B7" w:rsidRPr="00C73BCF">
        <w:rPr>
          <w:color w:val="auto"/>
          <w:sz w:val="20"/>
          <w:szCs w:val="20"/>
          <w:lang w:val="es-CR"/>
        </w:rPr>
        <w:t>Esguerra</w:t>
      </w:r>
      <w:proofErr w:type="spellEnd"/>
      <w:r w:rsidR="003110B7" w:rsidRPr="00C73BCF">
        <w:rPr>
          <w:color w:val="auto"/>
          <w:sz w:val="20"/>
          <w:szCs w:val="20"/>
          <w:lang w:val="es-CR"/>
        </w:rPr>
        <w:t xml:space="preserve"> Forero y </w:t>
      </w:r>
      <w:r w:rsidR="00274B6B" w:rsidRPr="00C73BCF">
        <w:rPr>
          <w:color w:val="auto"/>
          <w:sz w:val="20"/>
          <w:szCs w:val="20"/>
          <w:lang w:val="es-CR"/>
        </w:rPr>
        <w:t xml:space="preserve">de </w:t>
      </w:r>
      <w:r w:rsidR="003110B7" w:rsidRPr="00C73BCF">
        <w:rPr>
          <w:color w:val="auto"/>
          <w:sz w:val="20"/>
          <w:szCs w:val="20"/>
          <w:lang w:val="es-CR"/>
        </w:rPr>
        <w:t>Ana Rosa Castiblanco Torres</w:t>
      </w:r>
      <w:r w:rsidR="002F472B" w:rsidRPr="00C73BCF">
        <w:rPr>
          <w:color w:val="auto"/>
          <w:sz w:val="20"/>
          <w:szCs w:val="20"/>
          <w:lang w:val="es-CR"/>
        </w:rPr>
        <w:t>. En</w:t>
      </w:r>
      <w:r w:rsidR="002F472B" w:rsidRPr="00C73BCF">
        <w:rPr>
          <w:sz w:val="20"/>
          <w:szCs w:val="20"/>
          <w:lang w:val="es-CR"/>
        </w:rPr>
        <w:t xml:space="preserve"> el párrafo 596 de la Sentencia, la Corte fijó indemnizaciones por concepto de daño material a favor de “las cuatro víctimas de quienes ningún familiar recibió reparación por daño material”, a saber: Cristina del Pilar Guarín Cortes, Bernardo Beltrán Hernández, Luz Mary </w:t>
      </w:r>
      <w:proofErr w:type="spellStart"/>
      <w:r w:rsidR="002F472B" w:rsidRPr="00C73BCF">
        <w:rPr>
          <w:sz w:val="20"/>
          <w:szCs w:val="20"/>
          <w:lang w:val="es-CR"/>
        </w:rPr>
        <w:t>Portela</w:t>
      </w:r>
      <w:proofErr w:type="spellEnd"/>
      <w:r w:rsidR="002F472B" w:rsidRPr="00C73BCF">
        <w:rPr>
          <w:sz w:val="20"/>
          <w:szCs w:val="20"/>
          <w:lang w:val="es-CR"/>
        </w:rPr>
        <w:t xml:space="preserve"> León e Irma Franco Pineda. A su vez, en el párrafo 606 del Fallo, el Tribunal indicó que “los montos dispuestos a favor de las once víctimas de desaparición forzada, incluyendo a Carlos Horacio </w:t>
      </w:r>
      <w:proofErr w:type="spellStart"/>
      <w:r w:rsidR="002F472B" w:rsidRPr="00C73BCF">
        <w:rPr>
          <w:sz w:val="20"/>
          <w:szCs w:val="20"/>
          <w:lang w:val="es-CR"/>
        </w:rPr>
        <w:t>Urán</w:t>
      </w:r>
      <w:proofErr w:type="spellEnd"/>
      <w:r w:rsidR="002F472B" w:rsidRPr="00C73BCF">
        <w:rPr>
          <w:sz w:val="20"/>
          <w:szCs w:val="20"/>
          <w:lang w:val="es-CR"/>
        </w:rPr>
        <w:t xml:space="preserve"> Rojas, de Norma Constanza </w:t>
      </w:r>
      <w:proofErr w:type="spellStart"/>
      <w:r w:rsidR="002F472B" w:rsidRPr="00C73BCF">
        <w:rPr>
          <w:sz w:val="20"/>
          <w:szCs w:val="20"/>
          <w:lang w:val="es-CR"/>
        </w:rPr>
        <w:t>Esguerra</w:t>
      </w:r>
      <w:proofErr w:type="spellEnd"/>
      <w:r w:rsidR="002F472B" w:rsidRPr="00C73BCF">
        <w:rPr>
          <w:sz w:val="20"/>
          <w:szCs w:val="20"/>
          <w:lang w:val="es-CR"/>
        </w:rPr>
        <w:t xml:space="preserve"> Forero y de Ana Rosa Castiblanco Torres deberán ser liquidadas de acuerdo con los criterios señalados en el párrafo 597 de la Sentencia”. </w:t>
      </w:r>
      <w:r w:rsidR="009A0E4A" w:rsidRPr="00C73BCF">
        <w:rPr>
          <w:color w:val="auto"/>
          <w:sz w:val="20"/>
          <w:szCs w:val="20"/>
          <w:lang w:val="es-CR"/>
        </w:rPr>
        <w:t>Este último párrafo</w:t>
      </w:r>
      <w:r w:rsidR="007F498C" w:rsidRPr="00C73BCF">
        <w:rPr>
          <w:color w:val="auto"/>
          <w:sz w:val="20"/>
          <w:szCs w:val="20"/>
          <w:lang w:val="es-CR"/>
        </w:rPr>
        <w:t xml:space="preserve"> establece los siguientes criterios</w:t>
      </w:r>
      <w:r w:rsidR="009A0E4A" w:rsidRPr="00C73BCF">
        <w:rPr>
          <w:color w:val="auto"/>
          <w:sz w:val="20"/>
          <w:szCs w:val="20"/>
          <w:lang w:val="es-CR"/>
        </w:rPr>
        <w:t>:</w:t>
      </w:r>
    </w:p>
    <w:p w:rsidR="002F472B" w:rsidRPr="00C73BCF" w:rsidRDefault="002F472B" w:rsidP="002F472B">
      <w:pPr>
        <w:pStyle w:val="Textonotapie"/>
        <w:tabs>
          <w:tab w:val="left" w:pos="360"/>
          <w:tab w:val="left" w:pos="540"/>
        </w:tabs>
      </w:pPr>
    </w:p>
    <w:p w:rsidR="006B4DED" w:rsidRPr="00C73BCF" w:rsidRDefault="006B4DED" w:rsidP="00274B6B">
      <w:pPr>
        <w:spacing w:after="0" w:line="240" w:lineRule="auto"/>
        <w:ind w:left="720" w:right="720"/>
        <w:jc w:val="both"/>
        <w:rPr>
          <w:rFonts w:ascii="Verdana" w:hAnsi="Verdana"/>
          <w:sz w:val="16"/>
          <w:szCs w:val="20"/>
        </w:rPr>
      </w:pPr>
      <w:r w:rsidRPr="00C73BCF">
        <w:rPr>
          <w:rFonts w:ascii="Verdana" w:hAnsi="Verdana"/>
          <w:sz w:val="16"/>
          <w:szCs w:val="20"/>
        </w:rPr>
        <w:t>a) el cincuenta por ciento (50%) de la indemnización correspondiente a cada víctima se repartirá, por partes iguales, entre los hijos de ésta. Si uno o varios de los hijos hubieren fallecido ya, la parte que le o les corresponda acrecerá a las de los demás hijos de la misma víctima;</w:t>
      </w:r>
    </w:p>
    <w:p w:rsidR="006B4DED" w:rsidRPr="00C73BCF" w:rsidRDefault="006B4DED" w:rsidP="00274B6B">
      <w:pPr>
        <w:spacing w:after="0" w:line="240" w:lineRule="auto"/>
        <w:ind w:left="720" w:right="720"/>
        <w:jc w:val="both"/>
        <w:rPr>
          <w:rFonts w:ascii="Verdana" w:hAnsi="Verdana"/>
          <w:sz w:val="16"/>
          <w:szCs w:val="20"/>
        </w:rPr>
      </w:pPr>
      <w:r w:rsidRPr="00C73BCF">
        <w:rPr>
          <w:rFonts w:ascii="Verdana" w:hAnsi="Verdana"/>
          <w:sz w:val="16"/>
          <w:szCs w:val="20"/>
        </w:rPr>
        <w:lastRenderedPageBreak/>
        <w:t>b) el otro cincuenta por ciento (50%) de la indemnización deberá ser entregado a quien fuera cónyuge, compañero o compañera permanente de la víctima, al inicio de la desaparición o al momento de la muerte de ésta, según corresponda;</w:t>
      </w:r>
    </w:p>
    <w:p w:rsidR="006B4DED" w:rsidRPr="00C73BCF" w:rsidRDefault="006B4DED" w:rsidP="00274B6B">
      <w:pPr>
        <w:spacing w:after="0" w:line="240" w:lineRule="auto"/>
        <w:ind w:left="720" w:right="720"/>
        <w:jc w:val="both"/>
        <w:rPr>
          <w:rFonts w:ascii="Verdana" w:hAnsi="Verdana"/>
          <w:sz w:val="16"/>
          <w:szCs w:val="20"/>
        </w:rPr>
      </w:pPr>
      <w:r w:rsidRPr="00C73BCF">
        <w:rPr>
          <w:rFonts w:ascii="Verdana" w:hAnsi="Verdana"/>
          <w:sz w:val="16"/>
          <w:szCs w:val="20"/>
        </w:rPr>
        <w:t>c) en el evento de que la víctima no tuviese hijos o cónyuge, compañero o compañera permanente, lo que hubiere correspondido a los familiares ubicados en esa categoría acrecerá a la parte que le corresponda a la otra categoría;</w:t>
      </w:r>
    </w:p>
    <w:p w:rsidR="006B4DED" w:rsidRPr="00C73BCF" w:rsidRDefault="006B4DED" w:rsidP="00274B6B">
      <w:pPr>
        <w:spacing w:after="0" w:line="240" w:lineRule="auto"/>
        <w:ind w:left="720" w:right="720"/>
        <w:jc w:val="both"/>
        <w:rPr>
          <w:rFonts w:ascii="Verdana" w:hAnsi="Verdana"/>
          <w:sz w:val="16"/>
          <w:szCs w:val="20"/>
        </w:rPr>
      </w:pPr>
      <w:r w:rsidRPr="00C73BCF">
        <w:rPr>
          <w:rFonts w:ascii="Verdana" w:hAnsi="Verdana"/>
          <w:sz w:val="16"/>
          <w:szCs w:val="20"/>
        </w:rPr>
        <w:t>d) en el caso de que la víctima no tuviere hijos ni cónyuge ni compañero o compañera permanente, la indemnización del daño material será entregado a sus padres o, en su defecto, a sus hermanos en partes iguales, y</w:t>
      </w:r>
    </w:p>
    <w:p w:rsidR="006B4DED" w:rsidRPr="00C73BCF" w:rsidRDefault="006B4DED" w:rsidP="00274B6B">
      <w:pPr>
        <w:pStyle w:val="Default"/>
        <w:ind w:left="720" w:right="720"/>
        <w:jc w:val="both"/>
        <w:rPr>
          <w:sz w:val="18"/>
          <w:szCs w:val="20"/>
          <w:lang w:val="es-CR"/>
        </w:rPr>
      </w:pPr>
      <w:r w:rsidRPr="00C73BCF">
        <w:rPr>
          <w:sz w:val="16"/>
          <w:szCs w:val="20"/>
          <w:lang w:val="es-CR"/>
        </w:rPr>
        <w:t>e) en el evento de que la víctima no hubiera tenido ni hijos, ni cónyuge, compañera o compañero, ni padres, ni hermanos, la indemnización deberá ser pagada a los herederos de acuerdo con el derecho sucesorio interno.</w:t>
      </w:r>
    </w:p>
    <w:p w:rsidR="006B4DED" w:rsidRPr="00C73BCF" w:rsidRDefault="006B4DED" w:rsidP="006B4DED">
      <w:pPr>
        <w:pStyle w:val="Default"/>
        <w:jc w:val="both"/>
        <w:rPr>
          <w:sz w:val="20"/>
          <w:szCs w:val="20"/>
          <w:lang w:val="es-CR"/>
        </w:rPr>
      </w:pPr>
    </w:p>
    <w:p w:rsidR="00094026" w:rsidRPr="00C73BCF" w:rsidRDefault="00094026" w:rsidP="00F71090">
      <w:pPr>
        <w:pStyle w:val="Default"/>
        <w:numPr>
          <w:ilvl w:val="0"/>
          <w:numId w:val="13"/>
        </w:numPr>
        <w:ind w:left="0" w:firstLine="0"/>
        <w:jc w:val="both"/>
        <w:rPr>
          <w:sz w:val="20"/>
          <w:szCs w:val="20"/>
          <w:lang w:val="es-CR"/>
        </w:rPr>
      </w:pPr>
      <w:r w:rsidRPr="00C73BCF">
        <w:rPr>
          <w:sz w:val="20"/>
          <w:szCs w:val="20"/>
          <w:lang w:val="es-CR"/>
        </w:rPr>
        <w:t xml:space="preserve">Por otra parte, </w:t>
      </w:r>
      <w:r w:rsidR="00170D34" w:rsidRPr="00C73BCF">
        <w:rPr>
          <w:sz w:val="20"/>
          <w:szCs w:val="20"/>
          <w:lang w:val="es-CR"/>
        </w:rPr>
        <w:t xml:space="preserve">en el párrafo 610 de la Sentencia se </w:t>
      </w:r>
      <w:r w:rsidR="00274B6B" w:rsidRPr="00C73BCF">
        <w:rPr>
          <w:sz w:val="20"/>
          <w:szCs w:val="20"/>
          <w:lang w:val="es-CR"/>
        </w:rPr>
        <w:t>dispuso</w:t>
      </w:r>
      <w:r w:rsidR="00170D34" w:rsidRPr="00C73BCF">
        <w:rPr>
          <w:sz w:val="20"/>
          <w:szCs w:val="20"/>
          <w:lang w:val="es-CR"/>
        </w:rPr>
        <w:t xml:space="preserve"> lo relativo a </w:t>
      </w:r>
      <w:r w:rsidR="00C01E44" w:rsidRPr="00C73BCF">
        <w:rPr>
          <w:sz w:val="20"/>
          <w:szCs w:val="20"/>
          <w:lang w:val="es-CR"/>
        </w:rPr>
        <w:t xml:space="preserve">cómo </w:t>
      </w:r>
      <w:r w:rsidR="00A266A9" w:rsidRPr="00C73BCF">
        <w:rPr>
          <w:sz w:val="20"/>
          <w:szCs w:val="20"/>
          <w:lang w:val="es-CR"/>
        </w:rPr>
        <w:t xml:space="preserve">el Estado debe </w:t>
      </w:r>
      <w:r w:rsidR="00C01E44" w:rsidRPr="00C73BCF">
        <w:rPr>
          <w:sz w:val="20"/>
          <w:szCs w:val="20"/>
          <w:lang w:val="es-CR"/>
        </w:rPr>
        <w:t xml:space="preserve">realizar los pagos respecto de las </w:t>
      </w:r>
      <w:r w:rsidR="00170D34" w:rsidRPr="00C73BCF">
        <w:rPr>
          <w:sz w:val="20"/>
          <w:szCs w:val="20"/>
          <w:lang w:val="es-CR"/>
        </w:rPr>
        <w:t xml:space="preserve">demás </w:t>
      </w:r>
      <w:r w:rsidR="00C01E44" w:rsidRPr="00C73BCF">
        <w:rPr>
          <w:sz w:val="20"/>
          <w:szCs w:val="20"/>
          <w:lang w:val="es-CR"/>
        </w:rPr>
        <w:t xml:space="preserve">personas beneficiarias que </w:t>
      </w:r>
      <w:r w:rsidR="00F27E17" w:rsidRPr="00C73BCF">
        <w:rPr>
          <w:sz w:val="20"/>
          <w:szCs w:val="20"/>
          <w:lang w:val="es-CR"/>
        </w:rPr>
        <w:t xml:space="preserve">hubieran fallecido o </w:t>
      </w:r>
      <w:r w:rsidR="00C01E44" w:rsidRPr="00C73BCF">
        <w:rPr>
          <w:sz w:val="20"/>
          <w:szCs w:val="20"/>
          <w:lang w:val="es-CR"/>
        </w:rPr>
        <w:t>fallecieran antes de recibir la indemnización correspondiente, señalando</w:t>
      </w:r>
      <w:r w:rsidRPr="00C73BCF">
        <w:rPr>
          <w:sz w:val="20"/>
          <w:szCs w:val="20"/>
          <w:lang w:val="es-CR"/>
        </w:rPr>
        <w:t xml:space="preserve"> que: </w:t>
      </w:r>
    </w:p>
    <w:p w:rsidR="00094026" w:rsidRPr="00C73BCF" w:rsidRDefault="00094026" w:rsidP="00094026">
      <w:pPr>
        <w:pStyle w:val="Listamedia2-nfasis4"/>
        <w:spacing w:after="0" w:line="240" w:lineRule="auto"/>
        <w:ind w:left="0"/>
        <w:jc w:val="both"/>
        <w:rPr>
          <w:rFonts w:ascii="Verdana" w:hAnsi="Verdana"/>
          <w:sz w:val="20"/>
          <w:szCs w:val="20"/>
        </w:rPr>
      </w:pPr>
    </w:p>
    <w:p w:rsidR="00C01E44" w:rsidRPr="00C73BCF" w:rsidRDefault="00C01E44" w:rsidP="00274B6B">
      <w:pPr>
        <w:pStyle w:val="Listamedia2-nfasis4"/>
        <w:spacing w:after="0" w:line="240" w:lineRule="auto"/>
        <w:ind w:right="720"/>
        <w:jc w:val="both"/>
        <w:rPr>
          <w:rFonts w:ascii="Verdana" w:hAnsi="Verdana"/>
          <w:sz w:val="16"/>
          <w:szCs w:val="20"/>
        </w:rPr>
      </w:pPr>
      <w:r w:rsidRPr="00C73BCF">
        <w:rPr>
          <w:rFonts w:ascii="Verdana" w:hAnsi="Verdana"/>
          <w:sz w:val="16"/>
          <w:szCs w:val="20"/>
        </w:rPr>
        <w:t>610. En caso de que los beneficiarios (distintos a las víctimas de desaparición forzada, Carlos Horacio Urán Rojas, Norma Constanza Esguerra Forero y Ana Rosa Castiblanco Torres), hayan fallecido o fallezcan antes de que les sea entregada la indemnización respectiva, ésta se efectuará directamente a sus derechohabientes, conforme al derecho interno aplicable.</w:t>
      </w:r>
      <w:r w:rsidR="001D12D6" w:rsidRPr="00C73BCF">
        <w:rPr>
          <w:rFonts w:ascii="Verdana" w:hAnsi="Verdana"/>
          <w:sz w:val="16"/>
          <w:szCs w:val="20"/>
        </w:rPr>
        <w:t xml:space="preserve"> […]</w:t>
      </w:r>
      <w:r w:rsidRPr="00C73BCF">
        <w:rPr>
          <w:rFonts w:ascii="Verdana" w:hAnsi="Verdana"/>
          <w:sz w:val="16"/>
          <w:szCs w:val="20"/>
        </w:rPr>
        <w:t xml:space="preserve"> </w:t>
      </w:r>
    </w:p>
    <w:p w:rsidR="006F75CC" w:rsidRPr="00C73BCF" w:rsidRDefault="006F75CC" w:rsidP="00094026">
      <w:pPr>
        <w:pStyle w:val="Listamedia2-nfasis4"/>
        <w:spacing w:after="0" w:line="240" w:lineRule="auto"/>
        <w:ind w:left="0"/>
        <w:jc w:val="both"/>
        <w:rPr>
          <w:rFonts w:ascii="Verdana" w:hAnsi="Verdana"/>
          <w:sz w:val="20"/>
        </w:rPr>
      </w:pPr>
    </w:p>
    <w:p w:rsidR="00117E4A" w:rsidRPr="00C73BCF" w:rsidRDefault="00117E4A" w:rsidP="00327E23">
      <w:pPr>
        <w:pStyle w:val="Listamedia2-nfasis4"/>
        <w:spacing w:after="0" w:line="240" w:lineRule="auto"/>
        <w:contextualSpacing w:val="0"/>
        <w:jc w:val="both"/>
        <w:rPr>
          <w:rFonts w:ascii="Verdana" w:hAnsi="Verdana"/>
          <w:i/>
          <w:sz w:val="20"/>
        </w:rPr>
      </w:pPr>
      <w:r w:rsidRPr="00C73BCF">
        <w:rPr>
          <w:rFonts w:ascii="Verdana" w:hAnsi="Verdana"/>
          <w:i/>
          <w:sz w:val="20"/>
        </w:rPr>
        <w:t xml:space="preserve">B.2. Planteamientos de las partes </w:t>
      </w:r>
    </w:p>
    <w:p w:rsidR="00117E4A" w:rsidRPr="00C73BCF" w:rsidRDefault="00117E4A" w:rsidP="00DE6D5D">
      <w:pPr>
        <w:pStyle w:val="Listamedia2-nfasis4"/>
        <w:spacing w:after="0" w:line="240" w:lineRule="auto"/>
        <w:ind w:left="0"/>
        <w:contextualSpacing w:val="0"/>
        <w:jc w:val="both"/>
        <w:rPr>
          <w:rFonts w:ascii="Verdana" w:hAnsi="Verdana"/>
          <w:sz w:val="20"/>
        </w:rPr>
      </w:pPr>
    </w:p>
    <w:p w:rsidR="00A0582D" w:rsidRPr="00C73BCF" w:rsidRDefault="00A0582D" w:rsidP="00C0657A">
      <w:pPr>
        <w:numPr>
          <w:ilvl w:val="0"/>
          <w:numId w:val="13"/>
        </w:numPr>
        <w:spacing w:after="0" w:line="240" w:lineRule="auto"/>
        <w:ind w:left="0" w:firstLine="0"/>
        <w:jc w:val="both"/>
        <w:rPr>
          <w:rFonts w:ascii="Verdana" w:hAnsi="Verdana"/>
          <w:sz w:val="20"/>
        </w:rPr>
      </w:pPr>
      <w:r w:rsidRPr="00C73BCF">
        <w:rPr>
          <w:rFonts w:ascii="Verdana" w:hAnsi="Verdana"/>
          <w:sz w:val="20"/>
        </w:rPr>
        <w:t>Mediante escrito</w:t>
      </w:r>
      <w:r w:rsidR="00532075" w:rsidRPr="00C73BCF">
        <w:rPr>
          <w:rFonts w:ascii="Verdana" w:hAnsi="Verdana"/>
          <w:sz w:val="20"/>
        </w:rPr>
        <w:t>s</w:t>
      </w:r>
      <w:r w:rsidRPr="00C73BCF">
        <w:rPr>
          <w:rFonts w:ascii="Verdana" w:hAnsi="Verdana"/>
          <w:sz w:val="20"/>
        </w:rPr>
        <w:t xml:space="preserve"> de </w:t>
      </w:r>
      <w:r w:rsidR="00532075" w:rsidRPr="00C73BCF">
        <w:rPr>
          <w:rFonts w:ascii="Verdana" w:hAnsi="Verdana"/>
          <w:sz w:val="20"/>
        </w:rPr>
        <w:t xml:space="preserve">13 de septiembre, 1 y </w:t>
      </w:r>
      <w:r w:rsidRPr="00C73BCF">
        <w:rPr>
          <w:rFonts w:ascii="Verdana" w:hAnsi="Verdana"/>
          <w:sz w:val="20"/>
        </w:rPr>
        <w:t xml:space="preserve">8 de diciembre de 2016, los </w:t>
      </w:r>
      <w:r w:rsidRPr="00C73BCF">
        <w:rPr>
          <w:rFonts w:ascii="Verdana" w:hAnsi="Verdana"/>
          <w:i/>
          <w:sz w:val="20"/>
        </w:rPr>
        <w:t>representantes de las víctimas</w:t>
      </w:r>
      <w:r w:rsidRPr="00C73BCF">
        <w:rPr>
          <w:rFonts w:ascii="Verdana" w:hAnsi="Verdana"/>
          <w:sz w:val="20"/>
        </w:rPr>
        <w:t xml:space="preserve"> solicitaron “un pronunciamiento” de la Corte con respecto a los requerimientos que está exigiendo el Estado para determinar a quiénes entregar los montos ordenados en la Sentencia a favor de las víctimas de desaparición forzada y violación del derecho a la vida, así como a quiénes entregar lo correspondiente a diecisiete de los beneficiarios de la Sentencia que “ya fallecieron”. Señalaron que no están conformes con lo indicado por el Ministerio de Defensa en las resoluciones de pago, ya que </w:t>
      </w:r>
      <w:r w:rsidR="00DE6D5D" w:rsidRPr="00C73BCF">
        <w:rPr>
          <w:rFonts w:ascii="Verdana" w:hAnsi="Verdana"/>
          <w:sz w:val="20"/>
        </w:rPr>
        <w:t>estas</w:t>
      </w:r>
      <w:r w:rsidRPr="00C73BCF">
        <w:rPr>
          <w:rFonts w:ascii="Verdana" w:hAnsi="Verdana"/>
          <w:sz w:val="20"/>
        </w:rPr>
        <w:t xml:space="preserve"> “no corresponden a lo ordenado por la Corte” en tanto se les está requiriendo que aporten “las escrituras de sucesión o las sentencias de sucesión ejecutoriadas respecto de los familiares fallecidos”. Los </w:t>
      </w:r>
      <w:r w:rsidRPr="00C73BCF">
        <w:rPr>
          <w:rFonts w:ascii="Verdana" w:hAnsi="Verdana"/>
          <w:i/>
          <w:sz w:val="20"/>
        </w:rPr>
        <w:t>representantes</w:t>
      </w:r>
      <w:r w:rsidRPr="00C73BCF">
        <w:rPr>
          <w:rFonts w:ascii="Verdana" w:hAnsi="Verdana"/>
          <w:sz w:val="20"/>
        </w:rPr>
        <w:t xml:space="preserve"> sostienen que esto “implica mayores gastos para las víctimas, que tendrán que adelantar un proceso civil o notarial”</w:t>
      </w:r>
      <w:r w:rsidR="004322BB" w:rsidRPr="00C73BCF">
        <w:rPr>
          <w:rFonts w:ascii="Verdana" w:hAnsi="Verdana"/>
          <w:sz w:val="20"/>
        </w:rPr>
        <w:t xml:space="preserve"> y además no es un trámite “expedito y eficaz”</w:t>
      </w:r>
      <w:r w:rsidRPr="00C73BCF">
        <w:rPr>
          <w:rFonts w:ascii="Verdana" w:hAnsi="Verdana"/>
          <w:sz w:val="20"/>
        </w:rPr>
        <w:t xml:space="preserve">. </w:t>
      </w:r>
      <w:r w:rsidR="00B60D90" w:rsidRPr="00C73BCF">
        <w:rPr>
          <w:rFonts w:ascii="Verdana" w:hAnsi="Verdana"/>
          <w:sz w:val="20"/>
        </w:rPr>
        <w:t xml:space="preserve">También argumentan </w:t>
      </w:r>
      <w:r w:rsidRPr="00C73BCF">
        <w:rPr>
          <w:rFonts w:ascii="Verdana" w:hAnsi="Verdana"/>
          <w:sz w:val="20"/>
        </w:rPr>
        <w:t xml:space="preserve">que </w:t>
      </w:r>
      <w:r w:rsidR="00B60D90" w:rsidRPr="00C73BCF">
        <w:rPr>
          <w:rFonts w:ascii="Verdana" w:hAnsi="Verdana"/>
          <w:sz w:val="20"/>
        </w:rPr>
        <w:t>“</w:t>
      </w:r>
      <w:r w:rsidRPr="00C73BCF">
        <w:rPr>
          <w:rFonts w:ascii="Verdana" w:hAnsi="Verdana"/>
          <w:sz w:val="20"/>
        </w:rPr>
        <w:t xml:space="preserve">el universo de víctimas beneficiarias de las medidas de reparación fue detallado en el párrafo 539 de la Sentencia [y] que la forma de asignación de las indemnizaciones compensatorias ordenadas a favor de las víctimas directas está claramente descrita en el párrafo 597 de la Sentencia, sin que haya lugar a un procedimiento judicial de determinación de este orden de asignación a nivel interno”. </w:t>
      </w:r>
    </w:p>
    <w:p w:rsidR="00A0582D" w:rsidRPr="00C73BCF" w:rsidRDefault="00A0582D" w:rsidP="00A0582D">
      <w:pPr>
        <w:spacing w:after="0" w:line="240" w:lineRule="auto"/>
        <w:jc w:val="both"/>
        <w:rPr>
          <w:rFonts w:ascii="Verdana" w:hAnsi="Verdana"/>
          <w:sz w:val="20"/>
        </w:rPr>
      </w:pPr>
    </w:p>
    <w:p w:rsidR="0086698F" w:rsidRPr="00C73BCF" w:rsidRDefault="003110B7" w:rsidP="00C0657A">
      <w:pPr>
        <w:numPr>
          <w:ilvl w:val="0"/>
          <w:numId w:val="13"/>
        </w:numPr>
        <w:spacing w:after="0" w:line="240" w:lineRule="auto"/>
        <w:ind w:left="0" w:firstLine="0"/>
        <w:jc w:val="both"/>
        <w:rPr>
          <w:rFonts w:ascii="Verdana" w:hAnsi="Verdana"/>
          <w:sz w:val="20"/>
        </w:rPr>
      </w:pPr>
      <w:r w:rsidRPr="00C73BCF">
        <w:rPr>
          <w:rFonts w:ascii="Verdana" w:hAnsi="Verdana"/>
          <w:sz w:val="20"/>
        </w:rPr>
        <w:t xml:space="preserve">El </w:t>
      </w:r>
      <w:r w:rsidRPr="00C73BCF">
        <w:rPr>
          <w:rFonts w:ascii="Verdana" w:hAnsi="Verdana"/>
          <w:i/>
          <w:sz w:val="20"/>
        </w:rPr>
        <w:t>Estado</w:t>
      </w:r>
      <w:r w:rsidR="007B2207" w:rsidRPr="00C73BCF">
        <w:rPr>
          <w:rFonts w:ascii="Verdana" w:hAnsi="Verdana"/>
          <w:sz w:val="20"/>
        </w:rPr>
        <w:t>,</w:t>
      </w:r>
      <w:r w:rsidRPr="00C73BCF">
        <w:rPr>
          <w:rFonts w:ascii="Verdana" w:hAnsi="Verdana"/>
          <w:sz w:val="20"/>
        </w:rPr>
        <w:t xml:space="preserve"> en su escrito de 12 de enero de 2017</w:t>
      </w:r>
      <w:r w:rsidR="007B2207" w:rsidRPr="00C73BCF">
        <w:rPr>
          <w:rFonts w:ascii="Verdana" w:hAnsi="Verdana"/>
          <w:sz w:val="20"/>
        </w:rPr>
        <w:t>,</w:t>
      </w:r>
      <w:r w:rsidRPr="00C73BCF">
        <w:rPr>
          <w:rFonts w:ascii="Verdana" w:hAnsi="Verdana"/>
          <w:sz w:val="20"/>
        </w:rPr>
        <w:t xml:space="preserve"> </w:t>
      </w:r>
      <w:r w:rsidR="003A3655" w:rsidRPr="00C73BCF">
        <w:rPr>
          <w:rFonts w:ascii="Verdana" w:hAnsi="Verdana"/>
          <w:sz w:val="20"/>
        </w:rPr>
        <w:t xml:space="preserve">indicó </w:t>
      </w:r>
      <w:r w:rsidRPr="00C73BCF">
        <w:rPr>
          <w:rFonts w:ascii="Verdana" w:hAnsi="Verdana"/>
          <w:sz w:val="20"/>
        </w:rPr>
        <w:t xml:space="preserve">que </w:t>
      </w:r>
      <w:r w:rsidR="00DE6D5D" w:rsidRPr="00C73BCF">
        <w:rPr>
          <w:rFonts w:ascii="Verdana" w:hAnsi="Verdana"/>
          <w:sz w:val="20"/>
        </w:rPr>
        <w:t xml:space="preserve">procedió a “poner en conocimiento […] los argumentos esgrimidos por el Ministerio de Defensa Nacional y las acciones llevadas a cabo por dicha cartera ministerial, como entidad encargada de ejecutar los pagos por concepto de las indemnizaciones”. Al respecto, indicó que </w:t>
      </w:r>
      <w:r w:rsidR="00564B1E" w:rsidRPr="00C73BCF">
        <w:rPr>
          <w:rFonts w:ascii="Verdana" w:hAnsi="Verdana"/>
          <w:sz w:val="20"/>
        </w:rPr>
        <w:t>si se realizan los pagos de indemnizaciones a favor</w:t>
      </w:r>
      <w:r w:rsidR="00564B1E" w:rsidRPr="00C73BCF" w:rsidDel="004F1D46">
        <w:rPr>
          <w:rFonts w:ascii="Verdana" w:hAnsi="Verdana"/>
          <w:sz w:val="20"/>
        </w:rPr>
        <w:t xml:space="preserve"> </w:t>
      </w:r>
      <w:r w:rsidR="004F1D46" w:rsidRPr="00C73BCF">
        <w:rPr>
          <w:rFonts w:ascii="Verdana" w:hAnsi="Verdana"/>
          <w:sz w:val="20"/>
        </w:rPr>
        <w:t>de las once víctimas de desaparición forzada</w:t>
      </w:r>
      <w:r w:rsidR="001F42E4" w:rsidRPr="00C73BCF">
        <w:rPr>
          <w:rFonts w:ascii="Verdana" w:hAnsi="Verdana"/>
          <w:sz w:val="20"/>
        </w:rPr>
        <w:t xml:space="preserve"> y las víctimas de violación del deber de garantía del derecho a la vida</w:t>
      </w:r>
      <w:r w:rsidR="004F1D46" w:rsidRPr="00C73BCF">
        <w:rPr>
          <w:rFonts w:ascii="Verdana" w:hAnsi="Verdana"/>
          <w:sz w:val="20"/>
        </w:rPr>
        <w:t xml:space="preserve"> conforme a los criterios de distribución establecidos en el párrafo 597 de la Sentencia (</w:t>
      </w:r>
      <w:r w:rsidR="004F1D46" w:rsidRPr="00C73BCF">
        <w:rPr>
          <w:rFonts w:ascii="Verdana" w:hAnsi="Verdana"/>
          <w:i/>
          <w:sz w:val="20"/>
        </w:rPr>
        <w:t xml:space="preserve">supra </w:t>
      </w:r>
      <w:r w:rsidR="004F1D46" w:rsidRPr="00C73BCF">
        <w:rPr>
          <w:rFonts w:ascii="Verdana" w:hAnsi="Verdana"/>
          <w:sz w:val="20"/>
        </w:rPr>
        <w:t>Considerando 14), “surge una dificultad frente a determinar con precisión”</w:t>
      </w:r>
      <w:r w:rsidR="001F42E4" w:rsidRPr="00C73BCF">
        <w:rPr>
          <w:rFonts w:ascii="Verdana" w:hAnsi="Verdana"/>
          <w:sz w:val="20"/>
        </w:rPr>
        <w:t xml:space="preserve"> quiénes son</w:t>
      </w:r>
      <w:r w:rsidR="004F1D46" w:rsidRPr="00C73BCF">
        <w:rPr>
          <w:rFonts w:ascii="Verdana" w:hAnsi="Verdana"/>
          <w:sz w:val="20"/>
        </w:rPr>
        <w:t xml:space="preserve"> los familiares </w:t>
      </w:r>
      <w:r w:rsidR="001F42E4" w:rsidRPr="00C73BCF">
        <w:rPr>
          <w:rFonts w:ascii="Verdana" w:hAnsi="Verdana"/>
          <w:sz w:val="20"/>
        </w:rPr>
        <w:t xml:space="preserve">de las referidas trece víctimas </w:t>
      </w:r>
      <w:r w:rsidR="004F1D46" w:rsidRPr="00C73BCF">
        <w:rPr>
          <w:rFonts w:ascii="Verdana" w:hAnsi="Verdana"/>
          <w:sz w:val="20"/>
        </w:rPr>
        <w:t xml:space="preserve">a quienes se deben distribuir los referidos pagos. </w:t>
      </w:r>
      <w:r w:rsidR="001F42E4" w:rsidRPr="00C73BCF">
        <w:rPr>
          <w:rFonts w:ascii="Verdana" w:hAnsi="Verdana"/>
          <w:sz w:val="20"/>
        </w:rPr>
        <w:t xml:space="preserve">Indica </w:t>
      </w:r>
      <w:r w:rsidR="004F1D46" w:rsidRPr="00C73BCF">
        <w:rPr>
          <w:rFonts w:ascii="Verdana" w:hAnsi="Verdana"/>
          <w:sz w:val="20"/>
        </w:rPr>
        <w:t xml:space="preserve">que “es previsible que no todos y cada uno de </w:t>
      </w:r>
      <w:r w:rsidR="00AD6863" w:rsidRPr="00C73BCF">
        <w:rPr>
          <w:rFonts w:ascii="Verdana" w:hAnsi="Verdana"/>
          <w:sz w:val="20"/>
        </w:rPr>
        <w:t>[</w:t>
      </w:r>
      <w:r w:rsidR="001F42E4" w:rsidRPr="00C73BCF">
        <w:rPr>
          <w:rFonts w:ascii="Verdana" w:hAnsi="Verdana"/>
          <w:sz w:val="20"/>
        </w:rPr>
        <w:t>dichos</w:t>
      </w:r>
      <w:r w:rsidR="004F1D46" w:rsidRPr="00C73BCF">
        <w:rPr>
          <w:rFonts w:ascii="Verdana" w:hAnsi="Verdana"/>
          <w:sz w:val="20"/>
        </w:rPr>
        <w:t xml:space="preserve"> familiares] hubiesen concurrido ante [la Corte, de manera que] puede ocurrir […] que con posterioridad pretendan pagos” en razón de la Sentencia. Adicionalmente, el </w:t>
      </w:r>
      <w:r w:rsidR="004F1D46" w:rsidRPr="00C73BCF">
        <w:rPr>
          <w:rFonts w:ascii="Verdana" w:hAnsi="Verdana"/>
          <w:i/>
          <w:sz w:val="20"/>
        </w:rPr>
        <w:t>Estado</w:t>
      </w:r>
      <w:r w:rsidR="004F1D46" w:rsidRPr="00C73BCF">
        <w:rPr>
          <w:rFonts w:ascii="Verdana" w:hAnsi="Verdana"/>
          <w:sz w:val="20"/>
        </w:rPr>
        <w:t xml:space="preserve"> señaló que en el referido párrafo 597 no se indica si los familiares </w:t>
      </w:r>
      <w:r w:rsidR="001F42E4" w:rsidRPr="00C73BCF">
        <w:rPr>
          <w:rFonts w:ascii="Verdana" w:hAnsi="Verdana"/>
          <w:sz w:val="20"/>
        </w:rPr>
        <w:t>de las trece víctimas a la</w:t>
      </w:r>
      <w:r w:rsidR="004F1D46" w:rsidRPr="00C73BCF">
        <w:rPr>
          <w:rFonts w:ascii="Verdana" w:hAnsi="Verdana"/>
          <w:sz w:val="20"/>
        </w:rPr>
        <w:t xml:space="preserve">s que se debe realizar la distribución de las indemnizaciones </w:t>
      </w:r>
      <w:r w:rsidR="001F42E4" w:rsidRPr="00C73BCF">
        <w:rPr>
          <w:rFonts w:ascii="Verdana" w:hAnsi="Verdana"/>
          <w:sz w:val="20"/>
        </w:rPr>
        <w:t xml:space="preserve">según los criterios ahí establecidos, </w:t>
      </w:r>
      <w:r w:rsidR="00EF6887" w:rsidRPr="00C73BCF">
        <w:rPr>
          <w:rFonts w:ascii="Verdana" w:hAnsi="Verdana"/>
          <w:sz w:val="20"/>
        </w:rPr>
        <w:t>son los indicados</w:t>
      </w:r>
      <w:r w:rsidR="004F1D46" w:rsidRPr="00C73BCF">
        <w:rPr>
          <w:rFonts w:ascii="Verdana" w:hAnsi="Verdana"/>
          <w:sz w:val="20"/>
        </w:rPr>
        <w:t xml:space="preserve"> en el párrafo 539 de </w:t>
      </w:r>
      <w:r w:rsidR="004F1D46" w:rsidRPr="00C73BCF">
        <w:rPr>
          <w:rFonts w:ascii="Verdana" w:hAnsi="Verdana"/>
          <w:sz w:val="20"/>
        </w:rPr>
        <w:lastRenderedPageBreak/>
        <w:t>la Sentencia</w:t>
      </w:r>
      <w:r w:rsidR="00DE6D5D" w:rsidRPr="00C73BCF">
        <w:rPr>
          <w:rStyle w:val="Refdenotaalpie"/>
          <w:rFonts w:ascii="Verdana" w:hAnsi="Verdana"/>
          <w:sz w:val="20"/>
        </w:rPr>
        <w:footnoteReference w:id="19"/>
      </w:r>
      <w:r w:rsidR="004F1D46" w:rsidRPr="00C73BCF">
        <w:rPr>
          <w:rFonts w:ascii="Verdana" w:hAnsi="Verdana"/>
          <w:sz w:val="20"/>
        </w:rPr>
        <w:t xml:space="preserve">. </w:t>
      </w:r>
      <w:r w:rsidR="00564B1E" w:rsidRPr="00C73BCF">
        <w:rPr>
          <w:rFonts w:ascii="Verdana" w:hAnsi="Verdana"/>
          <w:sz w:val="20"/>
        </w:rPr>
        <w:t xml:space="preserve">Asimismo, señaló que en el ordenamiento jurídico colombiano existen “dos […] opciones jurídicamente válidas en materia de sucesiones”: i) el juicio de sucesión y ii) el trámite </w:t>
      </w:r>
      <w:r w:rsidR="00EF6887" w:rsidRPr="00C73BCF">
        <w:rPr>
          <w:rFonts w:ascii="Verdana" w:hAnsi="Verdana"/>
          <w:sz w:val="20"/>
        </w:rPr>
        <w:t>notarial,</w:t>
      </w:r>
      <w:r w:rsidR="00564B1E" w:rsidRPr="00C73BCF">
        <w:rPr>
          <w:rFonts w:ascii="Verdana" w:hAnsi="Verdana"/>
          <w:sz w:val="20"/>
        </w:rPr>
        <w:t xml:space="preserve"> </w:t>
      </w:r>
      <w:r w:rsidR="00AD6863" w:rsidRPr="00C73BCF">
        <w:rPr>
          <w:rFonts w:ascii="Verdana" w:hAnsi="Verdana"/>
          <w:sz w:val="20"/>
        </w:rPr>
        <w:t>así como</w:t>
      </w:r>
      <w:r w:rsidR="00EF6887" w:rsidRPr="00C73BCF">
        <w:rPr>
          <w:rFonts w:ascii="Verdana" w:hAnsi="Verdana"/>
          <w:sz w:val="20"/>
        </w:rPr>
        <w:t xml:space="preserve"> </w:t>
      </w:r>
      <w:r w:rsidR="00564B1E" w:rsidRPr="00C73BCF">
        <w:rPr>
          <w:rFonts w:ascii="Verdana" w:hAnsi="Verdana"/>
          <w:sz w:val="20"/>
        </w:rPr>
        <w:t>que los procesos de sucesión pueden realizarse aún si se trata de una persona que ha sido desaparecida forzadamente</w:t>
      </w:r>
      <w:r w:rsidR="007B2207" w:rsidRPr="00C73BCF">
        <w:rPr>
          <w:rFonts w:ascii="Verdana" w:hAnsi="Verdana"/>
          <w:sz w:val="20"/>
        </w:rPr>
        <w:t>.</w:t>
      </w:r>
      <w:r w:rsidR="00564B1E" w:rsidRPr="00C73BCF">
        <w:rPr>
          <w:rFonts w:ascii="Verdana" w:hAnsi="Verdana"/>
          <w:sz w:val="20"/>
        </w:rPr>
        <w:t xml:space="preserve"> </w:t>
      </w:r>
      <w:r w:rsidRPr="00C73BCF">
        <w:rPr>
          <w:rFonts w:ascii="Verdana" w:hAnsi="Verdana"/>
          <w:sz w:val="20"/>
        </w:rPr>
        <w:t>E</w:t>
      </w:r>
      <w:r w:rsidR="001F42E4" w:rsidRPr="00C73BCF">
        <w:rPr>
          <w:rFonts w:ascii="Verdana" w:hAnsi="Verdana"/>
          <w:sz w:val="20"/>
        </w:rPr>
        <w:t>n razón de lo anterior, e</w:t>
      </w:r>
      <w:r w:rsidRPr="00C73BCF">
        <w:rPr>
          <w:rFonts w:ascii="Verdana" w:hAnsi="Verdana"/>
          <w:sz w:val="20"/>
        </w:rPr>
        <w:t xml:space="preserve">l </w:t>
      </w:r>
      <w:r w:rsidRPr="00C73BCF">
        <w:rPr>
          <w:rFonts w:ascii="Verdana" w:hAnsi="Verdana"/>
          <w:i/>
          <w:sz w:val="20"/>
        </w:rPr>
        <w:t>Estado</w:t>
      </w:r>
      <w:r w:rsidRPr="00C73BCF">
        <w:rPr>
          <w:rFonts w:ascii="Verdana" w:hAnsi="Verdana"/>
          <w:sz w:val="20"/>
        </w:rPr>
        <w:t xml:space="preserve"> concluyó que “los procesos sucesorale[s] se constituyen en el mecanismo idóneo y legal para determinar y delimitar los parientes de una persona muerta o desaparecida</w:t>
      </w:r>
      <w:r w:rsidR="00564B1E" w:rsidRPr="00C73BCF">
        <w:rPr>
          <w:rFonts w:ascii="Verdana" w:hAnsi="Verdana"/>
          <w:sz w:val="20"/>
        </w:rPr>
        <w:t>”</w:t>
      </w:r>
      <w:r w:rsidRPr="00C73BCF">
        <w:rPr>
          <w:rFonts w:ascii="Verdana" w:hAnsi="Verdana"/>
          <w:sz w:val="20"/>
        </w:rPr>
        <w:t xml:space="preserve"> </w:t>
      </w:r>
      <w:r w:rsidR="001F42E4" w:rsidRPr="00C73BCF">
        <w:rPr>
          <w:rFonts w:ascii="Verdana" w:hAnsi="Verdana"/>
          <w:sz w:val="20"/>
        </w:rPr>
        <w:t>y</w:t>
      </w:r>
      <w:r w:rsidR="00DE6D5D" w:rsidRPr="00C73BCF">
        <w:rPr>
          <w:rFonts w:ascii="Verdana" w:hAnsi="Verdana"/>
          <w:sz w:val="20"/>
        </w:rPr>
        <w:t>,</w:t>
      </w:r>
      <w:r w:rsidR="001F42E4" w:rsidRPr="00C73BCF">
        <w:rPr>
          <w:rFonts w:ascii="Verdana" w:hAnsi="Verdana"/>
          <w:sz w:val="20"/>
        </w:rPr>
        <w:t xml:space="preserve"> por tanto</w:t>
      </w:r>
      <w:r w:rsidR="00DE6D5D" w:rsidRPr="00C73BCF">
        <w:rPr>
          <w:rFonts w:ascii="Verdana" w:hAnsi="Verdana"/>
          <w:sz w:val="20"/>
        </w:rPr>
        <w:t>,</w:t>
      </w:r>
      <w:r w:rsidRPr="00C73BCF">
        <w:rPr>
          <w:rFonts w:ascii="Verdana" w:hAnsi="Verdana"/>
          <w:sz w:val="20"/>
        </w:rPr>
        <w:t xml:space="preserve"> “considera necesario requerir el [proceso de sucesión o, en su defecto, el trámite notarial] frente a las víctimas de desaparición forzada</w:t>
      </w:r>
      <w:r w:rsidR="00A266A9" w:rsidRPr="00C73BCF">
        <w:rPr>
          <w:rFonts w:ascii="Verdana" w:hAnsi="Verdana"/>
          <w:sz w:val="20"/>
        </w:rPr>
        <w:t xml:space="preserve"> […]</w:t>
      </w:r>
      <w:r w:rsidRPr="00C73BCF">
        <w:rPr>
          <w:rFonts w:ascii="Verdana" w:hAnsi="Verdana"/>
          <w:sz w:val="20"/>
        </w:rPr>
        <w:t>,</w:t>
      </w:r>
      <w:r w:rsidR="00A266A9" w:rsidRPr="00C73BCF">
        <w:rPr>
          <w:rFonts w:ascii="Verdana" w:hAnsi="Verdana"/>
          <w:sz w:val="20"/>
        </w:rPr>
        <w:t xml:space="preserve"> </w:t>
      </w:r>
      <w:r w:rsidRPr="00C73BCF">
        <w:rPr>
          <w:rFonts w:ascii="Verdana" w:hAnsi="Verdana"/>
          <w:sz w:val="20"/>
        </w:rPr>
        <w:t>Norma Constanza Esguerra Forero y Ana Rosa Castiblanco Torres, y en últimas frente a cualquier</w:t>
      </w:r>
      <w:r w:rsidR="00AD6863" w:rsidRPr="00C73BCF">
        <w:rPr>
          <w:rFonts w:ascii="Verdana" w:hAnsi="Verdana"/>
          <w:sz w:val="20"/>
        </w:rPr>
        <w:t>a</w:t>
      </w:r>
      <w:r w:rsidRPr="00C73BCF">
        <w:rPr>
          <w:rFonts w:ascii="Verdana" w:hAnsi="Verdana"/>
          <w:sz w:val="20"/>
        </w:rPr>
        <w:t xml:space="preserve"> de las víctimas directa e indirectas que ya hubiesen fenecido”. </w:t>
      </w:r>
      <w:r w:rsidRPr="00C73BCF">
        <w:rPr>
          <w:rFonts w:ascii="Verdana" w:hAnsi="Verdana"/>
          <w:i/>
          <w:sz w:val="20"/>
        </w:rPr>
        <w:t>Colombia</w:t>
      </w:r>
      <w:r w:rsidRPr="00C73BCF">
        <w:rPr>
          <w:rFonts w:ascii="Verdana" w:hAnsi="Verdana"/>
          <w:sz w:val="20"/>
        </w:rPr>
        <w:t xml:space="preserve"> </w:t>
      </w:r>
      <w:r w:rsidR="001F42E4" w:rsidRPr="00C73BCF">
        <w:rPr>
          <w:rFonts w:ascii="Verdana" w:hAnsi="Verdana"/>
          <w:sz w:val="20"/>
        </w:rPr>
        <w:t xml:space="preserve">señaló </w:t>
      </w:r>
      <w:r w:rsidRPr="00C73BCF">
        <w:rPr>
          <w:rFonts w:ascii="Verdana" w:hAnsi="Verdana"/>
          <w:sz w:val="20"/>
        </w:rPr>
        <w:t xml:space="preserve">que </w:t>
      </w:r>
      <w:r w:rsidR="00A266A9" w:rsidRPr="00C73BCF">
        <w:rPr>
          <w:rFonts w:ascii="Verdana" w:hAnsi="Verdana"/>
          <w:sz w:val="20"/>
        </w:rPr>
        <w:t xml:space="preserve">de esta manera </w:t>
      </w:r>
      <w:r w:rsidRPr="00C73BCF">
        <w:rPr>
          <w:rFonts w:ascii="Verdana" w:hAnsi="Verdana"/>
          <w:sz w:val="20"/>
        </w:rPr>
        <w:t xml:space="preserve">puede “evita[r] posteriores reclamaciones y demandas contra el Estado, por cuanto dentro de [un proceso sucesorio] se pueden […] </w:t>
      </w:r>
      <w:proofErr w:type="gramStart"/>
      <w:r w:rsidRPr="00C73BCF">
        <w:rPr>
          <w:rFonts w:ascii="Verdana" w:hAnsi="Verdana"/>
          <w:sz w:val="20"/>
        </w:rPr>
        <w:t>resolv[</w:t>
      </w:r>
      <w:proofErr w:type="gramEnd"/>
      <w:r w:rsidRPr="00C73BCF">
        <w:rPr>
          <w:rFonts w:ascii="Verdana" w:hAnsi="Verdana"/>
          <w:sz w:val="20"/>
        </w:rPr>
        <w:t>er] oposiciones y contradicciones que se present[e]n con la filiaci</w:t>
      </w:r>
      <w:r w:rsidR="00EF6887" w:rsidRPr="00C73BCF">
        <w:rPr>
          <w:rFonts w:ascii="Verdana" w:hAnsi="Verdana"/>
          <w:sz w:val="20"/>
        </w:rPr>
        <w:t>ón o parentesco de las personas</w:t>
      </w:r>
      <w:r w:rsidRPr="00C73BCF">
        <w:rPr>
          <w:rFonts w:ascii="Verdana" w:hAnsi="Verdana"/>
          <w:sz w:val="20"/>
        </w:rPr>
        <w:t xml:space="preserve">”. </w:t>
      </w:r>
    </w:p>
    <w:p w:rsidR="0086698F" w:rsidRPr="00C73BCF" w:rsidRDefault="0086698F" w:rsidP="0086698F">
      <w:pPr>
        <w:spacing w:after="0" w:line="240" w:lineRule="auto"/>
        <w:jc w:val="both"/>
        <w:rPr>
          <w:rFonts w:ascii="Verdana" w:hAnsi="Verdana"/>
          <w:sz w:val="20"/>
        </w:rPr>
      </w:pPr>
    </w:p>
    <w:p w:rsidR="00067AC7" w:rsidRPr="00C73BCF" w:rsidRDefault="00067AC7" w:rsidP="00C0657A">
      <w:pPr>
        <w:pStyle w:val="Listamedia2-nfasis4"/>
        <w:numPr>
          <w:ilvl w:val="0"/>
          <w:numId w:val="13"/>
        </w:numPr>
        <w:spacing w:after="0" w:line="240" w:lineRule="auto"/>
        <w:ind w:left="0" w:firstLine="0"/>
        <w:contextualSpacing w:val="0"/>
        <w:jc w:val="both"/>
        <w:rPr>
          <w:rFonts w:ascii="Verdana" w:hAnsi="Verdana"/>
          <w:sz w:val="20"/>
        </w:rPr>
      </w:pPr>
      <w:r w:rsidRPr="00C73BCF">
        <w:rPr>
          <w:rFonts w:ascii="Verdana" w:hAnsi="Verdana"/>
          <w:sz w:val="20"/>
        </w:rPr>
        <w:t xml:space="preserve">La </w:t>
      </w:r>
      <w:r w:rsidRPr="00C73BCF">
        <w:rPr>
          <w:rFonts w:ascii="Verdana" w:hAnsi="Verdana"/>
          <w:i/>
          <w:sz w:val="20"/>
        </w:rPr>
        <w:t>Comisión Interamericana</w:t>
      </w:r>
      <w:r w:rsidRPr="00C73BCF">
        <w:rPr>
          <w:rFonts w:ascii="Verdana" w:hAnsi="Verdana"/>
          <w:sz w:val="20"/>
        </w:rPr>
        <w:t xml:space="preserve"> </w:t>
      </w:r>
      <w:r w:rsidR="00B96D48" w:rsidRPr="00C73BCF">
        <w:rPr>
          <w:rFonts w:ascii="Verdana" w:hAnsi="Verdana"/>
          <w:sz w:val="20"/>
        </w:rPr>
        <w:t>señaló que “corresponde al Estado adoptar las medidas de carácter interno que sean necesarias para cumplir con entregar los montos ordenados</w:t>
      </w:r>
      <w:r w:rsidR="008220B3" w:rsidRPr="00C73BCF">
        <w:rPr>
          <w:rFonts w:ascii="Verdana" w:hAnsi="Verdana"/>
          <w:sz w:val="20"/>
        </w:rPr>
        <w:t xml:space="preserve">” </w:t>
      </w:r>
      <w:r w:rsidR="00B96D48" w:rsidRPr="00C73BCF">
        <w:rPr>
          <w:rFonts w:ascii="Verdana" w:hAnsi="Verdana"/>
          <w:sz w:val="20"/>
        </w:rPr>
        <w:t xml:space="preserve">a los beneficiarios señalados en </w:t>
      </w:r>
      <w:r w:rsidR="008220B3" w:rsidRPr="00C73BCF">
        <w:rPr>
          <w:rFonts w:ascii="Verdana" w:hAnsi="Verdana"/>
          <w:sz w:val="20"/>
        </w:rPr>
        <w:t>“</w:t>
      </w:r>
      <w:r w:rsidR="00B96D48" w:rsidRPr="00C73BCF">
        <w:rPr>
          <w:rFonts w:ascii="Verdana" w:hAnsi="Verdana"/>
          <w:sz w:val="20"/>
        </w:rPr>
        <w:t xml:space="preserve">el párrafo 610 </w:t>
      </w:r>
      <w:r w:rsidR="008220B3" w:rsidRPr="00C73BCF">
        <w:rPr>
          <w:rFonts w:ascii="Verdana" w:hAnsi="Verdana"/>
          <w:sz w:val="20"/>
        </w:rPr>
        <w:t>[</w:t>
      </w:r>
      <w:r w:rsidR="00B96D48" w:rsidRPr="00C73BCF">
        <w:rPr>
          <w:rFonts w:ascii="Verdana" w:hAnsi="Verdana"/>
          <w:sz w:val="20"/>
        </w:rPr>
        <w:t>de la Sentencia,</w:t>
      </w:r>
      <w:r w:rsidR="008220B3" w:rsidRPr="00C73BCF">
        <w:rPr>
          <w:rFonts w:ascii="Verdana" w:hAnsi="Verdana"/>
          <w:sz w:val="20"/>
        </w:rPr>
        <w:t>]</w:t>
      </w:r>
      <w:r w:rsidR="00B96D48" w:rsidRPr="00C73BCF">
        <w:rPr>
          <w:rFonts w:ascii="Verdana" w:hAnsi="Verdana"/>
          <w:sz w:val="20"/>
        </w:rPr>
        <w:t xml:space="preserve"> cuando hubieran fallecido o fallezcan antes de ser entregada la indemnización”. Indicó al respecto que “el Estado debe garantizar que tales procedimientos […] no resulten o se traduzcan en modo alguno en una carga adicional de carácter económico a las víctimas” ni que tampoco “constituyan una forma de revictimización”.</w:t>
      </w:r>
      <w:r w:rsidR="00BD4CD7" w:rsidRPr="00C73BCF">
        <w:rPr>
          <w:rFonts w:ascii="Verdana" w:hAnsi="Verdana"/>
          <w:sz w:val="20"/>
        </w:rPr>
        <w:t xml:space="preserve"> </w:t>
      </w:r>
    </w:p>
    <w:p w:rsidR="003110B7" w:rsidRPr="00C73BCF" w:rsidRDefault="003110B7" w:rsidP="003110B7">
      <w:pPr>
        <w:spacing w:after="0" w:line="240" w:lineRule="auto"/>
        <w:jc w:val="both"/>
        <w:rPr>
          <w:rFonts w:ascii="Verdana" w:hAnsi="Verdana"/>
          <w:sz w:val="20"/>
          <w:szCs w:val="20"/>
        </w:rPr>
      </w:pPr>
    </w:p>
    <w:p w:rsidR="003110B7" w:rsidRPr="00C73BCF" w:rsidRDefault="0086698F" w:rsidP="0086698F">
      <w:pPr>
        <w:spacing w:after="0" w:line="240" w:lineRule="auto"/>
        <w:ind w:firstLine="720"/>
        <w:jc w:val="both"/>
        <w:rPr>
          <w:rFonts w:ascii="Verdana" w:hAnsi="Verdana"/>
          <w:i/>
          <w:sz w:val="20"/>
        </w:rPr>
      </w:pPr>
      <w:r w:rsidRPr="00C73BCF">
        <w:rPr>
          <w:rFonts w:ascii="Verdana" w:hAnsi="Verdana"/>
          <w:i/>
          <w:sz w:val="20"/>
        </w:rPr>
        <w:t>B</w:t>
      </w:r>
      <w:r w:rsidR="003110B7" w:rsidRPr="00C73BCF">
        <w:rPr>
          <w:rFonts w:ascii="Verdana" w:hAnsi="Verdana"/>
          <w:i/>
          <w:sz w:val="20"/>
        </w:rPr>
        <w:t>.3. Consideraciones de la Corte</w:t>
      </w:r>
    </w:p>
    <w:p w:rsidR="003110B7" w:rsidRPr="00C73BCF" w:rsidRDefault="003110B7" w:rsidP="0086698F">
      <w:pPr>
        <w:spacing w:after="0"/>
        <w:rPr>
          <w:rFonts w:ascii="Verdana" w:hAnsi="Verdana"/>
          <w:sz w:val="20"/>
          <w:szCs w:val="20"/>
        </w:rPr>
      </w:pPr>
    </w:p>
    <w:p w:rsidR="00617CC7" w:rsidRPr="00C73BCF" w:rsidRDefault="003110B7" w:rsidP="00C0657A">
      <w:pPr>
        <w:numPr>
          <w:ilvl w:val="0"/>
          <w:numId w:val="13"/>
        </w:numPr>
        <w:spacing w:after="0" w:line="240" w:lineRule="auto"/>
        <w:ind w:left="0" w:firstLine="0"/>
        <w:jc w:val="both"/>
        <w:rPr>
          <w:rFonts w:ascii="Verdana" w:hAnsi="Verdana"/>
          <w:sz w:val="20"/>
          <w:szCs w:val="20"/>
        </w:rPr>
      </w:pPr>
      <w:r w:rsidRPr="00C73BCF">
        <w:rPr>
          <w:rFonts w:ascii="Verdana" w:hAnsi="Verdana"/>
          <w:sz w:val="20"/>
          <w:szCs w:val="20"/>
        </w:rPr>
        <w:t xml:space="preserve">En </w:t>
      </w:r>
      <w:r w:rsidR="000B2062" w:rsidRPr="00C73BCF">
        <w:rPr>
          <w:rFonts w:ascii="Verdana" w:hAnsi="Verdana"/>
          <w:sz w:val="20"/>
          <w:szCs w:val="20"/>
        </w:rPr>
        <w:t>la Sentencia d</w:t>
      </w:r>
      <w:r w:rsidRPr="00C73BCF">
        <w:rPr>
          <w:rFonts w:ascii="Verdana" w:hAnsi="Verdana"/>
          <w:sz w:val="20"/>
          <w:szCs w:val="20"/>
        </w:rPr>
        <w:t xml:space="preserve">el presente caso, </w:t>
      </w:r>
      <w:r w:rsidR="002C4DD9" w:rsidRPr="00C73BCF">
        <w:rPr>
          <w:rFonts w:ascii="Verdana" w:hAnsi="Verdana"/>
          <w:sz w:val="20"/>
          <w:szCs w:val="20"/>
        </w:rPr>
        <w:t xml:space="preserve">en lo que respecta a quiénes </w:t>
      </w:r>
      <w:r w:rsidR="006245BD" w:rsidRPr="00C73BCF">
        <w:rPr>
          <w:rFonts w:ascii="Verdana" w:hAnsi="Verdana"/>
          <w:sz w:val="20"/>
          <w:szCs w:val="20"/>
        </w:rPr>
        <w:t xml:space="preserve">se debe </w:t>
      </w:r>
      <w:r w:rsidR="000B2062" w:rsidRPr="00C73BCF">
        <w:rPr>
          <w:rFonts w:ascii="Verdana" w:hAnsi="Verdana"/>
          <w:sz w:val="20"/>
          <w:szCs w:val="20"/>
        </w:rPr>
        <w:t xml:space="preserve">realizar </w:t>
      </w:r>
      <w:r w:rsidR="00F90155" w:rsidRPr="00C73BCF">
        <w:rPr>
          <w:rFonts w:ascii="Verdana" w:hAnsi="Verdana"/>
          <w:sz w:val="20"/>
          <w:szCs w:val="20"/>
        </w:rPr>
        <w:t>el pago de las indemnizaciones</w:t>
      </w:r>
      <w:r w:rsidR="002C4DD9" w:rsidRPr="00C73BCF">
        <w:rPr>
          <w:rFonts w:ascii="Verdana" w:hAnsi="Verdana"/>
          <w:sz w:val="20"/>
          <w:szCs w:val="20"/>
        </w:rPr>
        <w:t xml:space="preserve"> dispuestas a favor de víctimas y beneficiarios desaparecidos o fallecidos, se estableci</w:t>
      </w:r>
      <w:r w:rsidR="000B2062" w:rsidRPr="00C73BCF">
        <w:rPr>
          <w:rFonts w:ascii="Verdana" w:hAnsi="Verdana"/>
          <w:sz w:val="20"/>
          <w:szCs w:val="20"/>
        </w:rPr>
        <w:t>eron las siguientes dos disposiciones</w:t>
      </w:r>
      <w:r w:rsidR="00F90155" w:rsidRPr="00C73BCF">
        <w:rPr>
          <w:rFonts w:ascii="Verdana" w:hAnsi="Verdana"/>
          <w:sz w:val="20"/>
          <w:szCs w:val="20"/>
        </w:rPr>
        <w:t xml:space="preserve">: </w:t>
      </w:r>
    </w:p>
    <w:p w:rsidR="00617CC7" w:rsidRPr="00C73BCF" w:rsidRDefault="00617CC7" w:rsidP="00843A32">
      <w:pPr>
        <w:spacing w:after="0" w:line="240" w:lineRule="auto"/>
        <w:jc w:val="both"/>
        <w:rPr>
          <w:rFonts w:ascii="Verdana" w:hAnsi="Verdana"/>
          <w:sz w:val="20"/>
          <w:szCs w:val="20"/>
        </w:rPr>
      </w:pPr>
    </w:p>
    <w:p w:rsidR="00AF20E2" w:rsidRPr="00C73BCF" w:rsidRDefault="00F90155" w:rsidP="00664C33">
      <w:pPr>
        <w:numPr>
          <w:ilvl w:val="0"/>
          <w:numId w:val="10"/>
        </w:numPr>
        <w:spacing w:after="0" w:line="240" w:lineRule="auto"/>
        <w:ind w:left="1418" w:hanging="798"/>
        <w:jc w:val="both"/>
        <w:rPr>
          <w:rFonts w:ascii="Verdana" w:hAnsi="Verdana"/>
          <w:sz w:val="20"/>
          <w:szCs w:val="20"/>
        </w:rPr>
      </w:pPr>
      <w:r w:rsidRPr="00C73BCF">
        <w:rPr>
          <w:rFonts w:ascii="Verdana" w:hAnsi="Verdana"/>
          <w:sz w:val="20"/>
          <w:szCs w:val="20"/>
        </w:rPr>
        <w:t>respecto de las once víctimas de desaparición forzada</w:t>
      </w:r>
      <w:r w:rsidRPr="00C73BCF">
        <w:rPr>
          <w:rStyle w:val="Refdenotaalpie"/>
          <w:rFonts w:ascii="Verdana" w:hAnsi="Verdana"/>
          <w:sz w:val="20"/>
          <w:szCs w:val="20"/>
        </w:rPr>
        <w:footnoteReference w:id="20"/>
      </w:r>
      <w:r w:rsidRPr="00C73BCF">
        <w:rPr>
          <w:rFonts w:ascii="Verdana" w:hAnsi="Verdana"/>
          <w:sz w:val="20"/>
          <w:szCs w:val="20"/>
        </w:rPr>
        <w:t xml:space="preserve"> y de las dos víctimas de la violación del deber de garantizar el derecho a la vida</w:t>
      </w:r>
      <w:r w:rsidRPr="00C73BCF">
        <w:rPr>
          <w:rStyle w:val="Refdenotaalpie"/>
          <w:rFonts w:ascii="Verdana" w:hAnsi="Verdana"/>
          <w:sz w:val="20"/>
          <w:szCs w:val="20"/>
        </w:rPr>
        <w:footnoteReference w:id="21"/>
      </w:r>
      <w:r w:rsidRPr="00C73BCF">
        <w:rPr>
          <w:rFonts w:ascii="Verdana" w:hAnsi="Verdana"/>
          <w:sz w:val="20"/>
          <w:szCs w:val="20"/>
        </w:rPr>
        <w:t xml:space="preserve">, el Tribunal estableció los criterios de distribución propiamente en </w:t>
      </w:r>
      <w:r w:rsidR="00617CC7" w:rsidRPr="00C73BCF">
        <w:rPr>
          <w:rFonts w:ascii="Verdana" w:hAnsi="Verdana"/>
          <w:sz w:val="20"/>
          <w:szCs w:val="20"/>
        </w:rPr>
        <w:t xml:space="preserve">el párrafo 597 de </w:t>
      </w:r>
      <w:r w:rsidRPr="00C73BCF">
        <w:rPr>
          <w:rFonts w:ascii="Verdana" w:hAnsi="Verdana"/>
          <w:sz w:val="20"/>
          <w:szCs w:val="20"/>
        </w:rPr>
        <w:t>la Sentencia</w:t>
      </w:r>
      <w:r w:rsidR="00DD12C3" w:rsidRPr="00C73BCF">
        <w:rPr>
          <w:rFonts w:ascii="Verdana" w:hAnsi="Verdana"/>
          <w:sz w:val="20"/>
          <w:szCs w:val="20"/>
        </w:rPr>
        <w:t xml:space="preserve"> (</w:t>
      </w:r>
      <w:r w:rsidR="00DD12C3" w:rsidRPr="00C73BCF">
        <w:rPr>
          <w:rFonts w:ascii="Verdana" w:hAnsi="Verdana"/>
          <w:i/>
          <w:sz w:val="20"/>
          <w:szCs w:val="20"/>
        </w:rPr>
        <w:t>supra</w:t>
      </w:r>
      <w:r w:rsidR="00DD12C3" w:rsidRPr="00C73BCF">
        <w:rPr>
          <w:rFonts w:ascii="Verdana" w:hAnsi="Verdana"/>
          <w:sz w:val="20"/>
          <w:szCs w:val="20"/>
        </w:rPr>
        <w:t xml:space="preserve"> Considerando 1</w:t>
      </w:r>
      <w:r w:rsidR="00AD6863" w:rsidRPr="00C73BCF">
        <w:rPr>
          <w:rFonts w:ascii="Verdana" w:hAnsi="Verdana"/>
          <w:sz w:val="20"/>
          <w:szCs w:val="20"/>
        </w:rPr>
        <w:t>4</w:t>
      </w:r>
      <w:r w:rsidR="00DD12C3" w:rsidRPr="00C73BCF">
        <w:rPr>
          <w:rFonts w:ascii="Verdana" w:hAnsi="Verdana"/>
          <w:sz w:val="20"/>
          <w:szCs w:val="20"/>
        </w:rPr>
        <w:t>)</w:t>
      </w:r>
      <w:r w:rsidRPr="00C73BCF">
        <w:rPr>
          <w:rStyle w:val="Refdenotaalpie"/>
          <w:rFonts w:ascii="Verdana" w:hAnsi="Verdana"/>
          <w:sz w:val="20"/>
          <w:szCs w:val="20"/>
        </w:rPr>
        <w:footnoteReference w:id="22"/>
      </w:r>
      <w:r w:rsidR="000167C4" w:rsidRPr="00C73BCF">
        <w:rPr>
          <w:rFonts w:ascii="Verdana" w:hAnsi="Verdana"/>
          <w:sz w:val="20"/>
          <w:szCs w:val="20"/>
        </w:rPr>
        <w:t>. L</w:t>
      </w:r>
      <w:r w:rsidR="005B341D" w:rsidRPr="00C73BCF">
        <w:rPr>
          <w:rFonts w:ascii="Verdana" w:hAnsi="Verdana"/>
          <w:sz w:val="20"/>
          <w:szCs w:val="20"/>
        </w:rPr>
        <w:t xml:space="preserve">o hizo así </w:t>
      </w:r>
      <w:r w:rsidR="000167C4" w:rsidRPr="00C73BCF">
        <w:rPr>
          <w:rFonts w:ascii="Verdana" w:hAnsi="Verdana"/>
          <w:sz w:val="20"/>
          <w:szCs w:val="20"/>
        </w:rPr>
        <w:t>ú</w:t>
      </w:r>
      <w:r w:rsidR="007B1DD7" w:rsidRPr="00C73BCF">
        <w:rPr>
          <w:rFonts w:ascii="Verdana" w:hAnsi="Verdana"/>
          <w:sz w:val="20"/>
          <w:szCs w:val="20"/>
        </w:rPr>
        <w:t xml:space="preserve">nicamente </w:t>
      </w:r>
      <w:r w:rsidR="005B341D" w:rsidRPr="00C73BCF">
        <w:rPr>
          <w:rFonts w:ascii="Verdana" w:hAnsi="Verdana"/>
          <w:sz w:val="20"/>
          <w:szCs w:val="20"/>
        </w:rPr>
        <w:t>con respecto a esas trece víctimas debido a que le fue aportada información que le permitía tener certeza de quiénes eran sus familiares</w:t>
      </w:r>
      <w:r w:rsidR="00664C33" w:rsidRPr="00C73BCF">
        <w:rPr>
          <w:rFonts w:ascii="Verdana" w:hAnsi="Verdana"/>
          <w:sz w:val="20"/>
          <w:szCs w:val="20"/>
        </w:rPr>
        <w:t>, y</w:t>
      </w:r>
      <w:r w:rsidRPr="00C73BCF">
        <w:rPr>
          <w:rFonts w:ascii="Verdana" w:hAnsi="Verdana"/>
          <w:sz w:val="20"/>
          <w:szCs w:val="20"/>
        </w:rPr>
        <w:t xml:space="preserve"> </w:t>
      </w:r>
    </w:p>
    <w:p w:rsidR="00F90155" w:rsidRPr="00C73BCF" w:rsidRDefault="00160226" w:rsidP="00664C33">
      <w:pPr>
        <w:numPr>
          <w:ilvl w:val="0"/>
          <w:numId w:val="10"/>
        </w:numPr>
        <w:spacing w:after="0" w:line="240" w:lineRule="auto"/>
        <w:ind w:left="1418" w:hanging="698"/>
        <w:jc w:val="both"/>
        <w:rPr>
          <w:rFonts w:ascii="Verdana" w:hAnsi="Verdana"/>
          <w:sz w:val="20"/>
          <w:szCs w:val="20"/>
        </w:rPr>
      </w:pPr>
      <w:r w:rsidRPr="00C73BCF">
        <w:rPr>
          <w:rFonts w:ascii="Verdana" w:hAnsi="Verdana"/>
          <w:sz w:val="20"/>
          <w:szCs w:val="20"/>
        </w:rPr>
        <w:t>respecto de la</w:t>
      </w:r>
      <w:r w:rsidR="00F90155" w:rsidRPr="00C73BCF">
        <w:rPr>
          <w:rFonts w:ascii="Verdana" w:hAnsi="Verdana"/>
          <w:sz w:val="20"/>
          <w:szCs w:val="20"/>
        </w:rPr>
        <w:t xml:space="preserve">s </w:t>
      </w:r>
      <w:r w:rsidR="007B1DD7" w:rsidRPr="00C73BCF">
        <w:rPr>
          <w:rFonts w:ascii="Verdana" w:hAnsi="Verdana"/>
          <w:sz w:val="20"/>
          <w:szCs w:val="20"/>
        </w:rPr>
        <w:t xml:space="preserve">restantes </w:t>
      </w:r>
      <w:r w:rsidRPr="00C73BCF">
        <w:rPr>
          <w:rFonts w:ascii="Verdana" w:hAnsi="Verdana"/>
          <w:sz w:val="20"/>
          <w:szCs w:val="20"/>
        </w:rPr>
        <w:t>víctimas beneficiaria</w:t>
      </w:r>
      <w:r w:rsidR="00F90155" w:rsidRPr="00C73BCF">
        <w:rPr>
          <w:rFonts w:ascii="Verdana" w:hAnsi="Verdana"/>
          <w:sz w:val="20"/>
          <w:szCs w:val="20"/>
        </w:rPr>
        <w:t xml:space="preserve">s </w:t>
      </w:r>
      <w:r w:rsidR="007B1DD7" w:rsidRPr="00C73BCF">
        <w:rPr>
          <w:rFonts w:ascii="Verdana" w:hAnsi="Verdana"/>
          <w:sz w:val="20"/>
          <w:szCs w:val="20"/>
        </w:rPr>
        <w:t>de indemnizaci</w:t>
      </w:r>
      <w:r w:rsidR="00AD6863" w:rsidRPr="00C73BCF">
        <w:rPr>
          <w:rFonts w:ascii="Verdana" w:hAnsi="Verdana"/>
          <w:sz w:val="20"/>
          <w:szCs w:val="20"/>
        </w:rPr>
        <w:t>o</w:t>
      </w:r>
      <w:r w:rsidR="007B1DD7" w:rsidRPr="00C73BCF">
        <w:rPr>
          <w:rFonts w:ascii="Verdana" w:hAnsi="Verdana"/>
          <w:sz w:val="20"/>
          <w:szCs w:val="20"/>
        </w:rPr>
        <w:t>n</w:t>
      </w:r>
      <w:r w:rsidR="00AD6863" w:rsidRPr="00C73BCF">
        <w:rPr>
          <w:rFonts w:ascii="Verdana" w:hAnsi="Verdana"/>
          <w:sz w:val="20"/>
          <w:szCs w:val="20"/>
        </w:rPr>
        <w:t>es</w:t>
      </w:r>
      <w:r w:rsidR="00F90155" w:rsidRPr="00C73BCF">
        <w:rPr>
          <w:rFonts w:ascii="Verdana" w:hAnsi="Verdana"/>
          <w:sz w:val="20"/>
          <w:szCs w:val="20"/>
        </w:rPr>
        <w:t>, la Corte determinó que</w:t>
      </w:r>
      <w:r w:rsidR="007B1DD7" w:rsidRPr="00C73BCF">
        <w:rPr>
          <w:rFonts w:ascii="Verdana" w:hAnsi="Verdana"/>
          <w:sz w:val="20"/>
          <w:szCs w:val="20"/>
        </w:rPr>
        <w:t>,</w:t>
      </w:r>
      <w:r w:rsidR="00F90155" w:rsidRPr="00C73BCF">
        <w:rPr>
          <w:rFonts w:ascii="Verdana" w:hAnsi="Verdana"/>
          <w:sz w:val="20"/>
          <w:szCs w:val="20"/>
        </w:rPr>
        <w:t xml:space="preserve"> en caso de que alguno hubiese fallecido o falleciera antes de que le fuera entregada la indemnización respectiva, el pago se realizaría </w:t>
      </w:r>
      <w:r w:rsidR="004014AF" w:rsidRPr="00C73BCF">
        <w:rPr>
          <w:rFonts w:ascii="Verdana" w:hAnsi="Verdana"/>
          <w:sz w:val="20"/>
          <w:szCs w:val="20"/>
        </w:rPr>
        <w:t>“</w:t>
      </w:r>
      <w:r w:rsidR="00F90155" w:rsidRPr="00C73BCF">
        <w:rPr>
          <w:rFonts w:ascii="Verdana" w:hAnsi="Verdana"/>
          <w:sz w:val="20"/>
          <w:szCs w:val="20"/>
        </w:rPr>
        <w:t>directamente a sus derechohabientes</w:t>
      </w:r>
      <w:r w:rsidR="00536D93" w:rsidRPr="00C73BCF">
        <w:rPr>
          <w:rFonts w:ascii="Verdana" w:hAnsi="Verdana"/>
          <w:sz w:val="20"/>
          <w:szCs w:val="20"/>
        </w:rPr>
        <w:t>,</w:t>
      </w:r>
      <w:r w:rsidR="00F90155" w:rsidRPr="00C73BCF">
        <w:rPr>
          <w:rFonts w:ascii="Verdana" w:hAnsi="Verdana"/>
          <w:sz w:val="20"/>
          <w:szCs w:val="20"/>
        </w:rPr>
        <w:t xml:space="preserve"> conforme al derecho interno aplicable</w:t>
      </w:r>
      <w:r w:rsidR="004014AF" w:rsidRPr="00C73BCF">
        <w:rPr>
          <w:rFonts w:ascii="Verdana" w:hAnsi="Verdana"/>
          <w:sz w:val="20"/>
          <w:szCs w:val="20"/>
        </w:rPr>
        <w:t>”</w:t>
      </w:r>
      <w:r w:rsidR="00DD12C3" w:rsidRPr="00C73BCF">
        <w:rPr>
          <w:rFonts w:ascii="Verdana" w:hAnsi="Verdana"/>
          <w:sz w:val="20"/>
          <w:szCs w:val="20"/>
        </w:rPr>
        <w:t xml:space="preserve"> (</w:t>
      </w:r>
      <w:r w:rsidR="00DD12C3" w:rsidRPr="00C73BCF">
        <w:rPr>
          <w:rFonts w:ascii="Verdana" w:hAnsi="Verdana"/>
          <w:i/>
          <w:sz w:val="20"/>
          <w:szCs w:val="20"/>
        </w:rPr>
        <w:t>supra</w:t>
      </w:r>
      <w:r w:rsidR="00DD12C3" w:rsidRPr="00C73BCF">
        <w:rPr>
          <w:rFonts w:ascii="Verdana" w:hAnsi="Verdana"/>
          <w:sz w:val="20"/>
          <w:szCs w:val="20"/>
        </w:rPr>
        <w:t xml:space="preserve"> Considerando 1</w:t>
      </w:r>
      <w:r w:rsidR="00AD6863" w:rsidRPr="00C73BCF">
        <w:rPr>
          <w:rFonts w:ascii="Verdana" w:hAnsi="Verdana"/>
          <w:sz w:val="20"/>
          <w:szCs w:val="20"/>
        </w:rPr>
        <w:t>5</w:t>
      </w:r>
      <w:r w:rsidR="00DD12C3" w:rsidRPr="00C73BCF">
        <w:rPr>
          <w:rFonts w:ascii="Verdana" w:hAnsi="Verdana"/>
          <w:sz w:val="20"/>
          <w:szCs w:val="20"/>
        </w:rPr>
        <w:t>)</w:t>
      </w:r>
      <w:r w:rsidR="00F90155" w:rsidRPr="00C73BCF">
        <w:rPr>
          <w:rStyle w:val="Refdenotaalpie"/>
          <w:rFonts w:ascii="Verdana" w:hAnsi="Verdana"/>
          <w:sz w:val="20"/>
          <w:szCs w:val="20"/>
        </w:rPr>
        <w:footnoteReference w:id="23"/>
      </w:r>
      <w:r w:rsidR="00F90155" w:rsidRPr="00C73BCF">
        <w:rPr>
          <w:rFonts w:ascii="Verdana" w:hAnsi="Verdana"/>
          <w:sz w:val="20"/>
          <w:szCs w:val="20"/>
        </w:rPr>
        <w:t>.</w:t>
      </w:r>
    </w:p>
    <w:p w:rsidR="00F90155" w:rsidRPr="00C73BCF" w:rsidRDefault="00F90155" w:rsidP="00D90B52">
      <w:pPr>
        <w:pStyle w:val="Cuadrculaclara-nfasis3"/>
        <w:spacing w:after="0"/>
        <w:ind w:left="0"/>
        <w:rPr>
          <w:rFonts w:ascii="Verdana" w:hAnsi="Verdana"/>
          <w:sz w:val="20"/>
          <w:szCs w:val="20"/>
        </w:rPr>
      </w:pPr>
    </w:p>
    <w:p w:rsidR="00843A32" w:rsidRPr="00C73BCF" w:rsidRDefault="00843A32" w:rsidP="00C0657A">
      <w:pPr>
        <w:numPr>
          <w:ilvl w:val="0"/>
          <w:numId w:val="13"/>
        </w:numPr>
        <w:spacing w:after="0" w:line="240" w:lineRule="auto"/>
        <w:ind w:left="0" w:firstLine="0"/>
        <w:jc w:val="both"/>
        <w:rPr>
          <w:rFonts w:ascii="Verdana" w:hAnsi="Verdana"/>
          <w:sz w:val="20"/>
          <w:szCs w:val="20"/>
        </w:rPr>
      </w:pPr>
      <w:r w:rsidRPr="00C73BCF">
        <w:rPr>
          <w:rFonts w:ascii="Verdana" w:eastAsia="Times New Roman" w:hAnsi="Verdana"/>
          <w:sz w:val="20"/>
        </w:rPr>
        <w:t xml:space="preserve">Como ya ha señalado en su jurisprudencia constante, al disponer el pago de indemnizaciones a las víctimas fallecidas o desaparecidas en aplicación </w:t>
      </w:r>
      <w:r w:rsidR="00D82CCB" w:rsidRPr="00C73BCF">
        <w:rPr>
          <w:rFonts w:ascii="Verdana" w:eastAsia="Times New Roman" w:hAnsi="Verdana"/>
          <w:sz w:val="20"/>
        </w:rPr>
        <w:t>d</w:t>
      </w:r>
      <w:r w:rsidRPr="00C73BCF">
        <w:rPr>
          <w:rFonts w:ascii="Verdana" w:eastAsia="Times New Roman" w:hAnsi="Verdana"/>
          <w:sz w:val="20"/>
        </w:rPr>
        <w:t xml:space="preserve">el artículo 63.1 de la Convención, este Tribunal ha dejado establecido la forma en que se deberán entregar </w:t>
      </w:r>
      <w:r w:rsidRPr="00C73BCF">
        <w:rPr>
          <w:rFonts w:ascii="Verdana" w:eastAsia="Times New Roman" w:hAnsi="Verdana"/>
          <w:sz w:val="20"/>
        </w:rPr>
        <w:lastRenderedPageBreak/>
        <w:t>esas indemnizaciones a los familiares o herederos</w:t>
      </w:r>
      <w:r w:rsidRPr="00C73BCF">
        <w:rPr>
          <w:rStyle w:val="Refdenotaalpie"/>
          <w:rFonts w:ascii="Verdana" w:eastAsia="Times New Roman" w:hAnsi="Verdana"/>
          <w:sz w:val="20"/>
        </w:rPr>
        <w:footnoteReference w:id="24"/>
      </w:r>
      <w:r w:rsidRPr="00C73BCF">
        <w:rPr>
          <w:rFonts w:ascii="Verdana" w:eastAsia="Times New Roman" w:hAnsi="Verdana"/>
          <w:sz w:val="20"/>
        </w:rPr>
        <w:t>. En algunos casos, la Corte ha ordenado que dichas indemnizaciones se distribuyan entre los familiares o herederos de acuerdo a los criterios que establezca el derecho interno aplicable. Sin embargo, en determinados casos</w:t>
      </w:r>
      <w:r w:rsidRPr="00C73BCF">
        <w:rPr>
          <w:rFonts w:ascii="Verdana" w:eastAsia="Times" w:hAnsi="Verdana"/>
          <w:sz w:val="20"/>
          <w:lang w:eastAsia="es-ES"/>
        </w:rPr>
        <w:t xml:space="preserve">, el Tribunal ha considerado adecuado establecer en la propia Sentencia los criterios con base en los cuales el Estado debe </w:t>
      </w:r>
      <w:r w:rsidRPr="00C73BCF">
        <w:rPr>
          <w:rFonts w:ascii="Verdana" w:eastAsia="Times" w:hAnsi="Verdana"/>
          <w:sz w:val="20"/>
          <w:szCs w:val="20"/>
          <w:lang w:eastAsia="es-ES"/>
        </w:rPr>
        <w:t>distribuir las indemnizaciones fijadas a favor de víctimas fallecidas o desaparecidas</w:t>
      </w:r>
      <w:r w:rsidRPr="00C73BCF">
        <w:rPr>
          <w:rStyle w:val="Refdenotaalpie"/>
          <w:rFonts w:ascii="Verdana" w:eastAsia="Times" w:hAnsi="Verdana"/>
          <w:sz w:val="20"/>
          <w:szCs w:val="20"/>
          <w:lang w:eastAsia="es-ES"/>
        </w:rPr>
        <w:footnoteReference w:id="25"/>
      </w:r>
      <w:r w:rsidRPr="00C73BCF">
        <w:rPr>
          <w:rFonts w:ascii="Verdana" w:eastAsia="Times" w:hAnsi="Verdana"/>
          <w:sz w:val="20"/>
          <w:szCs w:val="20"/>
          <w:lang w:eastAsia="es-ES"/>
        </w:rPr>
        <w:t xml:space="preserve">. Estos criterios no </w:t>
      </w:r>
      <w:r w:rsidRPr="00C73BCF">
        <w:rPr>
          <w:rFonts w:ascii="Verdana" w:hAnsi="Verdana"/>
          <w:sz w:val="20"/>
          <w:szCs w:val="20"/>
        </w:rPr>
        <w:t>necesariamente coinciden con lo dispuesto en el derecho interno en materia sucesoria, para lo cual la Corte ha ponderado los efectos de sus fallos en función del marco fáctico del caso</w:t>
      </w:r>
      <w:r w:rsidRPr="00C73BCF">
        <w:rPr>
          <w:rStyle w:val="Refdenotaalpie"/>
          <w:rFonts w:ascii="Verdana" w:hAnsi="Verdana"/>
          <w:sz w:val="20"/>
          <w:szCs w:val="20"/>
        </w:rPr>
        <w:footnoteReference w:id="26"/>
      </w:r>
      <w:r w:rsidRPr="00C73BCF">
        <w:rPr>
          <w:rFonts w:ascii="Verdana" w:hAnsi="Verdana"/>
          <w:sz w:val="20"/>
          <w:szCs w:val="20"/>
        </w:rPr>
        <w:t xml:space="preserve">. </w:t>
      </w:r>
      <w:r w:rsidR="0038196D" w:rsidRPr="00C73BCF">
        <w:rPr>
          <w:rFonts w:ascii="Verdana" w:hAnsi="Verdana"/>
          <w:sz w:val="20"/>
          <w:szCs w:val="20"/>
        </w:rPr>
        <w:t xml:space="preserve">En el presente caso, el Tribunal consideró adecuado </w:t>
      </w:r>
      <w:r w:rsidR="004014AF" w:rsidRPr="00C73BCF">
        <w:rPr>
          <w:rFonts w:ascii="Verdana" w:hAnsi="Verdana"/>
          <w:sz w:val="20"/>
          <w:szCs w:val="20"/>
        </w:rPr>
        <w:t>efectuar</w:t>
      </w:r>
      <w:r w:rsidR="0038196D" w:rsidRPr="00C73BCF">
        <w:rPr>
          <w:rFonts w:ascii="Verdana" w:hAnsi="Verdana"/>
          <w:sz w:val="20"/>
          <w:szCs w:val="20"/>
        </w:rPr>
        <w:t xml:space="preserve"> disposiciones en ambos sentidos (</w:t>
      </w:r>
      <w:r w:rsidR="0038196D" w:rsidRPr="00C73BCF">
        <w:rPr>
          <w:rFonts w:ascii="Verdana" w:hAnsi="Verdana"/>
          <w:i/>
          <w:sz w:val="20"/>
          <w:szCs w:val="20"/>
        </w:rPr>
        <w:t xml:space="preserve">supra </w:t>
      </w:r>
      <w:r w:rsidR="0038196D" w:rsidRPr="00C73BCF">
        <w:rPr>
          <w:rFonts w:ascii="Verdana" w:hAnsi="Verdana"/>
          <w:sz w:val="20"/>
          <w:szCs w:val="20"/>
        </w:rPr>
        <w:t xml:space="preserve">Considerando </w:t>
      </w:r>
      <w:r w:rsidR="00AD6863" w:rsidRPr="00C73BCF">
        <w:rPr>
          <w:rFonts w:ascii="Verdana" w:hAnsi="Verdana"/>
          <w:sz w:val="20"/>
          <w:szCs w:val="20"/>
        </w:rPr>
        <w:t>19</w:t>
      </w:r>
      <w:r w:rsidR="0038196D" w:rsidRPr="00C73BCF">
        <w:rPr>
          <w:rFonts w:ascii="Verdana" w:hAnsi="Verdana"/>
          <w:sz w:val="20"/>
          <w:szCs w:val="20"/>
        </w:rPr>
        <w:t>).</w:t>
      </w:r>
    </w:p>
    <w:p w:rsidR="00843A32" w:rsidRPr="00C73BCF" w:rsidRDefault="00843A32" w:rsidP="00843A32">
      <w:pPr>
        <w:spacing w:after="0" w:line="240" w:lineRule="auto"/>
        <w:jc w:val="both"/>
        <w:rPr>
          <w:rFonts w:ascii="Verdana" w:hAnsi="Verdana"/>
          <w:sz w:val="20"/>
          <w:szCs w:val="20"/>
        </w:rPr>
      </w:pPr>
    </w:p>
    <w:p w:rsidR="00D018DC" w:rsidRPr="00C73BCF" w:rsidRDefault="00D018DC" w:rsidP="00D018DC">
      <w:pPr>
        <w:numPr>
          <w:ilvl w:val="0"/>
          <w:numId w:val="17"/>
        </w:numPr>
        <w:spacing w:after="0" w:line="240" w:lineRule="auto"/>
        <w:jc w:val="both"/>
        <w:rPr>
          <w:rFonts w:ascii="Verdana" w:hAnsi="Verdana"/>
          <w:i/>
          <w:sz w:val="20"/>
          <w:szCs w:val="20"/>
        </w:rPr>
      </w:pPr>
      <w:r w:rsidRPr="00C73BCF">
        <w:rPr>
          <w:rFonts w:ascii="Verdana" w:hAnsi="Verdana"/>
          <w:i/>
          <w:sz w:val="20"/>
          <w:szCs w:val="20"/>
        </w:rPr>
        <w:t>Respecto de las víctimas de desaparición forzada y de violación del derecho a la vida</w:t>
      </w:r>
    </w:p>
    <w:p w:rsidR="00D018DC" w:rsidRPr="00C73BCF" w:rsidRDefault="00D018DC" w:rsidP="00D018DC">
      <w:pPr>
        <w:spacing w:after="0" w:line="240" w:lineRule="auto"/>
        <w:ind w:left="720"/>
        <w:jc w:val="both"/>
        <w:rPr>
          <w:rFonts w:ascii="Verdana" w:hAnsi="Verdana"/>
          <w:sz w:val="20"/>
          <w:szCs w:val="20"/>
        </w:rPr>
      </w:pPr>
    </w:p>
    <w:p w:rsidR="003110B7" w:rsidRPr="00C73BCF" w:rsidRDefault="00022486" w:rsidP="00F4439A">
      <w:pPr>
        <w:numPr>
          <w:ilvl w:val="0"/>
          <w:numId w:val="13"/>
        </w:numPr>
        <w:spacing w:after="0" w:line="240" w:lineRule="auto"/>
        <w:ind w:left="0" w:firstLine="0"/>
        <w:jc w:val="both"/>
        <w:rPr>
          <w:rFonts w:ascii="Verdana" w:hAnsi="Verdana"/>
          <w:sz w:val="20"/>
          <w:szCs w:val="20"/>
        </w:rPr>
      </w:pPr>
      <w:r w:rsidRPr="00C73BCF">
        <w:rPr>
          <w:rFonts w:ascii="Verdana" w:hAnsi="Verdana"/>
          <w:sz w:val="20"/>
          <w:szCs w:val="20"/>
        </w:rPr>
        <w:t>De la información presentada por las partes</w:t>
      </w:r>
      <w:r w:rsidR="00536D93" w:rsidRPr="00C73BCF">
        <w:rPr>
          <w:rFonts w:ascii="Verdana" w:hAnsi="Verdana"/>
          <w:sz w:val="20"/>
          <w:szCs w:val="20"/>
        </w:rPr>
        <w:t>,</w:t>
      </w:r>
      <w:r w:rsidR="003110B7" w:rsidRPr="00C73BCF">
        <w:rPr>
          <w:rFonts w:ascii="Verdana" w:hAnsi="Verdana"/>
          <w:sz w:val="20"/>
          <w:szCs w:val="20"/>
        </w:rPr>
        <w:t xml:space="preserve"> </w:t>
      </w:r>
      <w:r w:rsidR="00160226" w:rsidRPr="00C73BCF">
        <w:rPr>
          <w:rFonts w:ascii="Verdana" w:hAnsi="Verdana"/>
          <w:sz w:val="20"/>
          <w:szCs w:val="20"/>
        </w:rPr>
        <w:t>la Corte</w:t>
      </w:r>
      <w:r w:rsidRPr="00C73BCF">
        <w:rPr>
          <w:rFonts w:ascii="Verdana" w:hAnsi="Verdana"/>
          <w:sz w:val="20"/>
          <w:szCs w:val="20"/>
        </w:rPr>
        <w:t xml:space="preserve"> nota que </w:t>
      </w:r>
      <w:r w:rsidR="003110B7" w:rsidRPr="00C73BCF">
        <w:rPr>
          <w:rFonts w:ascii="Verdana" w:hAnsi="Verdana"/>
          <w:sz w:val="20"/>
          <w:szCs w:val="20"/>
        </w:rPr>
        <w:t xml:space="preserve">el Estado </w:t>
      </w:r>
      <w:r w:rsidR="00536D93" w:rsidRPr="00C73BCF">
        <w:rPr>
          <w:rFonts w:ascii="Verdana" w:hAnsi="Verdana"/>
          <w:sz w:val="20"/>
          <w:szCs w:val="20"/>
        </w:rPr>
        <w:t xml:space="preserve">indicó que </w:t>
      </w:r>
      <w:r w:rsidR="003110B7" w:rsidRPr="00C73BCF">
        <w:rPr>
          <w:rFonts w:ascii="Verdana" w:hAnsi="Verdana"/>
          <w:sz w:val="20"/>
          <w:szCs w:val="20"/>
        </w:rPr>
        <w:t xml:space="preserve">considera “necesario” requerir </w:t>
      </w:r>
      <w:r w:rsidR="00640C65" w:rsidRPr="00C73BCF">
        <w:rPr>
          <w:rFonts w:ascii="Verdana" w:hAnsi="Verdana"/>
          <w:sz w:val="20"/>
          <w:szCs w:val="20"/>
        </w:rPr>
        <w:t>el</w:t>
      </w:r>
      <w:r w:rsidR="003110B7" w:rsidRPr="00C73BCF">
        <w:rPr>
          <w:rFonts w:ascii="Verdana" w:hAnsi="Verdana"/>
          <w:sz w:val="20"/>
          <w:szCs w:val="20"/>
        </w:rPr>
        <w:t xml:space="preserve"> “</w:t>
      </w:r>
      <w:r w:rsidR="00613809" w:rsidRPr="00C73BCF">
        <w:rPr>
          <w:rFonts w:ascii="Verdana" w:hAnsi="Verdana"/>
          <w:sz w:val="20"/>
          <w:szCs w:val="20"/>
        </w:rPr>
        <w:t>[</w:t>
      </w:r>
      <w:r w:rsidR="003110B7" w:rsidRPr="00C73BCF">
        <w:rPr>
          <w:rFonts w:ascii="Verdana" w:hAnsi="Verdana"/>
          <w:sz w:val="20"/>
          <w:szCs w:val="20"/>
        </w:rPr>
        <w:t>proceso de sucesión</w:t>
      </w:r>
      <w:r w:rsidR="00613809" w:rsidRPr="00C73BCF">
        <w:rPr>
          <w:rFonts w:ascii="Verdana" w:hAnsi="Verdana"/>
          <w:sz w:val="20"/>
          <w:szCs w:val="20"/>
        </w:rPr>
        <w:t>]</w:t>
      </w:r>
      <w:r w:rsidR="003110B7" w:rsidRPr="00C73BCF">
        <w:rPr>
          <w:rFonts w:ascii="Verdana" w:hAnsi="Verdana"/>
          <w:sz w:val="20"/>
          <w:szCs w:val="20"/>
        </w:rPr>
        <w:t xml:space="preserve"> o, </w:t>
      </w:r>
      <w:r w:rsidR="00613809" w:rsidRPr="00C73BCF">
        <w:rPr>
          <w:rFonts w:ascii="Verdana" w:hAnsi="Verdana"/>
          <w:sz w:val="20"/>
          <w:szCs w:val="20"/>
        </w:rPr>
        <w:t>[</w:t>
      </w:r>
      <w:r w:rsidR="003110B7" w:rsidRPr="00C73BCF">
        <w:rPr>
          <w:rFonts w:ascii="Verdana" w:hAnsi="Verdana"/>
          <w:sz w:val="20"/>
          <w:szCs w:val="20"/>
        </w:rPr>
        <w:t>en</w:t>
      </w:r>
      <w:r w:rsidR="00613809" w:rsidRPr="00C73BCF">
        <w:rPr>
          <w:rFonts w:ascii="Verdana" w:hAnsi="Verdana"/>
          <w:sz w:val="20"/>
          <w:szCs w:val="20"/>
        </w:rPr>
        <w:t>]</w:t>
      </w:r>
      <w:r w:rsidR="003110B7" w:rsidRPr="00C73BCF">
        <w:rPr>
          <w:rFonts w:ascii="Verdana" w:hAnsi="Verdana"/>
          <w:sz w:val="20"/>
          <w:szCs w:val="20"/>
        </w:rPr>
        <w:t xml:space="preserve"> su defecto, el </w:t>
      </w:r>
      <w:r w:rsidR="00613809" w:rsidRPr="00C73BCF">
        <w:rPr>
          <w:rFonts w:ascii="Verdana" w:hAnsi="Verdana"/>
          <w:sz w:val="20"/>
          <w:szCs w:val="20"/>
        </w:rPr>
        <w:t>[</w:t>
      </w:r>
      <w:r w:rsidR="003110B7" w:rsidRPr="00C73BCF">
        <w:rPr>
          <w:rFonts w:ascii="Verdana" w:hAnsi="Verdana"/>
          <w:sz w:val="20"/>
          <w:szCs w:val="20"/>
        </w:rPr>
        <w:t>trámite notarial</w:t>
      </w:r>
      <w:r w:rsidR="00613809" w:rsidRPr="00C73BCF">
        <w:rPr>
          <w:rFonts w:ascii="Verdana" w:hAnsi="Verdana"/>
          <w:sz w:val="20"/>
          <w:szCs w:val="20"/>
        </w:rPr>
        <w:t>]</w:t>
      </w:r>
      <w:r w:rsidR="003110B7" w:rsidRPr="00C73BCF">
        <w:rPr>
          <w:rFonts w:ascii="Verdana" w:hAnsi="Verdana"/>
          <w:sz w:val="20"/>
          <w:szCs w:val="20"/>
        </w:rPr>
        <w:t>” respecto de “las víctimas de desaparición forzada, Carlos Horacio Urán Rojas, Norma Constanza Esguerra Forer</w:t>
      </w:r>
      <w:r w:rsidR="00076CEC" w:rsidRPr="00C73BCF">
        <w:rPr>
          <w:rFonts w:ascii="Verdana" w:hAnsi="Verdana"/>
          <w:sz w:val="20"/>
          <w:szCs w:val="20"/>
        </w:rPr>
        <w:t>o</w:t>
      </w:r>
      <w:r w:rsidR="003110B7" w:rsidRPr="00C73BCF">
        <w:rPr>
          <w:rFonts w:ascii="Verdana" w:hAnsi="Verdana"/>
          <w:sz w:val="20"/>
          <w:szCs w:val="20"/>
        </w:rPr>
        <w:t xml:space="preserve"> y Ana Rosa Castiblanco Torres” por considerar que</w:t>
      </w:r>
      <w:r w:rsidR="00847E44" w:rsidRPr="00C73BCF">
        <w:rPr>
          <w:rFonts w:ascii="Verdana" w:hAnsi="Verdana"/>
          <w:sz w:val="20"/>
          <w:szCs w:val="20"/>
        </w:rPr>
        <w:t>,</w:t>
      </w:r>
      <w:r w:rsidR="003110B7" w:rsidRPr="00C73BCF">
        <w:rPr>
          <w:rFonts w:ascii="Verdana" w:hAnsi="Verdana"/>
          <w:sz w:val="20"/>
          <w:szCs w:val="20"/>
        </w:rPr>
        <w:t xml:space="preserve"> pese a los criterios establecidos en el párrafo 597 </w:t>
      </w:r>
      <w:r w:rsidR="00847E44" w:rsidRPr="00C73BCF">
        <w:rPr>
          <w:rFonts w:ascii="Verdana" w:hAnsi="Verdana"/>
          <w:sz w:val="20"/>
          <w:szCs w:val="20"/>
        </w:rPr>
        <w:t>de la Sentencia</w:t>
      </w:r>
      <w:r w:rsidR="004014AF" w:rsidRPr="00C73BCF">
        <w:rPr>
          <w:rFonts w:ascii="Verdana" w:hAnsi="Verdana"/>
          <w:sz w:val="20"/>
          <w:szCs w:val="20"/>
        </w:rPr>
        <w:t>,</w:t>
      </w:r>
      <w:r w:rsidR="00847E44" w:rsidRPr="00C73BCF">
        <w:rPr>
          <w:rFonts w:ascii="Verdana" w:hAnsi="Verdana"/>
          <w:sz w:val="20"/>
          <w:szCs w:val="20"/>
        </w:rPr>
        <w:t xml:space="preserve"> </w:t>
      </w:r>
      <w:r w:rsidR="003110B7" w:rsidRPr="00C73BCF">
        <w:rPr>
          <w:rFonts w:ascii="Verdana" w:hAnsi="Verdana"/>
          <w:sz w:val="20"/>
          <w:szCs w:val="20"/>
        </w:rPr>
        <w:t>“surge una dificultad frente a determinar con precisión el número de hijos de cada víctima directa” ya que en dicho párrafo “no [se] hace una limitación de beneficiarios al contenido del párrafo 539, como s[í] se hace en otros párrafos de la [S]</w:t>
      </w:r>
      <w:proofErr w:type="spellStart"/>
      <w:r w:rsidR="003110B7" w:rsidRPr="00C73BCF">
        <w:rPr>
          <w:rFonts w:ascii="Verdana" w:hAnsi="Verdana"/>
          <w:sz w:val="20"/>
          <w:szCs w:val="20"/>
        </w:rPr>
        <w:t>entencia</w:t>
      </w:r>
      <w:proofErr w:type="spellEnd"/>
      <w:r w:rsidR="003110B7" w:rsidRPr="00C73BCF">
        <w:rPr>
          <w:rFonts w:ascii="Verdana" w:hAnsi="Verdana"/>
          <w:sz w:val="20"/>
          <w:szCs w:val="20"/>
        </w:rPr>
        <w:t>”</w:t>
      </w:r>
      <w:r w:rsidR="00DE6D5D" w:rsidRPr="00C73BCF">
        <w:rPr>
          <w:rStyle w:val="Refdenotaalpie"/>
          <w:rFonts w:ascii="Verdana" w:hAnsi="Verdana"/>
          <w:sz w:val="20"/>
          <w:szCs w:val="20"/>
        </w:rPr>
        <w:footnoteReference w:id="27"/>
      </w:r>
      <w:r w:rsidR="00DE6D5D" w:rsidRPr="00C73BCF">
        <w:rPr>
          <w:rFonts w:ascii="Verdana" w:hAnsi="Verdana"/>
          <w:sz w:val="20"/>
          <w:szCs w:val="20"/>
        </w:rPr>
        <w:t>.</w:t>
      </w:r>
      <w:r w:rsidR="003110B7" w:rsidRPr="00C73BCF">
        <w:rPr>
          <w:rFonts w:ascii="Verdana" w:hAnsi="Verdana"/>
          <w:sz w:val="20"/>
          <w:szCs w:val="20"/>
        </w:rPr>
        <w:t xml:space="preserve"> </w:t>
      </w:r>
      <w:r w:rsidR="00C442BA" w:rsidRPr="00C73BCF">
        <w:rPr>
          <w:rFonts w:ascii="Verdana" w:hAnsi="Verdana"/>
          <w:sz w:val="20"/>
          <w:szCs w:val="20"/>
        </w:rPr>
        <w:t xml:space="preserve">Este Tribunal considera que esta </w:t>
      </w:r>
      <w:r w:rsidR="002D7CD3" w:rsidRPr="00C73BCF">
        <w:rPr>
          <w:rFonts w:ascii="Verdana" w:hAnsi="Verdana"/>
          <w:sz w:val="20"/>
          <w:szCs w:val="20"/>
        </w:rPr>
        <w:t>interpretación</w:t>
      </w:r>
      <w:r w:rsidR="00C442BA" w:rsidRPr="00C73BCF">
        <w:rPr>
          <w:rFonts w:ascii="Verdana" w:hAnsi="Verdana"/>
          <w:sz w:val="20"/>
          <w:szCs w:val="20"/>
        </w:rPr>
        <w:t xml:space="preserve"> del Estado no se ajusta a lo dispuesto en la Sentencia</w:t>
      </w:r>
      <w:r w:rsidR="00847E44" w:rsidRPr="00C73BCF">
        <w:rPr>
          <w:rFonts w:ascii="Verdana" w:hAnsi="Verdana"/>
          <w:sz w:val="20"/>
          <w:szCs w:val="20"/>
        </w:rPr>
        <w:t>.</w:t>
      </w:r>
      <w:r w:rsidR="00C442BA" w:rsidRPr="00C73BCF">
        <w:rPr>
          <w:rFonts w:ascii="Verdana" w:hAnsi="Verdana"/>
          <w:sz w:val="20"/>
          <w:szCs w:val="20"/>
        </w:rPr>
        <w:t xml:space="preserve"> </w:t>
      </w:r>
      <w:r w:rsidR="004014AF" w:rsidRPr="00C73BCF">
        <w:rPr>
          <w:rFonts w:ascii="Verdana" w:hAnsi="Verdana"/>
          <w:sz w:val="20"/>
          <w:szCs w:val="20"/>
        </w:rPr>
        <w:t>E</w:t>
      </w:r>
      <w:r w:rsidR="00847E44" w:rsidRPr="00C73BCF">
        <w:rPr>
          <w:rFonts w:ascii="Verdana" w:hAnsi="Verdana"/>
          <w:sz w:val="20"/>
          <w:szCs w:val="20"/>
        </w:rPr>
        <w:t xml:space="preserve">s preciso </w:t>
      </w:r>
      <w:r w:rsidR="003110B7" w:rsidRPr="00C73BCF">
        <w:rPr>
          <w:rFonts w:ascii="Verdana" w:hAnsi="Verdana"/>
          <w:sz w:val="20"/>
          <w:szCs w:val="20"/>
        </w:rPr>
        <w:t xml:space="preserve">que </w:t>
      </w:r>
      <w:r w:rsidR="00C442BA" w:rsidRPr="00C73BCF">
        <w:rPr>
          <w:rFonts w:ascii="Verdana" w:hAnsi="Verdana"/>
          <w:sz w:val="20"/>
          <w:szCs w:val="20"/>
        </w:rPr>
        <w:t>las partes</w:t>
      </w:r>
      <w:r w:rsidR="003110B7" w:rsidRPr="00C73BCF">
        <w:rPr>
          <w:rFonts w:ascii="Verdana" w:hAnsi="Verdana"/>
          <w:sz w:val="20"/>
          <w:szCs w:val="20"/>
        </w:rPr>
        <w:t xml:space="preserve"> reali</w:t>
      </w:r>
      <w:r w:rsidR="00847E44" w:rsidRPr="00C73BCF">
        <w:rPr>
          <w:rFonts w:ascii="Verdana" w:hAnsi="Verdana"/>
          <w:sz w:val="20"/>
          <w:szCs w:val="20"/>
        </w:rPr>
        <w:t>cen</w:t>
      </w:r>
      <w:r w:rsidR="003110B7" w:rsidRPr="00C73BCF">
        <w:rPr>
          <w:rFonts w:ascii="Verdana" w:hAnsi="Verdana"/>
          <w:sz w:val="20"/>
          <w:szCs w:val="20"/>
        </w:rPr>
        <w:t xml:space="preserve"> una lectura integral de la Sentencia y </w:t>
      </w:r>
      <w:r w:rsidR="00C442BA" w:rsidRPr="00C73BCF">
        <w:rPr>
          <w:rFonts w:ascii="Verdana" w:hAnsi="Verdana"/>
          <w:sz w:val="20"/>
          <w:szCs w:val="20"/>
        </w:rPr>
        <w:t>no consider</w:t>
      </w:r>
      <w:r w:rsidR="00847E44" w:rsidRPr="00C73BCF">
        <w:rPr>
          <w:rFonts w:ascii="Verdana" w:hAnsi="Verdana"/>
          <w:sz w:val="20"/>
          <w:szCs w:val="20"/>
        </w:rPr>
        <w:t>en</w:t>
      </w:r>
      <w:r w:rsidR="003110B7" w:rsidRPr="00C73BCF">
        <w:rPr>
          <w:rFonts w:ascii="Verdana" w:hAnsi="Verdana"/>
          <w:sz w:val="20"/>
          <w:szCs w:val="20"/>
        </w:rPr>
        <w:t xml:space="preserve"> cada párrafo del fallo como si </w:t>
      </w:r>
      <w:r w:rsidR="00C442BA" w:rsidRPr="00C73BCF">
        <w:rPr>
          <w:rFonts w:ascii="Verdana" w:hAnsi="Verdana"/>
          <w:sz w:val="20"/>
          <w:szCs w:val="20"/>
        </w:rPr>
        <w:t>fuese independiente del resto</w:t>
      </w:r>
      <w:r w:rsidR="003110B7" w:rsidRPr="00C73BCF">
        <w:rPr>
          <w:rFonts w:ascii="Verdana" w:hAnsi="Verdana"/>
          <w:sz w:val="20"/>
          <w:szCs w:val="20"/>
        </w:rPr>
        <w:t xml:space="preserve">. En este sentido, de la lectura conjunta de los párrafos 539, 597 y 606 de la Sentencia se desprenden los criterios que debe aplicar y los beneficiarios a </w:t>
      </w:r>
      <w:r w:rsidR="00847E44" w:rsidRPr="00C73BCF">
        <w:rPr>
          <w:rFonts w:ascii="Verdana" w:hAnsi="Verdana"/>
          <w:sz w:val="20"/>
          <w:szCs w:val="20"/>
        </w:rPr>
        <w:t>quienes</w:t>
      </w:r>
      <w:r w:rsidR="003110B7" w:rsidRPr="00C73BCF">
        <w:rPr>
          <w:rFonts w:ascii="Verdana" w:hAnsi="Verdana"/>
          <w:sz w:val="20"/>
          <w:szCs w:val="20"/>
        </w:rPr>
        <w:t xml:space="preserve"> el Estado debe entregar las indemnizaciones fijadas en la Sentencia a favor de las </w:t>
      </w:r>
      <w:r w:rsidR="00C442BA" w:rsidRPr="00C73BCF">
        <w:rPr>
          <w:rFonts w:ascii="Verdana" w:hAnsi="Verdana"/>
          <w:sz w:val="20"/>
          <w:szCs w:val="20"/>
        </w:rPr>
        <w:t>once víctimas de desaparición forzada</w:t>
      </w:r>
      <w:r w:rsidR="003110B7" w:rsidRPr="00C73BCF">
        <w:rPr>
          <w:rFonts w:ascii="Verdana" w:hAnsi="Verdana"/>
          <w:sz w:val="20"/>
          <w:szCs w:val="20"/>
        </w:rPr>
        <w:t>, así como de</w:t>
      </w:r>
      <w:r w:rsidR="00C442BA" w:rsidRPr="00C73BCF">
        <w:rPr>
          <w:rFonts w:ascii="Verdana" w:hAnsi="Verdana"/>
          <w:sz w:val="20"/>
          <w:szCs w:val="20"/>
        </w:rPr>
        <w:t xml:space="preserve"> las </w:t>
      </w:r>
      <w:r w:rsidR="00847E44" w:rsidRPr="00C73BCF">
        <w:rPr>
          <w:rFonts w:ascii="Verdana" w:hAnsi="Verdana"/>
          <w:sz w:val="20"/>
          <w:szCs w:val="20"/>
        </w:rPr>
        <w:t>víctimas</w:t>
      </w:r>
      <w:r w:rsidR="003110B7" w:rsidRPr="00C73BCF">
        <w:rPr>
          <w:rFonts w:ascii="Verdana" w:hAnsi="Verdana"/>
          <w:sz w:val="20"/>
          <w:szCs w:val="20"/>
        </w:rPr>
        <w:t xml:space="preserve"> Esguerra Forer</w:t>
      </w:r>
      <w:r w:rsidR="00076CEC" w:rsidRPr="00C73BCF">
        <w:rPr>
          <w:rFonts w:ascii="Verdana" w:hAnsi="Verdana"/>
          <w:sz w:val="20"/>
          <w:szCs w:val="20"/>
        </w:rPr>
        <w:t>o</w:t>
      </w:r>
      <w:r w:rsidR="003110B7" w:rsidRPr="00C73BCF">
        <w:rPr>
          <w:rFonts w:ascii="Verdana" w:hAnsi="Verdana"/>
          <w:sz w:val="20"/>
          <w:szCs w:val="20"/>
        </w:rPr>
        <w:t xml:space="preserve"> y Castiblanco Torres</w:t>
      </w:r>
      <w:r w:rsidR="004014AF" w:rsidRPr="00C73BCF">
        <w:rPr>
          <w:rStyle w:val="Refdenotaalpie"/>
          <w:rFonts w:ascii="Verdana" w:hAnsi="Verdana"/>
          <w:sz w:val="20"/>
          <w:szCs w:val="20"/>
        </w:rPr>
        <w:footnoteReference w:id="28"/>
      </w:r>
      <w:r w:rsidR="003110B7" w:rsidRPr="00C73BCF">
        <w:rPr>
          <w:rFonts w:ascii="Verdana" w:hAnsi="Verdana"/>
          <w:sz w:val="20"/>
          <w:szCs w:val="20"/>
        </w:rPr>
        <w:t xml:space="preserve">. </w:t>
      </w:r>
    </w:p>
    <w:p w:rsidR="00301C50" w:rsidRPr="00C73BCF" w:rsidRDefault="00301C50" w:rsidP="00301C50">
      <w:pPr>
        <w:spacing w:after="0" w:line="240" w:lineRule="auto"/>
        <w:jc w:val="both"/>
        <w:rPr>
          <w:rFonts w:ascii="Verdana" w:hAnsi="Verdana"/>
          <w:sz w:val="20"/>
          <w:szCs w:val="20"/>
        </w:rPr>
      </w:pPr>
    </w:p>
    <w:p w:rsidR="00301C50" w:rsidRPr="00C73BCF" w:rsidRDefault="00301C50" w:rsidP="00F4439A">
      <w:pPr>
        <w:numPr>
          <w:ilvl w:val="0"/>
          <w:numId w:val="13"/>
        </w:numPr>
        <w:spacing w:after="0" w:line="240" w:lineRule="auto"/>
        <w:ind w:left="0" w:firstLine="0"/>
        <w:jc w:val="both"/>
        <w:rPr>
          <w:rFonts w:ascii="Verdana" w:hAnsi="Verdana"/>
          <w:sz w:val="20"/>
          <w:szCs w:val="20"/>
        </w:rPr>
      </w:pPr>
      <w:r w:rsidRPr="00C73BCF">
        <w:rPr>
          <w:rFonts w:ascii="Verdana" w:hAnsi="Verdana"/>
          <w:sz w:val="20"/>
          <w:szCs w:val="20"/>
        </w:rPr>
        <w:t>Como el Tribunal ha señalado con anterioridad</w:t>
      </w:r>
      <w:r w:rsidRPr="00C73BCF">
        <w:rPr>
          <w:rStyle w:val="Refdenotaalpie"/>
          <w:rFonts w:ascii="Verdana" w:eastAsia="Times New Roman" w:hAnsi="Verdana"/>
          <w:sz w:val="20"/>
          <w:szCs w:val="20"/>
        </w:rPr>
        <w:footnoteReference w:id="29"/>
      </w:r>
      <w:r w:rsidRPr="00C73BCF">
        <w:rPr>
          <w:rFonts w:ascii="Verdana" w:hAnsi="Verdana"/>
          <w:sz w:val="20"/>
          <w:szCs w:val="20"/>
        </w:rPr>
        <w:t>,</w:t>
      </w:r>
      <w:r w:rsidRPr="00C73BCF">
        <w:rPr>
          <w:rFonts w:ascii="Verdana" w:eastAsia="Times New Roman" w:hAnsi="Verdana"/>
          <w:sz w:val="20"/>
          <w:szCs w:val="20"/>
        </w:rPr>
        <w:t xml:space="preserve"> cuando establece criterios de distribución de las indemnizaciones fijadas a favor de personas desaparecidas o fallecidas, es precisamente para evitar, en la medida de lo posible, que los familiares de las víctimas, quienes ya acreditaron su identidad y relación de parentesco ante este Tribunal, tengan que acudir a un proceso sucesorio interno, que pudiera dilatar innecesariamente la entrega de las indemnizaciones fijadas en la Sentencia.</w:t>
      </w:r>
    </w:p>
    <w:p w:rsidR="003110B7" w:rsidRPr="00C73BCF" w:rsidRDefault="003110B7" w:rsidP="0086698F">
      <w:pPr>
        <w:spacing w:after="0" w:line="240" w:lineRule="auto"/>
        <w:jc w:val="both"/>
        <w:rPr>
          <w:rFonts w:ascii="Verdana" w:hAnsi="Verdana"/>
          <w:sz w:val="20"/>
          <w:szCs w:val="20"/>
        </w:rPr>
      </w:pPr>
    </w:p>
    <w:p w:rsidR="003110B7" w:rsidRPr="00C73BCF" w:rsidRDefault="007C11B6" w:rsidP="00F4439A">
      <w:pPr>
        <w:numPr>
          <w:ilvl w:val="0"/>
          <w:numId w:val="13"/>
        </w:numPr>
        <w:spacing w:after="0" w:line="240" w:lineRule="auto"/>
        <w:ind w:left="0" w:firstLine="0"/>
        <w:jc w:val="both"/>
        <w:rPr>
          <w:rFonts w:ascii="Verdana" w:hAnsi="Verdana"/>
          <w:sz w:val="20"/>
          <w:szCs w:val="20"/>
        </w:rPr>
      </w:pPr>
      <w:r w:rsidRPr="00C73BCF">
        <w:rPr>
          <w:rFonts w:ascii="Verdana" w:hAnsi="Verdana"/>
          <w:sz w:val="20"/>
          <w:szCs w:val="20"/>
        </w:rPr>
        <w:t>D</w:t>
      </w:r>
      <w:r w:rsidR="00BE666B" w:rsidRPr="00C73BCF">
        <w:rPr>
          <w:rFonts w:ascii="Verdana" w:hAnsi="Verdana"/>
          <w:sz w:val="20"/>
          <w:szCs w:val="20"/>
        </w:rPr>
        <w:t>e darse algún</w:t>
      </w:r>
      <w:r w:rsidR="002567F6" w:rsidRPr="00C73BCF">
        <w:rPr>
          <w:rFonts w:ascii="Verdana" w:hAnsi="Verdana"/>
          <w:sz w:val="20"/>
          <w:szCs w:val="20"/>
        </w:rPr>
        <w:t xml:space="preserve"> caso </w:t>
      </w:r>
      <w:r w:rsidR="00BE666B" w:rsidRPr="00C73BCF">
        <w:rPr>
          <w:rFonts w:ascii="Verdana" w:hAnsi="Verdana"/>
          <w:sz w:val="20"/>
          <w:szCs w:val="20"/>
        </w:rPr>
        <w:t>en el cual</w:t>
      </w:r>
      <w:r w:rsidR="007D0042" w:rsidRPr="00C73BCF">
        <w:rPr>
          <w:rFonts w:ascii="Verdana" w:hAnsi="Verdana"/>
          <w:sz w:val="20"/>
          <w:szCs w:val="20"/>
        </w:rPr>
        <w:t>, previo a que el Estado hubiere pagado,</w:t>
      </w:r>
      <w:r w:rsidR="00BE666B" w:rsidRPr="00C73BCF">
        <w:rPr>
          <w:rFonts w:ascii="Verdana" w:hAnsi="Verdana"/>
          <w:sz w:val="20"/>
          <w:szCs w:val="20"/>
        </w:rPr>
        <w:t xml:space="preserve"> </w:t>
      </w:r>
      <w:r w:rsidR="002567F6" w:rsidRPr="00C73BCF">
        <w:rPr>
          <w:rFonts w:ascii="Verdana" w:hAnsi="Verdana"/>
          <w:sz w:val="20"/>
          <w:szCs w:val="20"/>
        </w:rPr>
        <w:t>se acrediten diferencias entre lo señalado en la Sentencia y lo alegado por las víctimas a nivel interno, el Estado en efecto debe proceder a verificar la situación mediante los medios de prueba</w:t>
      </w:r>
      <w:r w:rsidR="00301C50" w:rsidRPr="00C73BCF">
        <w:rPr>
          <w:rFonts w:ascii="Verdana" w:hAnsi="Verdana"/>
          <w:sz w:val="20"/>
          <w:szCs w:val="20"/>
        </w:rPr>
        <w:t xml:space="preserve"> que estime adecuados</w:t>
      </w:r>
      <w:r w:rsidR="00BE666B" w:rsidRPr="00C73BCF">
        <w:rPr>
          <w:rStyle w:val="Refdenotaalpie"/>
          <w:rFonts w:ascii="Verdana" w:hAnsi="Verdana"/>
          <w:sz w:val="20"/>
          <w:szCs w:val="20"/>
        </w:rPr>
        <w:footnoteReference w:id="30"/>
      </w:r>
      <w:r w:rsidR="002567F6" w:rsidRPr="00C73BCF">
        <w:rPr>
          <w:rFonts w:ascii="Verdana" w:hAnsi="Verdana"/>
          <w:sz w:val="20"/>
          <w:szCs w:val="20"/>
        </w:rPr>
        <w:t>. Sin embargo</w:t>
      </w:r>
      <w:r w:rsidR="004919C7" w:rsidRPr="00C73BCF">
        <w:rPr>
          <w:rFonts w:ascii="Verdana" w:hAnsi="Verdana"/>
          <w:sz w:val="20"/>
          <w:szCs w:val="20"/>
        </w:rPr>
        <w:t xml:space="preserve">, </w:t>
      </w:r>
      <w:r w:rsidR="00BE666B" w:rsidRPr="00C73BCF">
        <w:rPr>
          <w:rFonts w:ascii="Verdana" w:hAnsi="Verdana"/>
          <w:sz w:val="20"/>
          <w:szCs w:val="20"/>
        </w:rPr>
        <w:t xml:space="preserve">la existencia de un </w:t>
      </w:r>
      <w:r w:rsidR="00553917" w:rsidRPr="00C73BCF">
        <w:rPr>
          <w:rFonts w:ascii="Verdana" w:hAnsi="Verdana"/>
          <w:sz w:val="20"/>
          <w:szCs w:val="20"/>
        </w:rPr>
        <w:t>caso semejante que planteara diferencias entre lo acreditado en la Sentencia y lo alegado a nivel interno,</w:t>
      </w:r>
      <w:r w:rsidR="002567F6" w:rsidRPr="00C73BCF">
        <w:rPr>
          <w:rFonts w:ascii="Verdana" w:hAnsi="Verdana"/>
          <w:sz w:val="20"/>
          <w:szCs w:val="20"/>
        </w:rPr>
        <w:t xml:space="preserve"> </w:t>
      </w:r>
      <w:r w:rsidR="002E2C70" w:rsidRPr="00C73BCF">
        <w:rPr>
          <w:rFonts w:ascii="Verdana" w:hAnsi="Verdana"/>
          <w:sz w:val="20"/>
          <w:szCs w:val="20"/>
        </w:rPr>
        <w:t xml:space="preserve">no justifica que </w:t>
      </w:r>
      <w:r w:rsidR="00C442BA" w:rsidRPr="00C73BCF">
        <w:rPr>
          <w:rFonts w:ascii="Verdana" w:hAnsi="Verdana"/>
          <w:sz w:val="20"/>
          <w:szCs w:val="20"/>
        </w:rPr>
        <w:t>el Estado exi</w:t>
      </w:r>
      <w:r w:rsidR="002E2C70" w:rsidRPr="00C73BCF">
        <w:rPr>
          <w:rFonts w:ascii="Verdana" w:hAnsi="Verdana"/>
          <w:sz w:val="20"/>
          <w:szCs w:val="20"/>
        </w:rPr>
        <w:t>ja</w:t>
      </w:r>
      <w:r w:rsidR="00C442BA" w:rsidRPr="00C73BCF">
        <w:rPr>
          <w:rFonts w:ascii="Verdana" w:hAnsi="Verdana"/>
          <w:sz w:val="20"/>
          <w:szCs w:val="20"/>
        </w:rPr>
        <w:t xml:space="preserve"> procesos sucesorios respecto de </w:t>
      </w:r>
      <w:r w:rsidR="00105F39" w:rsidRPr="00C73BCF">
        <w:rPr>
          <w:rFonts w:ascii="Verdana" w:hAnsi="Verdana"/>
          <w:sz w:val="20"/>
          <w:szCs w:val="20"/>
        </w:rPr>
        <w:t xml:space="preserve">todas </w:t>
      </w:r>
      <w:r w:rsidR="00C442BA" w:rsidRPr="00C73BCF">
        <w:rPr>
          <w:rFonts w:ascii="Verdana" w:hAnsi="Verdana"/>
          <w:sz w:val="20"/>
          <w:szCs w:val="20"/>
        </w:rPr>
        <w:t>las</w:t>
      </w:r>
      <w:r w:rsidR="002567F6" w:rsidRPr="00C73BCF">
        <w:rPr>
          <w:rFonts w:ascii="Verdana" w:hAnsi="Verdana"/>
          <w:sz w:val="20"/>
          <w:szCs w:val="20"/>
        </w:rPr>
        <w:t xml:space="preserve"> </w:t>
      </w:r>
      <w:r w:rsidR="00C442BA" w:rsidRPr="00C73BCF">
        <w:rPr>
          <w:rFonts w:ascii="Verdana" w:hAnsi="Verdana"/>
          <w:sz w:val="20"/>
          <w:szCs w:val="20"/>
        </w:rPr>
        <w:t>víctimas</w:t>
      </w:r>
      <w:r w:rsidR="002567F6" w:rsidRPr="00C73BCF">
        <w:rPr>
          <w:rFonts w:ascii="Verdana" w:hAnsi="Verdana"/>
          <w:sz w:val="20"/>
          <w:szCs w:val="20"/>
        </w:rPr>
        <w:t xml:space="preserve">, </w:t>
      </w:r>
      <w:r w:rsidR="00B97F68" w:rsidRPr="00C73BCF">
        <w:rPr>
          <w:rFonts w:ascii="Verdana" w:hAnsi="Verdana"/>
          <w:sz w:val="20"/>
          <w:szCs w:val="20"/>
        </w:rPr>
        <w:t>en contravención de lo dispuesto en el párrafo 597 de la Sentencia</w:t>
      </w:r>
      <w:r w:rsidR="006F55EE" w:rsidRPr="00C73BCF">
        <w:rPr>
          <w:rFonts w:ascii="Verdana" w:hAnsi="Verdana"/>
          <w:sz w:val="20"/>
          <w:szCs w:val="20"/>
        </w:rPr>
        <w:t xml:space="preserve">. </w:t>
      </w:r>
    </w:p>
    <w:p w:rsidR="003110B7" w:rsidRPr="00C73BCF" w:rsidRDefault="003110B7" w:rsidP="00D018DC">
      <w:pPr>
        <w:spacing w:after="0"/>
        <w:jc w:val="both"/>
        <w:rPr>
          <w:rFonts w:ascii="Verdana" w:hAnsi="Verdana"/>
          <w:sz w:val="20"/>
          <w:szCs w:val="20"/>
        </w:rPr>
      </w:pPr>
    </w:p>
    <w:p w:rsidR="00D018DC" w:rsidRPr="00C73BCF" w:rsidRDefault="00D018DC" w:rsidP="00D018DC">
      <w:pPr>
        <w:numPr>
          <w:ilvl w:val="0"/>
          <w:numId w:val="17"/>
        </w:numPr>
        <w:spacing w:after="0"/>
        <w:jc w:val="both"/>
        <w:rPr>
          <w:rFonts w:ascii="Verdana" w:hAnsi="Verdana"/>
          <w:i/>
          <w:sz w:val="20"/>
          <w:szCs w:val="20"/>
        </w:rPr>
      </w:pPr>
      <w:r w:rsidRPr="00C73BCF">
        <w:rPr>
          <w:rFonts w:ascii="Verdana" w:hAnsi="Verdana"/>
          <w:i/>
          <w:sz w:val="20"/>
          <w:szCs w:val="20"/>
        </w:rPr>
        <w:t>Respecto de las demás víctimas (distintas de las de desaparición forzada y de violación del derecho a la vida)</w:t>
      </w:r>
    </w:p>
    <w:p w:rsidR="00D018DC" w:rsidRPr="00C73BCF" w:rsidRDefault="00D018DC" w:rsidP="00D018DC">
      <w:pPr>
        <w:spacing w:after="0"/>
        <w:jc w:val="both"/>
        <w:rPr>
          <w:rFonts w:ascii="Verdana" w:hAnsi="Verdana"/>
          <w:sz w:val="20"/>
          <w:szCs w:val="20"/>
        </w:rPr>
      </w:pPr>
    </w:p>
    <w:p w:rsidR="003110B7" w:rsidRPr="00C73BCF" w:rsidRDefault="00D018DC" w:rsidP="00F4439A">
      <w:pPr>
        <w:numPr>
          <w:ilvl w:val="0"/>
          <w:numId w:val="13"/>
        </w:numPr>
        <w:spacing w:after="0" w:line="240" w:lineRule="auto"/>
        <w:ind w:left="0" w:firstLine="0"/>
        <w:jc w:val="both"/>
        <w:rPr>
          <w:rFonts w:ascii="Verdana" w:hAnsi="Verdana"/>
          <w:sz w:val="20"/>
          <w:szCs w:val="20"/>
        </w:rPr>
      </w:pPr>
      <w:r w:rsidRPr="00C73BCF">
        <w:rPr>
          <w:rFonts w:ascii="Verdana" w:hAnsi="Verdana"/>
          <w:sz w:val="20"/>
          <w:szCs w:val="20"/>
        </w:rPr>
        <w:t>S</w:t>
      </w:r>
      <w:r w:rsidR="003110B7" w:rsidRPr="00C73BCF">
        <w:rPr>
          <w:rFonts w:ascii="Verdana" w:hAnsi="Verdana"/>
          <w:sz w:val="20"/>
          <w:szCs w:val="20"/>
        </w:rPr>
        <w:t xml:space="preserve">egún la información remitida por los representantes de las víctimas, serían </w:t>
      </w:r>
      <w:r w:rsidR="00742653" w:rsidRPr="00C73BCF">
        <w:rPr>
          <w:rFonts w:ascii="Verdana" w:hAnsi="Verdana"/>
          <w:sz w:val="20"/>
          <w:szCs w:val="20"/>
        </w:rPr>
        <w:t>diecisiete</w:t>
      </w:r>
      <w:r w:rsidR="003110B7" w:rsidRPr="00C73BCF">
        <w:rPr>
          <w:rFonts w:ascii="Verdana" w:hAnsi="Verdana"/>
          <w:sz w:val="20"/>
          <w:szCs w:val="20"/>
        </w:rPr>
        <w:t xml:space="preserve"> las personas beneficiarias</w:t>
      </w:r>
      <w:r w:rsidR="00160226" w:rsidRPr="00C73BCF">
        <w:rPr>
          <w:rFonts w:ascii="Verdana" w:hAnsi="Verdana"/>
          <w:sz w:val="20"/>
          <w:szCs w:val="20"/>
        </w:rPr>
        <w:t>, distintas a las once personas desaparecidas forzadamente y las señoras Esguerra Forero y Castiblanco</w:t>
      </w:r>
      <w:r w:rsidR="003110B7" w:rsidRPr="00C73BCF">
        <w:rPr>
          <w:rFonts w:ascii="Verdana" w:hAnsi="Verdana"/>
          <w:sz w:val="20"/>
          <w:szCs w:val="20"/>
        </w:rPr>
        <w:t xml:space="preserve"> </w:t>
      </w:r>
      <w:r w:rsidR="00160226" w:rsidRPr="00C73BCF">
        <w:rPr>
          <w:rFonts w:ascii="Verdana" w:hAnsi="Verdana"/>
          <w:sz w:val="20"/>
          <w:szCs w:val="20"/>
        </w:rPr>
        <w:t xml:space="preserve">Torres, </w:t>
      </w:r>
      <w:r w:rsidR="003110B7" w:rsidRPr="00C73BCF">
        <w:rPr>
          <w:rFonts w:ascii="Verdana" w:hAnsi="Verdana"/>
          <w:sz w:val="20"/>
          <w:szCs w:val="20"/>
        </w:rPr>
        <w:t>que habrían fallecido y respecto de las cuales</w:t>
      </w:r>
      <w:r w:rsidR="00A355B5" w:rsidRPr="00C73BCF">
        <w:rPr>
          <w:rFonts w:ascii="Verdana" w:hAnsi="Verdana"/>
          <w:sz w:val="20"/>
          <w:szCs w:val="20"/>
        </w:rPr>
        <w:t>, según el párrafo 610 de la Sentencia (</w:t>
      </w:r>
      <w:r w:rsidR="00A355B5" w:rsidRPr="00C73BCF">
        <w:rPr>
          <w:rFonts w:ascii="Verdana" w:hAnsi="Verdana"/>
          <w:i/>
          <w:sz w:val="20"/>
          <w:szCs w:val="20"/>
        </w:rPr>
        <w:t xml:space="preserve">supra </w:t>
      </w:r>
      <w:r w:rsidR="00A355B5" w:rsidRPr="00C73BCF">
        <w:rPr>
          <w:rFonts w:ascii="Verdana" w:hAnsi="Verdana"/>
          <w:sz w:val="20"/>
          <w:szCs w:val="20"/>
        </w:rPr>
        <w:t xml:space="preserve">Considerandos </w:t>
      </w:r>
      <w:r w:rsidR="00471F4F" w:rsidRPr="00C73BCF">
        <w:rPr>
          <w:rFonts w:ascii="Verdana" w:hAnsi="Verdana"/>
          <w:sz w:val="20"/>
          <w:szCs w:val="20"/>
        </w:rPr>
        <w:t>1</w:t>
      </w:r>
      <w:r w:rsidR="00105F39" w:rsidRPr="00C73BCF">
        <w:rPr>
          <w:rFonts w:ascii="Verdana" w:hAnsi="Verdana"/>
          <w:sz w:val="20"/>
          <w:szCs w:val="20"/>
        </w:rPr>
        <w:t>5</w:t>
      </w:r>
      <w:r w:rsidR="00A355B5" w:rsidRPr="00C73BCF">
        <w:rPr>
          <w:rFonts w:ascii="Verdana" w:hAnsi="Verdana"/>
          <w:sz w:val="20"/>
          <w:szCs w:val="20"/>
        </w:rPr>
        <w:t xml:space="preserve"> y </w:t>
      </w:r>
      <w:r w:rsidR="00105F39" w:rsidRPr="00C73BCF">
        <w:rPr>
          <w:rFonts w:ascii="Verdana" w:hAnsi="Verdana"/>
          <w:sz w:val="20"/>
          <w:szCs w:val="20"/>
        </w:rPr>
        <w:t>19</w:t>
      </w:r>
      <w:r w:rsidRPr="00C73BCF">
        <w:rPr>
          <w:rFonts w:ascii="Verdana" w:hAnsi="Verdana"/>
          <w:sz w:val="20"/>
          <w:szCs w:val="20"/>
        </w:rPr>
        <w:t>.ii</w:t>
      </w:r>
      <w:r w:rsidR="00A355B5" w:rsidRPr="00C73BCF">
        <w:rPr>
          <w:rFonts w:ascii="Verdana" w:hAnsi="Verdana"/>
          <w:sz w:val="20"/>
          <w:szCs w:val="20"/>
        </w:rPr>
        <w:t>),</w:t>
      </w:r>
      <w:r w:rsidR="003110B7" w:rsidRPr="00C73BCF">
        <w:rPr>
          <w:rFonts w:ascii="Verdana" w:hAnsi="Verdana"/>
          <w:sz w:val="20"/>
          <w:szCs w:val="20"/>
        </w:rPr>
        <w:t xml:space="preserve"> es necesario acudir al derecho interno de Colombia para determinar la distribución de sus respectivas indemnizaciones. Asimismo, de los alegatos presentados por las víctimas y por el Estado, existe una controversia respecto de cuál debe ser el procedimiento interno más apropiado para realizar la referida determinación. Por un lado, el Estado indica que “los procesos sucesorale[s] se constituyen en el mecanismo idóneo y legal para determinar y delimitar los parientes” de una persona fallecida, para lo cual se puede realizar un “juicio de sucesión” o, en su defecto</w:t>
      </w:r>
      <w:r w:rsidR="00471F4F" w:rsidRPr="00C73BCF">
        <w:rPr>
          <w:rFonts w:ascii="Verdana" w:hAnsi="Verdana"/>
          <w:sz w:val="20"/>
          <w:szCs w:val="20"/>
        </w:rPr>
        <w:t>,</w:t>
      </w:r>
      <w:r w:rsidR="003110B7" w:rsidRPr="00C73BCF">
        <w:rPr>
          <w:rFonts w:ascii="Verdana" w:hAnsi="Verdana"/>
          <w:sz w:val="20"/>
          <w:szCs w:val="20"/>
        </w:rPr>
        <w:t xml:space="preserve"> “un trámite notarial” (</w:t>
      </w:r>
      <w:r w:rsidR="003110B7" w:rsidRPr="00C73BCF">
        <w:rPr>
          <w:rFonts w:ascii="Verdana" w:hAnsi="Verdana"/>
          <w:i/>
          <w:sz w:val="20"/>
          <w:szCs w:val="20"/>
        </w:rPr>
        <w:t xml:space="preserve">supra </w:t>
      </w:r>
      <w:r w:rsidR="003110B7" w:rsidRPr="00C73BCF">
        <w:rPr>
          <w:rFonts w:ascii="Verdana" w:hAnsi="Verdana"/>
          <w:sz w:val="20"/>
          <w:szCs w:val="20"/>
        </w:rPr>
        <w:t xml:space="preserve">Considerando </w:t>
      </w:r>
      <w:r w:rsidR="00471F4F" w:rsidRPr="00C73BCF">
        <w:rPr>
          <w:rFonts w:ascii="Verdana" w:hAnsi="Verdana"/>
          <w:sz w:val="20"/>
          <w:szCs w:val="20"/>
        </w:rPr>
        <w:t>1</w:t>
      </w:r>
      <w:r w:rsidR="00105F39" w:rsidRPr="00C73BCF">
        <w:rPr>
          <w:rFonts w:ascii="Verdana" w:hAnsi="Verdana"/>
          <w:sz w:val="20"/>
          <w:szCs w:val="20"/>
        </w:rPr>
        <w:t>7</w:t>
      </w:r>
      <w:r w:rsidR="003110B7" w:rsidRPr="00C73BCF">
        <w:rPr>
          <w:rFonts w:ascii="Verdana" w:hAnsi="Verdana"/>
          <w:sz w:val="20"/>
          <w:szCs w:val="20"/>
        </w:rPr>
        <w:t>). Por otro lado, los representantes solicitan que dicha repartición se realice “vía administrativa” y mediante un procedimiento que no implique “mayores gastos” para los beneficiarios y sea “expedito y eficaz” (</w:t>
      </w:r>
      <w:r w:rsidR="003110B7" w:rsidRPr="00C73BCF">
        <w:rPr>
          <w:rFonts w:ascii="Verdana" w:hAnsi="Verdana"/>
          <w:i/>
          <w:sz w:val="20"/>
          <w:szCs w:val="20"/>
        </w:rPr>
        <w:t xml:space="preserve">supra </w:t>
      </w:r>
      <w:r w:rsidR="003110B7" w:rsidRPr="00C73BCF">
        <w:rPr>
          <w:rFonts w:ascii="Verdana" w:hAnsi="Verdana"/>
          <w:sz w:val="20"/>
          <w:szCs w:val="20"/>
        </w:rPr>
        <w:t xml:space="preserve">Considerando </w:t>
      </w:r>
      <w:r w:rsidR="00471F4F" w:rsidRPr="00C73BCF">
        <w:rPr>
          <w:rFonts w:ascii="Verdana" w:hAnsi="Verdana"/>
          <w:sz w:val="20"/>
          <w:szCs w:val="20"/>
        </w:rPr>
        <w:t>1</w:t>
      </w:r>
      <w:r w:rsidR="00105F39" w:rsidRPr="00C73BCF">
        <w:rPr>
          <w:rFonts w:ascii="Verdana" w:hAnsi="Verdana"/>
          <w:sz w:val="20"/>
          <w:szCs w:val="20"/>
        </w:rPr>
        <w:t>6</w:t>
      </w:r>
      <w:r w:rsidR="003110B7" w:rsidRPr="00C73BCF">
        <w:rPr>
          <w:rFonts w:ascii="Verdana" w:hAnsi="Verdana"/>
          <w:sz w:val="20"/>
          <w:szCs w:val="20"/>
        </w:rPr>
        <w:t xml:space="preserve">). Este Tribunal considera que no le corresponde valorar cuál es el mecanismo de derecho interno colombiano que debe ser aplicado para determinar los herederos o sucesores </w:t>
      </w:r>
      <w:r w:rsidR="00471F4F" w:rsidRPr="00C73BCF">
        <w:rPr>
          <w:rFonts w:ascii="Verdana" w:hAnsi="Verdana"/>
          <w:sz w:val="20"/>
          <w:szCs w:val="20"/>
        </w:rPr>
        <w:t xml:space="preserve">de los beneficiarios </w:t>
      </w:r>
      <w:r w:rsidR="003110B7" w:rsidRPr="00C73BCF">
        <w:rPr>
          <w:rFonts w:ascii="Verdana" w:hAnsi="Verdana"/>
          <w:sz w:val="20"/>
          <w:szCs w:val="20"/>
        </w:rPr>
        <w:t xml:space="preserve">de las indemnizaciones ordenadas en la Sentencia. No obstante, </w:t>
      </w:r>
      <w:r w:rsidR="00E56CF2" w:rsidRPr="00C73BCF">
        <w:rPr>
          <w:rFonts w:ascii="Verdana" w:hAnsi="Verdana"/>
          <w:sz w:val="20"/>
          <w:szCs w:val="20"/>
        </w:rPr>
        <w:t>exhorta al Estado y a los representantes a establecer un diálogo que les permita buscar conjuntamente la manera más beneficiosa para ambas partes de dar cumplimiento al pago de las indemnizaciones ordenadas en la Sentencia</w:t>
      </w:r>
      <w:r w:rsidR="00A355B5" w:rsidRPr="00C73BCF">
        <w:rPr>
          <w:rFonts w:ascii="Verdana" w:hAnsi="Verdana"/>
          <w:sz w:val="20"/>
          <w:szCs w:val="20"/>
        </w:rPr>
        <w:t>.</w:t>
      </w:r>
      <w:r w:rsidR="003110B7" w:rsidRPr="00C73BCF">
        <w:rPr>
          <w:rFonts w:ascii="Verdana" w:hAnsi="Verdana"/>
          <w:sz w:val="20"/>
          <w:szCs w:val="20"/>
        </w:rPr>
        <w:t xml:space="preserve"> </w:t>
      </w:r>
    </w:p>
    <w:p w:rsidR="00815800" w:rsidRPr="00C73BCF" w:rsidRDefault="00815800" w:rsidP="003110B7">
      <w:pPr>
        <w:spacing w:after="0" w:line="240" w:lineRule="auto"/>
        <w:jc w:val="both"/>
        <w:rPr>
          <w:rFonts w:ascii="Verdana" w:hAnsi="Verdana"/>
          <w:sz w:val="20"/>
          <w:szCs w:val="20"/>
        </w:rPr>
      </w:pPr>
    </w:p>
    <w:p w:rsidR="00815800" w:rsidRPr="00C73BCF" w:rsidRDefault="006F75CC" w:rsidP="00C60562">
      <w:pPr>
        <w:tabs>
          <w:tab w:val="left" w:pos="680"/>
        </w:tabs>
        <w:spacing w:after="120" w:line="240" w:lineRule="auto"/>
        <w:jc w:val="both"/>
        <w:rPr>
          <w:rFonts w:ascii="Verdana" w:hAnsi="Verdana"/>
          <w:b/>
          <w:sz w:val="20"/>
          <w:szCs w:val="20"/>
        </w:rPr>
      </w:pPr>
      <w:r w:rsidRPr="00C73BCF">
        <w:rPr>
          <w:rFonts w:ascii="Verdana" w:hAnsi="Verdana"/>
          <w:b/>
          <w:sz w:val="20"/>
          <w:szCs w:val="20"/>
        </w:rPr>
        <w:lastRenderedPageBreak/>
        <w:t>POR TANTO:</w:t>
      </w:r>
    </w:p>
    <w:p w:rsidR="009F78E3" w:rsidRPr="00C73BCF" w:rsidRDefault="009F78E3" w:rsidP="00C60562">
      <w:pPr>
        <w:pStyle w:val="Textoindependiente"/>
        <w:tabs>
          <w:tab w:val="left" w:pos="360"/>
          <w:tab w:val="left" w:pos="567"/>
        </w:tabs>
        <w:spacing w:line="240" w:lineRule="auto"/>
        <w:rPr>
          <w:rFonts w:ascii="Verdana" w:hAnsi="Verdana"/>
          <w:b/>
          <w:sz w:val="20"/>
        </w:rPr>
      </w:pPr>
      <w:r w:rsidRPr="00C73BCF">
        <w:rPr>
          <w:rFonts w:ascii="Verdana" w:hAnsi="Verdana"/>
          <w:b/>
          <w:sz w:val="20"/>
        </w:rPr>
        <w:t>LA CORTE INTERAMERICANA DE DERECHOS HUMANOS,</w:t>
      </w:r>
    </w:p>
    <w:p w:rsidR="009F78E3" w:rsidRPr="00C73BCF" w:rsidRDefault="009F78E3" w:rsidP="00F07333">
      <w:pPr>
        <w:tabs>
          <w:tab w:val="left" w:pos="567"/>
        </w:tabs>
        <w:spacing w:after="0" w:line="240" w:lineRule="auto"/>
        <w:jc w:val="both"/>
        <w:rPr>
          <w:rFonts w:ascii="Verdana" w:hAnsi="Verdana"/>
          <w:sz w:val="20"/>
        </w:rPr>
      </w:pPr>
      <w:proofErr w:type="gramStart"/>
      <w:r w:rsidRPr="00C73BCF">
        <w:rPr>
          <w:rFonts w:ascii="Verdana" w:hAnsi="Verdana"/>
          <w:sz w:val="20"/>
        </w:rPr>
        <w:t>en</w:t>
      </w:r>
      <w:proofErr w:type="gramEnd"/>
      <w:r w:rsidRPr="00C73BCF">
        <w:rPr>
          <w:rFonts w:ascii="Verdana" w:hAnsi="Verdana"/>
          <w:sz w:val="20"/>
        </w:rPr>
        <w:t xml:space="preserve"> el ejercicio de sus atribuciones de supervisión del cumplimiento de sus decisiones, de conformidad con los artículos 33, 62.1, 62.3, 65, 67 y 68.1 de la Convención Americana sobre Derechos Humanos, 24, 25 y 30 del Estatuto, y 31.2 y 69 de su Reglamento,</w:t>
      </w:r>
    </w:p>
    <w:p w:rsidR="00B26EB9" w:rsidRPr="00C73BCF" w:rsidRDefault="00B26EB9" w:rsidP="00F07333">
      <w:pPr>
        <w:tabs>
          <w:tab w:val="left" w:pos="567"/>
        </w:tabs>
        <w:spacing w:after="0" w:line="240" w:lineRule="auto"/>
        <w:jc w:val="both"/>
        <w:rPr>
          <w:rFonts w:ascii="Verdana" w:hAnsi="Verdana"/>
          <w:sz w:val="20"/>
          <w:szCs w:val="20"/>
        </w:rPr>
      </w:pPr>
    </w:p>
    <w:p w:rsidR="006F0AF8" w:rsidRPr="00C73BCF" w:rsidRDefault="009F78E3" w:rsidP="00A1187E">
      <w:pPr>
        <w:tabs>
          <w:tab w:val="left" w:pos="567"/>
        </w:tabs>
        <w:spacing w:after="0" w:line="240" w:lineRule="auto"/>
        <w:ind w:right="22"/>
        <w:jc w:val="both"/>
        <w:rPr>
          <w:rFonts w:ascii="Verdana" w:hAnsi="Verdana"/>
          <w:b/>
          <w:sz w:val="20"/>
        </w:rPr>
      </w:pPr>
      <w:r w:rsidRPr="00C73BCF">
        <w:rPr>
          <w:rFonts w:ascii="Verdana" w:hAnsi="Verdana"/>
          <w:b/>
          <w:sz w:val="20"/>
        </w:rPr>
        <w:t>RESUELVE:</w:t>
      </w:r>
      <w:r w:rsidR="006F0AF8" w:rsidRPr="00C73BCF">
        <w:rPr>
          <w:rFonts w:ascii="Verdana" w:hAnsi="Verdana"/>
          <w:b/>
          <w:sz w:val="20"/>
        </w:rPr>
        <w:t xml:space="preserve"> </w:t>
      </w:r>
    </w:p>
    <w:p w:rsidR="00B42E1F" w:rsidRPr="00C73BCF" w:rsidRDefault="00B42E1F" w:rsidP="00A1187E">
      <w:pPr>
        <w:tabs>
          <w:tab w:val="left" w:pos="567"/>
        </w:tabs>
        <w:spacing w:after="0" w:line="240" w:lineRule="auto"/>
        <w:ind w:right="22"/>
        <w:jc w:val="both"/>
        <w:rPr>
          <w:rFonts w:ascii="Verdana" w:hAnsi="Verdana"/>
          <w:b/>
          <w:sz w:val="20"/>
        </w:rPr>
      </w:pPr>
    </w:p>
    <w:p w:rsidR="00061708" w:rsidRPr="00C73BCF" w:rsidRDefault="00C0657A" w:rsidP="00C0657A">
      <w:pPr>
        <w:pStyle w:val="Listamedia2-nfasis4"/>
        <w:spacing w:after="0" w:line="240" w:lineRule="auto"/>
        <w:ind w:left="0"/>
        <w:contextualSpacing w:val="0"/>
        <w:jc w:val="both"/>
        <w:rPr>
          <w:rFonts w:ascii="Verdana" w:hAnsi="Verdana"/>
          <w:sz w:val="20"/>
          <w:szCs w:val="20"/>
        </w:rPr>
      </w:pPr>
      <w:r w:rsidRPr="00C73BCF">
        <w:rPr>
          <w:rFonts w:ascii="Verdana" w:hAnsi="Verdana"/>
          <w:sz w:val="20"/>
          <w:szCs w:val="20"/>
        </w:rPr>
        <w:t>1.</w:t>
      </w:r>
      <w:r w:rsidRPr="00C73BCF">
        <w:rPr>
          <w:rFonts w:ascii="Verdana" w:hAnsi="Verdana"/>
          <w:sz w:val="20"/>
          <w:szCs w:val="20"/>
        </w:rPr>
        <w:tab/>
      </w:r>
      <w:r w:rsidR="00D018DC" w:rsidRPr="00C73BCF">
        <w:rPr>
          <w:rFonts w:ascii="Verdana" w:hAnsi="Verdana"/>
          <w:sz w:val="20"/>
          <w:szCs w:val="20"/>
        </w:rPr>
        <w:t>Que e</w:t>
      </w:r>
      <w:r w:rsidR="003236E7" w:rsidRPr="00C73BCF">
        <w:rPr>
          <w:rFonts w:ascii="Verdana" w:hAnsi="Verdana"/>
          <w:sz w:val="20"/>
          <w:szCs w:val="20"/>
        </w:rPr>
        <w:t>l Estado debe pagar las indemnizaciones por concepto de daño inmaterial c</w:t>
      </w:r>
      <w:r w:rsidR="00061708" w:rsidRPr="00C73BCF">
        <w:rPr>
          <w:rFonts w:ascii="Verdana" w:hAnsi="Verdana"/>
          <w:sz w:val="20"/>
          <w:szCs w:val="20"/>
        </w:rPr>
        <w:t xml:space="preserve">onforme </w:t>
      </w:r>
      <w:r w:rsidR="003236E7" w:rsidRPr="00C73BCF">
        <w:rPr>
          <w:rFonts w:ascii="Verdana" w:hAnsi="Verdana"/>
          <w:sz w:val="20"/>
          <w:szCs w:val="20"/>
        </w:rPr>
        <w:t>a lo dispuesto en e</w:t>
      </w:r>
      <w:r w:rsidR="00061708" w:rsidRPr="00C73BCF">
        <w:rPr>
          <w:rFonts w:ascii="Verdana" w:hAnsi="Verdana"/>
          <w:sz w:val="20"/>
          <w:szCs w:val="20"/>
        </w:rPr>
        <w:t>l párrafo 603 de la Sentencia:</w:t>
      </w:r>
    </w:p>
    <w:p w:rsidR="00483AE9" w:rsidRPr="00C73BCF" w:rsidRDefault="00483AE9" w:rsidP="00C0657A">
      <w:pPr>
        <w:pStyle w:val="Listamedia2-nfasis4"/>
        <w:spacing w:after="0" w:line="240" w:lineRule="auto"/>
        <w:ind w:left="0"/>
        <w:contextualSpacing w:val="0"/>
        <w:jc w:val="both"/>
        <w:rPr>
          <w:rFonts w:ascii="Verdana" w:hAnsi="Verdana"/>
          <w:sz w:val="20"/>
          <w:szCs w:val="20"/>
        </w:rPr>
      </w:pPr>
    </w:p>
    <w:p w:rsidR="00061708" w:rsidRPr="00C73BCF" w:rsidRDefault="00061708" w:rsidP="00483AE9">
      <w:pPr>
        <w:pStyle w:val="Listamedia2-nfasis4"/>
        <w:numPr>
          <w:ilvl w:val="0"/>
          <w:numId w:val="16"/>
        </w:numPr>
        <w:spacing w:after="0" w:line="240" w:lineRule="auto"/>
        <w:contextualSpacing w:val="0"/>
        <w:jc w:val="both"/>
        <w:rPr>
          <w:rFonts w:ascii="Verdana" w:hAnsi="Verdana"/>
          <w:sz w:val="20"/>
          <w:szCs w:val="20"/>
        </w:rPr>
      </w:pPr>
      <w:r w:rsidRPr="00C73BCF">
        <w:rPr>
          <w:rFonts w:ascii="Verdana" w:hAnsi="Verdana"/>
          <w:sz w:val="20"/>
          <w:szCs w:val="20"/>
        </w:rPr>
        <w:t xml:space="preserve">a favor de cada una de las once víctimas de desaparición forzada la cantidad de US$ 100.000,00 (cien mil dólares de los Estados Unidos de América); </w:t>
      </w:r>
    </w:p>
    <w:p w:rsidR="00CD2FBE" w:rsidRDefault="00CD2FBE" w:rsidP="00CD2FBE">
      <w:pPr>
        <w:pStyle w:val="Listamedia2-nfasis4"/>
        <w:spacing w:after="0" w:line="240" w:lineRule="auto"/>
        <w:ind w:left="1080"/>
        <w:contextualSpacing w:val="0"/>
        <w:jc w:val="both"/>
        <w:rPr>
          <w:rFonts w:ascii="Verdana" w:hAnsi="Verdana"/>
          <w:sz w:val="20"/>
          <w:szCs w:val="20"/>
        </w:rPr>
      </w:pPr>
    </w:p>
    <w:p w:rsidR="00061708" w:rsidRPr="00C73BCF" w:rsidRDefault="00061708" w:rsidP="00483AE9">
      <w:pPr>
        <w:pStyle w:val="Listamedia2-nfasis4"/>
        <w:numPr>
          <w:ilvl w:val="0"/>
          <w:numId w:val="16"/>
        </w:numPr>
        <w:spacing w:after="0" w:line="240" w:lineRule="auto"/>
        <w:contextualSpacing w:val="0"/>
        <w:jc w:val="both"/>
        <w:rPr>
          <w:rFonts w:ascii="Verdana" w:hAnsi="Verdana"/>
          <w:sz w:val="20"/>
          <w:szCs w:val="20"/>
        </w:rPr>
      </w:pPr>
      <w:r w:rsidRPr="00C73BCF">
        <w:rPr>
          <w:rFonts w:ascii="Verdana" w:hAnsi="Verdana"/>
          <w:sz w:val="20"/>
          <w:szCs w:val="20"/>
        </w:rPr>
        <w:t xml:space="preserve">a favor de cada una de las madres, padres, hijas e hijos, cónyuges, compañeros y compañeras permanentes de las referidas once víctimas de desaparición forzada la cantidad de US$ 80.000,00 (ochenta mil dólares de los Estados Unidos de América), y </w:t>
      </w:r>
    </w:p>
    <w:p w:rsidR="00CD2FBE" w:rsidRDefault="00CD2FBE" w:rsidP="00CD2FBE">
      <w:pPr>
        <w:pStyle w:val="Listamedia2-nfasis4"/>
        <w:spacing w:after="0" w:line="240" w:lineRule="auto"/>
        <w:ind w:left="1080"/>
        <w:contextualSpacing w:val="0"/>
        <w:jc w:val="both"/>
        <w:rPr>
          <w:rFonts w:ascii="Verdana" w:hAnsi="Verdana"/>
          <w:sz w:val="20"/>
          <w:szCs w:val="20"/>
        </w:rPr>
      </w:pPr>
    </w:p>
    <w:p w:rsidR="00817778" w:rsidRPr="00C73BCF" w:rsidRDefault="00061708" w:rsidP="00483AE9">
      <w:pPr>
        <w:pStyle w:val="Listamedia2-nfasis4"/>
        <w:numPr>
          <w:ilvl w:val="0"/>
          <w:numId w:val="16"/>
        </w:numPr>
        <w:spacing w:after="0" w:line="240" w:lineRule="auto"/>
        <w:contextualSpacing w:val="0"/>
        <w:jc w:val="both"/>
        <w:rPr>
          <w:rFonts w:ascii="Verdana" w:hAnsi="Verdana"/>
          <w:sz w:val="20"/>
          <w:szCs w:val="20"/>
        </w:rPr>
      </w:pPr>
      <w:r w:rsidRPr="00C73BCF">
        <w:rPr>
          <w:rFonts w:ascii="Verdana" w:hAnsi="Verdana"/>
          <w:sz w:val="20"/>
          <w:szCs w:val="20"/>
        </w:rPr>
        <w:t>a favor de cada uno de los hermanos y hermanas de dichas once víctimas de desaparición forzada la cantidad de US$ 40.000,00 (cuarenta mil dólares de los Estados Unidos de América).</w:t>
      </w:r>
    </w:p>
    <w:p w:rsidR="00C0657A" w:rsidRPr="00C73BCF" w:rsidRDefault="00C0657A" w:rsidP="00C0657A">
      <w:pPr>
        <w:pStyle w:val="Sombreadovistoso-nfasis3"/>
        <w:tabs>
          <w:tab w:val="left" w:pos="567"/>
        </w:tabs>
        <w:spacing w:after="0" w:line="240" w:lineRule="auto"/>
        <w:ind w:left="0"/>
        <w:contextualSpacing/>
        <w:jc w:val="both"/>
        <w:rPr>
          <w:rFonts w:ascii="Verdana" w:hAnsi="Verdana"/>
          <w:sz w:val="20"/>
          <w:szCs w:val="20"/>
        </w:rPr>
      </w:pPr>
    </w:p>
    <w:p w:rsidR="00B42E1F" w:rsidRPr="00C73BCF" w:rsidRDefault="00C0657A" w:rsidP="00C0657A">
      <w:pPr>
        <w:pStyle w:val="Sombreadovistoso-nfasis3"/>
        <w:tabs>
          <w:tab w:val="left" w:pos="567"/>
        </w:tabs>
        <w:spacing w:after="0" w:line="240" w:lineRule="auto"/>
        <w:ind w:left="0"/>
        <w:contextualSpacing/>
        <w:jc w:val="both"/>
        <w:rPr>
          <w:rFonts w:ascii="Verdana" w:hAnsi="Verdana" w:cs="Arial"/>
          <w:sz w:val="20"/>
          <w:szCs w:val="20"/>
        </w:rPr>
      </w:pPr>
      <w:r w:rsidRPr="00C73BCF">
        <w:rPr>
          <w:rFonts w:ascii="Verdana" w:hAnsi="Verdana"/>
          <w:sz w:val="20"/>
          <w:szCs w:val="20"/>
        </w:rPr>
        <w:t>2.</w:t>
      </w:r>
      <w:r w:rsidRPr="00C73BCF">
        <w:rPr>
          <w:rFonts w:ascii="Verdana" w:hAnsi="Verdana"/>
          <w:sz w:val="20"/>
          <w:szCs w:val="20"/>
        </w:rPr>
        <w:tab/>
      </w:r>
      <w:r w:rsidR="00D018DC" w:rsidRPr="00C73BCF">
        <w:rPr>
          <w:rFonts w:ascii="Verdana" w:hAnsi="Verdana"/>
          <w:sz w:val="20"/>
          <w:szCs w:val="20"/>
        </w:rPr>
        <w:t>Que c</w:t>
      </w:r>
      <w:r w:rsidR="00426E5B" w:rsidRPr="00C73BCF">
        <w:rPr>
          <w:rFonts w:ascii="Verdana" w:hAnsi="Verdana"/>
          <w:sz w:val="20"/>
          <w:szCs w:val="20"/>
        </w:rPr>
        <w:t xml:space="preserve">onforme a los párrafos </w:t>
      </w:r>
      <w:r w:rsidR="00817778" w:rsidRPr="00C73BCF">
        <w:rPr>
          <w:rFonts w:ascii="Verdana" w:hAnsi="Verdana"/>
          <w:sz w:val="20"/>
          <w:szCs w:val="20"/>
        </w:rPr>
        <w:t xml:space="preserve">596, </w:t>
      </w:r>
      <w:r w:rsidR="00426E5B" w:rsidRPr="00C73BCF">
        <w:rPr>
          <w:rFonts w:ascii="Verdana" w:hAnsi="Verdana"/>
          <w:sz w:val="20"/>
          <w:szCs w:val="20"/>
        </w:rPr>
        <w:t>597, 606 y 610 de la Sentencia, las indemnizaciones por concepto de daño material e inmaterial ordenadas</w:t>
      </w:r>
      <w:r w:rsidR="00920167" w:rsidRPr="00C73BCF">
        <w:rPr>
          <w:rFonts w:ascii="Verdana" w:hAnsi="Verdana"/>
          <w:sz w:val="20"/>
          <w:szCs w:val="20"/>
        </w:rPr>
        <w:t xml:space="preserve"> </w:t>
      </w:r>
      <w:r w:rsidR="00426E5B" w:rsidRPr="00C73BCF">
        <w:rPr>
          <w:rFonts w:ascii="Verdana" w:hAnsi="Verdana"/>
          <w:sz w:val="20"/>
          <w:szCs w:val="20"/>
        </w:rPr>
        <w:t>a favor de las víctimas Carlos Augusto Rodríguez Vera, Irma Franco Pineda, Cristina del Pilar Guarín Cortés, David Suspes Celis, Bernardo Beltrán Hernández, Héctor Jaime Beltrán Fuentes, Gloria Stella Lizarazo Figueroa, Luz Mary Portela León, Lucy Amparo Oviedo Bonilla, Gloria Anzola de Lana, Carlos Horacio Urán Rojas, Norma Constanza Esguerra Forero y Ana Rosa Castiblanco Torres, deben ser liquidadas de acuerdo con los criterios señalados en</w:t>
      </w:r>
      <w:r w:rsidR="00817778" w:rsidRPr="00C73BCF">
        <w:rPr>
          <w:rFonts w:ascii="Verdana" w:hAnsi="Verdana"/>
          <w:sz w:val="20"/>
          <w:szCs w:val="20"/>
        </w:rPr>
        <w:t xml:space="preserve"> el párrafo 597 de la Sentencia</w:t>
      </w:r>
      <w:r w:rsidR="00384107" w:rsidRPr="00C73BCF">
        <w:rPr>
          <w:rFonts w:ascii="Verdana" w:hAnsi="Verdana"/>
          <w:sz w:val="20"/>
          <w:szCs w:val="20"/>
        </w:rPr>
        <w:t xml:space="preserve"> y teniendo en cuenta los familiares señalados en el párrafo 539 del fallo</w:t>
      </w:r>
      <w:r w:rsidR="00105F39" w:rsidRPr="00C73BCF">
        <w:rPr>
          <w:rFonts w:ascii="Verdana" w:hAnsi="Verdana"/>
          <w:sz w:val="20"/>
          <w:szCs w:val="20"/>
        </w:rPr>
        <w:t>.</w:t>
      </w:r>
    </w:p>
    <w:p w:rsidR="00C0657A" w:rsidRPr="00C73BCF" w:rsidRDefault="00C0657A" w:rsidP="00C0657A">
      <w:pPr>
        <w:pStyle w:val="Sombreadovistoso-nfasis3"/>
        <w:tabs>
          <w:tab w:val="left" w:pos="567"/>
        </w:tabs>
        <w:spacing w:after="0" w:line="240" w:lineRule="auto"/>
        <w:contextualSpacing/>
        <w:jc w:val="both"/>
        <w:rPr>
          <w:rFonts w:ascii="Verdana" w:hAnsi="Verdana"/>
          <w:sz w:val="20"/>
          <w:szCs w:val="20"/>
        </w:rPr>
      </w:pPr>
    </w:p>
    <w:p w:rsidR="00426E5B" w:rsidRPr="00C73BCF" w:rsidRDefault="00C0657A" w:rsidP="00C0657A">
      <w:pPr>
        <w:pStyle w:val="Sombreadovistoso-nfasis3"/>
        <w:tabs>
          <w:tab w:val="left" w:pos="567"/>
        </w:tabs>
        <w:spacing w:after="0" w:line="240" w:lineRule="auto"/>
        <w:ind w:left="0"/>
        <w:contextualSpacing/>
        <w:jc w:val="both"/>
        <w:rPr>
          <w:rFonts w:ascii="Verdana" w:hAnsi="Verdana"/>
          <w:sz w:val="20"/>
          <w:szCs w:val="20"/>
        </w:rPr>
      </w:pPr>
      <w:r w:rsidRPr="00C73BCF">
        <w:rPr>
          <w:rFonts w:ascii="Verdana" w:hAnsi="Verdana"/>
          <w:sz w:val="20"/>
          <w:szCs w:val="20"/>
        </w:rPr>
        <w:t>3.</w:t>
      </w:r>
      <w:r w:rsidRPr="00C73BCF">
        <w:rPr>
          <w:rFonts w:ascii="Verdana" w:hAnsi="Verdana"/>
          <w:sz w:val="20"/>
          <w:szCs w:val="20"/>
        </w:rPr>
        <w:tab/>
      </w:r>
      <w:r w:rsidR="00D018DC" w:rsidRPr="00C73BCF">
        <w:rPr>
          <w:rFonts w:ascii="Verdana" w:hAnsi="Verdana"/>
          <w:sz w:val="20"/>
          <w:szCs w:val="20"/>
        </w:rPr>
        <w:t>Que c</w:t>
      </w:r>
      <w:r w:rsidR="00426E5B" w:rsidRPr="00C73BCF">
        <w:rPr>
          <w:rFonts w:ascii="Verdana" w:hAnsi="Verdana"/>
          <w:sz w:val="20"/>
          <w:szCs w:val="20"/>
        </w:rPr>
        <w:t xml:space="preserve">onforme al párrafo 610 de la Sentencia, en caso de que los beneficiarios (distintos de las </w:t>
      </w:r>
      <w:r w:rsidR="005F31CF" w:rsidRPr="00C73BCF">
        <w:rPr>
          <w:rFonts w:ascii="Verdana" w:hAnsi="Verdana"/>
          <w:sz w:val="20"/>
          <w:szCs w:val="20"/>
        </w:rPr>
        <w:t xml:space="preserve">once </w:t>
      </w:r>
      <w:r w:rsidR="00426E5B" w:rsidRPr="00C73BCF">
        <w:rPr>
          <w:rFonts w:ascii="Verdana" w:hAnsi="Verdana"/>
          <w:sz w:val="20"/>
          <w:szCs w:val="20"/>
        </w:rPr>
        <w:t>víctimas de desaparición forzada</w:t>
      </w:r>
      <w:r w:rsidR="005F31CF" w:rsidRPr="00C73BCF">
        <w:rPr>
          <w:rFonts w:ascii="Verdana" w:hAnsi="Verdana"/>
          <w:sz w:val="20"/>
          <w:szCs w:val="20"/>
        </w:rPr>
        <w:t xml:space="preserve"> y de las víctimas </w:t>
      </w:r>
      <w:r w:rsidR="00426E5B" w:rsidRPr="00C73BCF">
        <w:rPr>
          <w:rFonts w:ascii="Verdana" w:hAnsi="Verdana"/>
          <w:sz w:val="20"/>
          <w:szCs w:val="20"/>
        </w:rPr>
        <w:t>Norma Constanza Esguerra Forero y Ana Rosa Castiblanco Torres), hayan fallecido o fallezcan antes de que les sea entregada la indemnización respectiva, ésta se efectuará directamente a sus derechohabientes, conforme</w:t>
      </w:r>
      <w:r w:rsidR="00817778" w:rsidRPr="00C73BCF">
        <w:rPr>
          <w:rFonts w:ascii="Verdana" w:hAnsi="Verdana"/>
          <w:sz w:val="20"/>
          <w:szCs w:val="20"/>
        </w:rPr>
        <w:t xml:space="preserve"> al derecho interno aplicable.</w:t>
      </w:r>
    </w:p>
    <w:p w:rsidR="00A2049F" w:rsidRPr="00C73BCF" w:rsidRDefault="00A2049F" w:rsidP="00386761">
      <w:pPr>
        <w:pStyle w:val="Sombreadovistoso-nfasis3"/>
        <w:spacing w:after="0" w:line="240" w:lineRule="auto"/>
        <w:ind w:left="0"/>
        <w:jc w:val="both"/>
        <w:rPr>
          <w:rFonts w:ascii="Verdana" w:hAnsi="Verdana" w:cs="Arial"/>
          <w:sz w:val="20"/>
          <w:szCs w:val="20"/>
        </w:rPr>
      </w:pPr>
    </w:p>
    <w:p w:rsidR="00B42E1F" w:rsidRPr="00C73BCF" w:rsidRDefault="00C0657A" w:rsidP="00386761">
      <w:pPr>
        <w:pStyle w:val="Sombreadovistoso-nfasis3"/>
        <w:spacing w:after="0" w:line="240" w:lineRule="auto"/>
        <w:ind w:left="0"/>
        <w:jc w:val="both"/>
        <w:rPr>
          <w:rFonts w:ascii="Verdana" w:hAnsi="Verdana" w:cs="Arial"/>
          <w:sz w:val="20"/>
          <w:szCs w:val="20"/>
        </w:rPr>
      </w:pPr>
      <w:r w:rsidRPr="00C73BCF">
        <w:rPr>
          <w:rFonts w:ascii="Verdana" w:hAnsi="Verdana" w:cs="Arial"/>
          <w:sz w:val="20"/>
          <w:szCs w:val="20"/>
        </w:rPr>
        <w:t>4</w:t>
      </w:r>
      <w:r w:rsidR="00B42E1F" w:rsidRPr="00C73BCF">
        <w:rPr>
          <w:rFonts w:ascii="Verdana" w:hAnsi="Verdana" w:cs="Arial"/>
          <w:sz w:val="20"/>
          <w:szCs w:val="20"/>
        </w:rPr>
        <w:t>.</w:t>
      </w:r>
      <w:r w:rsidR="00B42E1F" w:rsidRPr="00C73BCF">
        <w:rPr>
          <w:rFonts w:ascii="Verdana" w:hAnsi="Verdana" w:cs="Arial"/>
          <w:sz w:val="20"/>
          <w:szCs w:val="20"/>
        </w:rPr>
        <w:tab/>
      </w:r>
      <w:r w:rsidR="00B42E1F" w:rsidRPr="00C73BCF">
        <w:rPr>
          <w:rFonts w:ascii="Verdana" w:hAnsi="Verdana"/>
          <w:sz w:val="20"/>
        </w:rPr>
        <w:t xml:space="preserve">Disponer que el Estado presente a la Corte Interamericana de Derechos Humanos, a más tardar el </w:t>
      </w:r>
      <w:r w:rsidR="007C11B6" w:rsidRPr="00C73BCF">
        <w:rPr>
          <w:rFonts w:ascii="Verdana" w:hAnsi="Verdana"/>
          <w:sz w:val="20"/>
        </w:rPr>
        <w:t>30</w:t>
      </w:r>
      <w:r w:rsidR="00105F39" w:rsidRPr="00C73BCF">
        <w:rPr>
          <w:rFonts w:ascii="Verdana" w:hAnsi="Verdana"/>
          <w:sz w:val="20"/>
        </w:rPr>
        <w:t xml:space="preserve"> </w:t>
      </w:r>
      <w:r w:rsidR="00B42E1F" w:rsidRPr="00C73BCF">
        <w:rPr>
          <w:rFonts w:ascii="Verdana" w:hAnsi="Verdana"/>
          <w:sz w:val="20"/>
        </w:rPr>
        <w:t xml:space="preserve">de </w:t>
      </w:r>
      <w:r w:rsidR="00B9270D" w:rsidRPr="00C73BCF">
        <w:rPr>
          <w:rFonts w:ascii="Verdana" w:hAnsi="Verdana"/>
          <w:sz w:val="20"/>
        </w:rPr>
        <w:t>agosto</w:t>
      </w:r>
      <w:r w:rsidR="00A1187E" w:rsidRPr="00C73BCF">
        <w:rPr>
          <w:rFonts w:ascii="Verdana" w:hAnsi="Verdana"/>
          <w:sz w:val="20"/>
        </w:rPr>
        <w:t xml:space="preserve"> de 2017</w:t>
      </w:r>
      <w:r w:rsidR="00B42E1F" w:rsidRPr="00C73BCF">
        <w:rPr>
          <w:rFonts w:ascii="Verdana" w:hAnsi="Verdana"/>
          <w:sz w:val="20"/>
        </w:rPr>
        <w:t>, un informe en el cual indique todas las medidas adoptadas para cumplir con las reparacio</w:t>
      </w:r>
      <w:r w:rsidR="00A1187E" w:rsidRPr="00C73BCF">
        <w:rPr>
          <w:rFonts w:ascii="Verdana" w:hAnsi="Verdana"/>
          <w:sz w:val="20"/>
        </w:rPr>
        <w:t>nes ordenadas por esta Corte en</w:t>
      </w:r>
      <w:r w:rsidR="00B42E1F" w:rsidRPr="00C73BCF">
        <w:rPr>
          <w:rFonts w:ascii="Verdana" w:hAnsi="Verdana"/>
          <w:sz w:val="20"/>
        </w:rPr>
        <w:t xml:space="preserve"> </w:t>
      </w:r>
      <w:r w:rsidR="00A7356C" w:rsidRPr="00C73BCF">
        <w:rPr>
          <w:rFonts w:ascii="Verdana" w:hAnsi="Verdana"/>
          <w:sz w:val="20"/>
        </w:rPr>
        <w:t xml:space="preserve">el párrafo 603 y en los términos de los párrafos </w:t>
      </w:r>
      <w:r w:rsidR="00C47F9C" w:rsidRPr="00C73BCF">
        <w:rPr>
          <w:rFonts w:ascii="Verdana" w:hAnsi="Verdana"/>
          <w:sz w:val="20"/>
        </w:rPr>
        <w:t xml:space="preserve">596, </w:t>
      </w:r>
      <w:r w:rsidR="00A7356C" w:rsidRPr="00C73BCF">
        <w:rPr>
          <w:rFonts w:ascii="Verdana" w:hAnsi="Verdana"/>
          <w:sz w:val="20"/>
        </w:rPr>
        <w:t>597, 606 y 610 de la Sentencia</w:t>
      </w:r>
      <w:r w:rsidR="00B9270D" w:rsidRPr="00C73BCF">
        <w:rPr>
          <w:rFonts w:ascii="Verdana" w:hAnsi="Verdana"/>
          <w:sz w:val="20"/>
          <w:szCs w:val="20"/>
        </w:rPr>
        <w:t xml:space="preserve">, de conformidad con lo señalado en los Considerandos </w:t>
      </w:r>
      <w:r w:rsidR="00CA4CC4" w:rsidRPr="00C73BCF">
        <w:rPr>
          <w:rFonts w:ascii="Verdana" w:hAnsi="Verdana"/>
          <w:sz w:val="20"/>
          <w:szCs w:val="20"/>
        </w:rPr>
        <w:t>9 a 1</w:t>
      </w:r>
      <w:r w:rsidR="00105F39" w:rsidRPr="00C73BCF">
        <w:rPr>
          <w:rFonts w:ascii="Verdana" w:hAnsi="Verdana"/>
          <w:sz w:val="20"/>
          <w:szCs w:val="20"/>
        </w:rPr>
        <w:t>3</w:t>
      </w:r>
      <w:r w:rsidR="00CA4CC4" w:rsidRPr="00C73BCF">
        <w:rPr>
          <w:rFonts w:ascii="Verdana" w:hAnsi="Verdana"/>
          <w:sz w:val="20"/>
          <w:szCs w:val="20"/>
        </w:rPr>
        <w:t xml:space="preserve"> y </w:t>
      </w:r>
      <w:r w:rsidR="00105F39" w:rsidRPr="00C73BCF">
        <w:rPr>
          <w:rFonts w:ascii="Verdana" w:hAnsi="Verdana"/>
          <w:sz w:val="20"/>
          <w:szCs w:val="20"/>
        </w:rPr>
        <w:t>19</w:t>
      </w:r>
      <w:r w:rsidR="00CA4CC4" w:rsidRPr="00C73BCF">
        <w:rPr>
          <w:rFonts w:ascii="Verdana" w:hAnsi="Verdana"/>
          <w:sz w:val="20"/>
          <w:szCs w:val="20"/>
        </w:rPr>
        <w:t xml:space="preserve"> a 2</w:t>
      </w:r>
      <w:r w:rsidR="00105F39" w:rsidRPr="00C73BCF">
        <w:rPr>
          <w:rFonts w:ascii="Verdana" w:hAnsi="Verdana"/>
          <w:sz w:val="20"/>
          <w:szCs w:val="20"/>
        </w:rPr>
        <w:t>4</w:t>
      </w:r>
      <w:r w:rsidR="00CA4CC4" w:rsidRPr="00C73BCF">
        <w:rPr>
          <w:rFonts w:ascii="Verdana" w:hAnsi="Verdana"/>
          <w:sz w:val="20"/>
          <w:szCs w:val="20"/>
        </w:rPr>
        <w:t xml:space="preserve"> de la presente Resolución, así como en </w:t>
      </w:r>
      <w:r w:rsidR="00105F39" w:rsidRPr="00C73BCF">
        <w:rPr>
          <w:rFonts w:ascii="Verdana" w:hAnsi="Verdana"/>
          <w:sz w:val="20"/>
          <w:szCs w:val="20"/>
        </w:rPr>
        <w:t xml:space="preserve">los </w:t>
      </w:r>
      <w:r w:rsidR="00CA4CC4" w:rsidRPr="00C73BCF">
        <w:rPr>
          <w:rFonts w:ascii="Verdana" w:hAnsi="Verdana"/>
          <w:sz w:val="20"/>
          <w:szCs w:val="20"/>
        </w:rPr>
        <w:t>punto</w:t>
      </w:r>
      <w:r w:rsidR="00105F39" w:rsidRPr="00C73BCF">
        <w:rPr>
          <w:rFonts w:ascii="Verdana" w:hAnsi="Verdana"/>
          <w:sz w:val="20"/>
          <w:szCs w:val="20"/>
        </w:rPr>
        <w:t>s</w:t>
      </w:r>
      <w:r w:rsidR="00CA4CC4" w:rsidRPr="00C73BCF">
        <w:rPr>
          <w:rFonts w:ascii="Verdana" w:hAnsi="Verdana"/>
          <w:sz w:val="20"/>
          <w:szCs w:val="20"/>
        </w:rPr>
        <w:t xml:space="preserve"> resolutivo</w:t>
      </w:r>
      <w:r w:rsidR="00105F39" w:rsidRPr="00C73BCF">
        <w:rPr>
          <w:rFonts w:ascii="Verdana" w:hAnsi="Verdana"/>
          <w:sz w:val="20"/>
          <w:szCs w:val="20"/>
        </w:rPr>
        <w:t>s</w:t>
      </w:r>
      <w:r w:rsidR="00CA4CC4" w:rsidRPr="00C73BCF">
        <w:rPr>
          <w:rFonts w:ascii="Verdana" w:hAnsi="Verdana"/>
          <w:sz w:val="20"/>
          <w:szCs w:val="20"/>
        </w:rPr>
        <w:t xml:space="preserve"> de la misma</w:t>
      </w:r>
      <w:r w:rsidR="00B42E1F" w:rsidRPr="00C73BCF">
        <w:rPr>
          <w:rFonts w:ascii="Verdana" w:hAnsi="Verdana"/>
          <w:sz w:val="20"/>
        </w:rPr>
        <w:t>.</w:t>
      </w:r>
    </w:p>
    <w:p w:rsidR="00B42E1F" w:rsidRPr="00C73BCF" w:rsidRDefault="00B42E1F" w:rsidP="00A7356C">
      <w:pPr>
        <w:pStyle w:val="Sombreadovistoso-nfasis3"/>
        <w:tabs>
          <w:tab w:val="left" w:pos="930"/>
        </w:tabs>
        <w:spacing w:after="0" w:line="240" w:lineRule="auto"/>
        <w:ind w:left="0"/>
        <w:jc w:val="both"/>
        <w:rPr>
          <w:rFonts w:ascii="Verdana" w:hAnsi="Verdana"/>
          <w:sz w:val="20"/>
        </w:rPr>
      </w:pPr>
    </w:p>
    <w:p w:rsidR="00B42E1F" w:rsidRPr="00C73BCF" w:rsidRDefault="00C0657A" w:rsidP="00386761">
      <w:pPr>
        <w:pStyle w:val="Sombreadovistoso-nfasis3"/>
        <w:spacing w:after="0" w:line="240" w:lineRule="auto"/>
        <w:ind w:left="0"/>
        <w:jc w:val="both"/>
        <w:rPr>
          <w:rFonts w:ascii="Verdana" w:hAnsi="Verdana"/>
          <w:sz w:val="20"/>
        </w:rPr>
      </w:pPr>
      <w:r w:rsidRPr="00C73BCF">
        <w:rPr>
          <w:rFonts w:ascii="Verdana" w:hAnsi="Verdana"/>
          <w:sz w:val="20"/>
        </w:rPr>
        <w:t>5</w:t>
      </w:r>
      <w:r w:rsidR="00B42E1F" w:rsidRPr="00C73BCF">
        <w:rPr>
          <w:rFonts w:ascii="Verdana" w:hAnsi="Verdana"/>
          <w:sz w:val="20"/>
        </w:rPr>
        <w:t>.</w:t>
      </w:r>
      <w:r w:rsidR="00B42E1F" w:rsidRPr="00C73BCF">
        <w:rPr>
          <w:rFonts w:ascii="Verdana" w:hAnsi="Verdana"/>
          <w:sz w:val="20"/>
        </w:rPr>
        <w:tab/>
        <w:t>Disponer que l</w:t>
      </w:r>
      <w:r w:rsidR="00CA4CC4" w:rsidRPr="00C73BCF">
        <w:rPr>
          <w:rFonts w:ascii="Verdana" w:hAnsi="Verdana"/>
          <w:sz w:val="20"/>
        </w:rPr>
        <w:t>os</w:t>
      </w:r>
      <w:r w:rsidR="00B42E1F" w:rsidRPr="00C73BCF">
        <w:rPr>
          <w:rFonts w:ascii="Verdana" w:hAnsi="Verdana"/>
          <w:sz w:val="20"/>
        </w:rPr>
        <w:t xml:space="preserve"> representante</w:t>
      </w:r>
      <w:r w:rsidR="00CA4CC4" w:rsidRPr="00C73BCF">
        <w:rPr>
          <w:rFonts w:ascii="Verdana" w:hAnsi="Verdana"/>
          <w:sz w:val="20"/>
        </w:rPr>
        <w:t>s</w:t>
      </w:r>
      <w:r w:rsidR="00B42E1F" w:rsidRPr="00C73BCF">
        <w:rPr>
          <w:rFonts w:ascii="Verdana" w:hAnsi="Verdana"/>
          <w:sz w:val="20"/>
        </w:rPr>
        <w:t xml:space="preserve"> de las víctimas y la Comisión Interamericana de Derechos Humanos presenten observaciones al informe del Estado mencionado en el punto resolutivo anterior, en los plazos de cuatro y seis semanas, respectivamente, contados a partir de la recepción del informe.</w:t>
      </w:r>
    </w:p>
    <w:p w:rsidR="00B42E1F" w:rsidRPr="00C73BCF" w:rsidRDefault="00B42E1F" w:rsidP="00386761">
      <w:pPr>
        <w:pStyle w:val="Sombreadovistoso-nfasis3"/>
        <w:spacing w:after="0" w:line="240" w:lineRule="auto"/>
        <w:ind w:left="0"/>
        <w:jc w:val="both"/>
        <w:rPr>
          <w:rFonts w:ascii="Verdana" w:hAnsi="Verdana"/>
          <w:sz w:val="20"/>
        </w:rPr>
      </w:pPr>
    </w:p>
    <w:p w:rsidR="00B42E1F" w:rsidRDefault="00C0657A" w:rsidP="00CD2FBE">
      <w:pPr>
        <w:pStyle w:val="Sombreadovistoso-nfasis3"/>
        <w:spacing w:after="0" w:line="240" w:lineRule="auto"/>
        <w:ind w:left="0"/>
        <w:jc w:val="both"/>
        <w:rPr>
          <w:rFonts w:ascii="Verdana" w:hAnsi="Verdana"/>
          <w:sz w:val="20"/>
        </w:rPr>
      </w:pPr>
      <w:r w:rsidRPr="00C73BCF">
        <w:rPr>
          <w:rFonts w:ascii="Verdana" w:hAnsi="Verdana"/>
          <w:sz w:val="20"/>
        </w:rPr>
        <w:t>6</w:t>
      </w:r>
      <w:r w:rsidR="00B42E1F" w:rsidRPr="00C73BCF">
        <w:rPr>
          <w:rFonts w:ascii="Verdana" w:hAnsi="Verdana"/>
          <w:sz w:val="20"/>
        </w:rPr>
        <w:t>.</w:t>
      </w:r>
      <w:r w:rsidR="00B42E1F" w:rsidRPr="00C73BCF">
        <w:rPr>
          <w:rFonts w:ascii="Verdana" w:hAnsi="Verdana"/>
          <w:sz w:val="20"/>
        </w:rPr>
        <w:tab/>
        <w:t>Disponer que la Secretaría de la Corte notifique la presente Resolución al Estado, a l</w:t>
      </w:r>
      <w:r w:rsidR="00CA4CC4" w:rsidRPr="00C73BCF">
        <w:rPr>
          <w:rFonts w:ascii="Verdana" w:hAnsi="Verdana"/>
          <w:sz w:val="20"/>
        </w:rPr>
        <w:t>os</w:t>
      </w:r>
      <w:r w:rsidR="00B42E1F" w:rsidRPr="00C73BCF">
        <w:rPr>
          <w:rFonts w:ascii="Verdana" w:hAnsi="Verdana"/>
          <w:sz w:val="20"/>
        </w:rPr>
        <w:t xml:space="preserve"> representante</w:t>
      </w:r>
      <w:r w:rsidR="00CA4CC4" w:rsidRPr="00C73BCF">
        <w:rPr>
          <w:rFonts w:ascii="Verdana" w:hAnsi="Verdana"/>
          <w:sz w:val="20"/>
        </w:rPr>
        <w:t>s</w:t>
      </w:r>
      <w:r w:rsidR="00B42E1F" w:rsidRPr="00C73BCF">
        <w:rPr>
          <w:rFonts w:ascii="Verdana" w:hAnsi="Verdana"/>
          <w:sz w:val="20"/>
        </w:rPr>
        <w:t xml:space="preserve"> de las víctimas y a la Comisión Interamericana de Derechos Humanos.</w:t>
      </w:r>
    </w:p>
    <w:p w:rsidR="00A51627" w:rsidRPr="00A51627" w:rsidRDefault="00A51627" w:rsidP="00A51627">
      <w:pPr>
        <w:keepNext/>
        <w:jc w:val="both"/>
        <w:outlineLvl w:val="0"/>
        <w:rPr>
          <w:rFonts w:ascii="Verdana" w:hAnsi="Verdana" w:cs="Verdana"/>
          <w:b/>
          <w:bCs/>
          <w:sz w:val="20"/>
          <w:lang w:val="es-ES"/>
        </w:rPr>
      </w:pPr>
      <w:r w:rsidRPr="00524655">
        <w:rPr>
          <w:rFonts w:ascii="Verdana" w:hAnsi="Verdana" w:cs="Courier New"/>
          <w:noProof/>
          <w:sz w:val="20"/>
          <w:lang w:val="es-AR"/>
        </w:rPr>
        <w:lastRenderedPageBreak/>
        <w:t xml:space="preserve">Corte IDH. </w:t>
      </w:r>
      <w:r w:rsidRPr="00831AC2">
        <w:rPr>
          <w:rFonts w:ascii="Verdana" w:hAnsi="Verdana"/>
          <w:bCs/>
          <w:i/>
          <w:sz w:val="20"/>
        </w:rPr>
        <w:t xml:space="preserve">Caso </w:t>
      </w:r>
      <w:r w:rsidRPr="00831AC2">
        <w:rPr>
          <w:rFonts w:ascii="Verdana" w:hAnsi="Verdana"/>
          <w:bCs/>
          <w:i/>
          <w:iCs/>
          <w:color w:val="000000"/>
          <w:sz w:val="20"/>
        </w:rPr>
        <w:t>Rodríguez Vera y otros (Desaparecidos del Palacio de Justicia) Vs. Colombia</w:t>
      </w:r>
      <w:r w:rsidRPr="00831AC2">
        <w:rPr>
          <w:rFonts w:ascii="Verdana" w:hAnsi="Verdana"/>
          <w:i/>
          <w:sz w:val="20"/>
          <w:lang w:val="es-ES"/>
        </w:rPr>
        <w:t>.</w:t>
      </w:r>
      <w:r w:rsidRPr="00831AC2">
        <w:rPr>
          <w:rFonts w:ascii="Verdana" w:hAnsi="Verdana" w:cs="Arial"/>
          <w:i/>
          <w:sz w:val="20"/>
        </w:rPr>
        <w:t xml:space="preserve"> </w:t>
      </w:r>
      <w:r>
        <w:rPr>
          <w:rFonts w:ascii="Verdana" w:hAnsi="Verdana"/>
          <w:sz w:val="20"/>
        </w:rPr>
        <w:t xml:space="preserve">Supervisión de cumplimiento de sentencia. </w:t>
      </w:r>
      <w:r>
        <w:rPr>
          <w:rFonts w:ascii="Verdana" w:hAnsi="Verdana"/>
          <w:sz w:val="20"/>
          <w:lang w:val="es-ES"/>
        </w:rPr>
        <w:t>Resolución</w:t>
      </w:r>
      <w:r w:rsidRPr="008C6E98">
        <w:rPr>
          <w:rFonts w:ascii="Verdana" w:hAnsi="Verdana"/>
          <w:sz w:val="20"/>
          <w:lang w:val="es-ES"/>
        </w:rPr>
        <w:t xml:space="preserve"> de la Corte Interamericana de Derechos Humanos</w:t>
      </w:r>
      <w:r>
        <w:rPr>
          <w:rFonts w:ascii="Verdana" w:hAnsi="Verdana"/>
          <w:sz w:val="20"/>
          <w:lang w:val="es-ES"/>
        </w:rPr>
        <w:t xml:space="preserve"> de </w:t>
      </w:r>
      <w:r w:rsidRPr="00831AC2">
        <w:rPr>
          <w:rFonts w:ascii="Verdana" w:hAnsi="Verdana"/>
          <w:sz w:val="20"/>
        </w:rPr>
        <w:t>10 de febrero de 2017</w:t>
      </w:r>
      <w:r>
        <w:rPr>
          <w:rFonts w:ascii="Verdana" w:hAnsi="Verdana"/>
          <w:sz w:val="20"/>
          <w:lang w:val="es-ES"/>
        </w:rPr>
        <w:t xml:space="preserve">. </w:t>
      </w:r>
    </w:p>
    <w:p w:rsidR="00A51627" w:rsidRDefault="00A51627" w:rsidP="00A51627">
      <w:pPr>
        <w:jc w:val="center"/>
        <w:rPr>
          <w:rFonts w:ascii="Verdana" w:hAnsi="Verdana"/>
          <w:sz w:val="20"/>
          <w:lang w:val="es-ES"/>
        </w:rPr>
      </w:pPr>
    </w:p>
    <w:p w:rsidR="00A51627" w:rsidRPr="004B7A1D" w:rsidRDefault="00A51627" w:rsidP="00A51627">
      <w:pPr>
        <w:jc w:val="center"/>
        <w:rPr>
          <w:rFonts w:ascii="Verdana" w:hAnsi="Verdana"/>
          <w:sz w:val="20"/>
          <w:lang w:val="es-ES"/>
        </w:rPr>
      </w:pPr>
      <w:r>
        <w:rPr>
          <w:rFonts w:ascii="Verdana" w:hAnsi="Verdana"/>
          <w:sz w:val="20"/>
          <w:lang w:val="es-ES"/>
        </w:rPr>
        <w:t>Roberto F. Caldas</w:t>
      </w:r>
    </w:p>
    <w:p w:rsidR="00A51627" w:rsidRPr="004B7A1D" w:rsidRDefault="00A51627" w:rsidP="00A51627">
      <w:pPr>
        <w:jc w:val="center"/>
        <w:rPr>
          <w:rFonts w:ascii="Verdana" w:hAnsi="Verdana"/>
          <w:sz w:val="20"/>
          <w:lang w:val="es-ES"/>
        </w:rPr>
      </w:pPr>
      <w:r w:rsidRPr="004B7A1D">
        <w:rPr>
          <w:rFonts w:ascii="Verdana" w:hAnsi="Verdana"/>
          <w:sz w:val="20"/>
          <w:lang w:val="es-ES"/>
        </w:rPr>
        <w:t xml:space="preserve">Presidente </w:t>
      </w: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r>
        <w:rPr>
          <w:rFonts w:ascii="Verdana" w:hAnsi="Verdana"/>
          <w:sz w:val="20"/>
          <w:lang w:val="es-ES"/>
        </w:rPr>
        <w:t>Eduardo Ferrer Mac-</w:t>
      </w:r>
      <w:proofErr w:type="spellStart"/>
      <w:r>
        <w:rPr>
          <w:rFonts w:ascii="Verdana" w:hAnsi="Verdana"/>
          <w:sz w:val="20"/>
          <w:lang w:val="es-ES"/>
        </w:rPr>
        <w:t>Gregor</w:t>
      </w:r>
      <w:proofErr w:type="spellEnd"/>
      <w:r>
        <w:rPr>
          <w:rFonts w:ascii="Verdana" w:hAnsi="Verdana"/>
          <w:sz w:val="20"/>
          <w:lang w:val="es-ES"/>
        </w:rPr>
        <w:t xml:space="preserve"> </w:t>
      </w:r>
      <w:proofErr w:type="spellStart"/>
      <w:r>
        <w:rPr>
          <w:rFonts w:ascii="Verdana" w:hAnsi="Verdana"/>
          <w:sz w:val="20"/>
          <w:lang w:val="es-ES"/>
        </w:rPr>
        <w:t>Poisot</w:t>
      </w:r>
      <w:proofErr w:type="spellEnd"/>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sidRPr="004B7A1D">
        <w:rPr>
          <w:rFonts w:ascii="Verdana" w:hAnsi="Verdana"/>
          <w:sz w:val="20"/>
          <w:lang w:val="es-ES"/>
        </w:rPr>
        <w:tab/>
      </w:r>
      <w:r>
        <w:rPr>
          <w:rFonts w:ascii="Verdana" w:hAnsi="Verdana"/>
          <w:sz w:val="20"/>
          <w:lang w:val="es-ES"/>
        </w:rPr>
        <w:t xml:space="preserve">       Eduardo Vio Grossi</w:t>
      </w: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r>
        <w:rPr>
          <w:rFonts w:ascii="Verdana" w:hAnsi="Verdana"/>
          <w:sz w:val="20"/>
          <w:lang w:val="es-ES"/>
        </w:rPr>
        <w:t>Elizabeth Odio Benito</w:t>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r>
      <w:r>
        <w:rPr>
          <w:rFonts w:ascii="Verdana" w:hAnsi="Verdana"/>
          <w:sz w:val="20"/>
          <w:lang w:val="es-ES"/>
        </w:rPr>
        <w:tab/>
        <w:t xml:space="preserve">  Eugenio Raúl </w:t>
      </w:r>
      <w:proofErr w:type="spellStart"/>
      <w:r>
        <w:rPr>
          <w:rFonts w:ascii="Verdana" w:hAnsi="Verdana"/>
          <w:sz w:val="20"/>
          <w:lang w:val="es-ES"/>
        </w:rPr>
        <w:t>Zaffaron</w:t>
      </w:r>
      <w:proofErr w:type="spellEnd"/>
    </w:p>
    <w:p w:rsidR="00A51627" w:rsidRPr="004B7A1D" w:rsidRDefault="00A51627" w:rsidP="00A51627">
      <w:pPr>
        <w:jc w:val="both"/>
        <w:rPr>
          <w:rFonts w:ascii="Verdana" w:hAnsi="Verdana"/>
          <w:sz w:val="20"/>
        </w:rPr>
      </w:pPr>
    </w:p>
    <w:p w:rsidR="00A51627" w:rsidRPr="004B7A1D" w:rsidRDefault="00A51627" w:rsidP="00A51627">
      <w:pPr>
        <w:jc w:val="both"/>
        <w:rPr>
          <w:rFonts w:ascii="Verdana" w:hAnsi="Verdana"/>
          <w:sz w:val="20"/>
          <w:lang w:val="es-ES"/>
        </w:rPr>
      </w:pPr>
    </w:p>
    <w:p w:rsidR="00A51627" w:rsidRPr="004B7A1D" w:rsidRDefault="00A51627" w:rsidP="00A51627">
      <w:pPr>
        <w:jc w:val="center"/>
        <w:rPr>
          <w:rFonts w:ascii="Verdana" w:hAnsi="Verdana"/>
          <w:sz w:val="20"/>
          <w:lang w:val="es-ES"/>
        </w:rPr>
      </w:pPr>
      <w:r w:rsidRPr="004B7A1D">
        <w:rPr>
          <w:rFonts w:ascii="Verdana" w:hAnsi="Verdana"/>
          <w:sz w:val="20"/>
          <w:lang w:val="es-ES"/>
        </w:rPr>
        <w:t>Pablo Saavedra Alessandri</w:t>
      </w:r>
    </w:p>
    <w:p w:rsidR="00A51627" w:rsidRPr="004B7A1D" w:rsidRDefault="00A51627" w:rsidP="00A51627">
      <w:pPr>
        <w:jc w:val="center"/>
        <w:rPr>
          <w:rFonts w:ascii="Verdana" w:hAnsi="Verdana"/>
          <w:sz w:val="20"/>
          <w:lang w:val="es-ES"/>
        </w:rPr>
      </w:pPr>
      <w:r w:rsidRPr="004B7A1D">
        <w:rPr>
          <w:rFonts w:ascii="Verdana" w:hAnsi="Verdana"/>
          <w:sz w:val="20"/>
          <w:lang w:val="es-ES"/>
        </w:rPr>
        <w:t>Secretario</w:t>
      </w:r>
    </w:p>
    <w:p w:rsidR="00A51627" w:rsidRPr="004B7A1D" w:rsidRDefault="00A51627" w:rsidP="00A51627">
      <w:pPr>
        <w:rPr>
          <w:rFonts w:ascii="Verdana" w:hAnsi="Verdana"/>
          <w:sz w:val="20"/>
          <w:lang w:val="es-ES"/>
        </w:rPr>
      </w:pPr>
    </w:p>
    <w:p w:rsidR="00A51627" w:rsidRPr="004B7A1D" w:rsidRDefault="00A51627" w:rsidP="00A51627">
      <w:pPr>
        <w:pStyle w:val="Textonotapie"/>
        <w:rPr>
          <w:rFonts w:ascii="Verdana" w:hAnsi="Verdana"/>
          <w:lang w:val="es-ES"/>
        </w:rPr>
      </w:pPr>
    </w:p>
    <w:p w:rsidR="00A51627" w:rsidRPr="004B7A1D" w:rsidRDefault="00A51627" w:rsidP="00A51627">
      <w:pPr>
        <w:jc w:val="both"/>
        <w:rPr>
          <w:rFonts w:ascii="Verdana" w:hAnsi="Verdana"/>
          <w:sz w:val="20"/>
          <w:lang w:val="es-ES"/>
        </w:rPr>
      </w:pPr>
      <w:r w:rsidRPr="004B7A1D">
        <w:rPr>
          <w:rFonts w:ascii="Verdana" w:hAnsi="Verdana"/>
          <w:sz w:val="20"/>
          <w:lang w:val="es-ES"/>
        </w:rPr>
        <w:t>Comuníquese y ejecútese,</w:t>
      </w:r>
    </w:p>
    <w:p w:rsidR="00A51627" w:rsidRPr="004B7A1D" w:rsidRDefault="00A51627" w:rsidP="00A51627">
      <w:pPr>
        <w:ind w:left="4956" w:firstLine="708"/>
        <w:jc w:val="center"/>
        <w:rPr>
          <w:rFonts w:ascii="Verdana" w:hAnsi="Verdana"/>
          <w:sz w:val="20"/>
          <w:lang w:val="es-ES"/>
        </w:rPr>
      </w:pPr>
      <w:r>
        <w:rPr>
          <w:rFonts w:ascii="Verdana" w:hAnsi="Verdana"/>
          <w:sz w:val="20"/>
          <w:lang w:val="es-ES"/>
        </w:rPr>
        <w:t>Roberto F. Caldas</w:t>
      </w:r>
    </w:p>
    <w:p w:rsidR="00A51627" w:rsidRPr="004B7A1D" w:rsidRDefault="00A51627" w:rsidP="00A51627">
      <w:pPr>
        <w:ind w:left="4956" w:firstLine="708"/>
        <w:jc w:val="center"/>
        <w:rPr>
          <w:rFonts w:ascii="Verdana" w:hAnsi="Verdana"/>
          <w:sz w:val="20"/>
          <w:lang w:val="es-ES"/>
        </w:rPr>
      </w:pPr>
      <w:r w:rsidRPr="004B7A1D">
        <w:rPr>
          <w:rFonts w:ascii="Verdana" w:hAnsi="Verdana"/>
          <w:sz w:val="20"/>
          <w:lang w:val="es-ES"/>
        </w:rPr>
        <w:t xml:space="preserve">Presidente </w:t>
      </w: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p>
    <w:p w:rsidR="00A51627" w:rsidRPr="004B7A1D" w:rsidRDefault="00A51627" w:rsidP="00A51627">
      <w:pPr>
        <w:jc w:val="both"/>
        <w:rPr>
          <w:rFonts w:ascii="Verdana" w:hAnsi="Verdana"/>
          <w:sz w:val="20"/>
          <w:lang w:val="es-ES"/>
        </w:rPr>
      </w:pPr>
      <w:r w:rsidRPr="004B7A1D">
        <w:rPr>
          <w:rFonts w:ascii="Verdana" w:hAnsi="Verdana"/>
          <w:sz w:val="20"/>
          <w:lang w:val="es-ES"/>
        </w:rPr>
        <w:t>Pablo Saavedra Alessandri</w:t>
      </w:r>
    </w:p>
    <w:p w:rsidR="00A51627" w:rsidRPr="004B7A1D" w:rsidRDefault="00A51627" w:rsidP="00A51627">
      <w:pPr>
        <w:rPr>
          <w:rFonts w:ascii="Verdana" w:hAnsi="Verdana"/>
          <w:sz w:val="20"/>
        </w:rPr>
      </w:pPr>
      <w:r w:rsidRPr="004B7A1D">
        <w:rPr>
          <w:rFonts w:ascii="Verdana" w:hAnsi="Verdana"/>
          <w:sz w:val="20"/>
          <w:lang w:val="es-ES"/>
        </w:rPr>
        <w:tab/>
      </w:r>
      <w:r w:rsidRPr="004B7A1D">
        <w:rPr>
          <w:rFonts w:ascii="Verdana" w:hAnsi="Verdana"/>
          <w:sz w:val="20"/>
        </w:rPr>
        <w:t>Secretario</w:t>
      </w:r>
    </w:p>
    <w:p w:rsidR="00A51627" w:rsidRPr="00CD2FBE" w:rsidRDefault="00A51627" w:rsidP="00CD2FBE">
      <w:pPr>
        <w:pStyle w:val="Sombreadovistoso-nfasis3"/>
        <w:spacing w:after="0" w:line="240" w:lineRule="auto"/>
        <w:ind w:left="0"/>
        <w:jc w:val="both"/>
        <w:rPr>
          <w:rFonts w:ascii="Verdana" w:hAnsi="Verdana"/>
          <w:sz w:val="20"/>
        </w:rPr>
      </w:pPr>
    </w:p>
    <w:sectPr w:rsidR="00A51627" w:rsidRPr="00CD2FBE" w:rsidSect="00FE0980">
      <w:headerReference w:type="default" r:id="rId8"/>
      <w:footerReference w:type="default" r:id="rId9"/>
      <w:headerReference w:type="first" r:id="rId10"/>
      <w:endnotePr>
        <w:numFmt w:val="decimal"/>
      </w:endnotePr>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A269F" w:rsidRDefault="002A269F" w:rsidP="005A1B3D">
      <w:pPr>
        <w:spacing w:after="0" w:line="240" w:lineRule="auto"/>
      </w:pPr>
      <w:r>
        <w:separator/>
      </w:r>
    </w:p>
  </w:endnote>
  <w:endnote w:type="continuationSeparator" w:id="0">
    <w:p w:rsidR="002A269F" w:rsidRDefault="002A269F" w:rsidP="005A1B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F5" w:rsidRDefault="001107F5" w:rsidP="0006620E">
    <w:pPr>
      <w:pStyle w:val="Piedepgina"/>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A269F" w:rsidRDefault="002A269F" w:rsidP="005A1B3D">
      <w:pPr>
        <w:spacing w:after="0" w:line="240" w:lineRule="auto"/>
      </w:pPr>
      <w:r>
        <w:separator/>
      </w:r>
    </w:p>
  </w:footnote>
  <w:footnote w:type="continuationSeparator" w:id="0">
    <w:p w:rsidR="002A269F" w:rsidRDefault="002A269F" w:rsidP="005A1B3D">
      <w:pPr>
        <w:spacing w:after="0" w:line="240" w:lineRule="auto"/>
      </w:pPr>
      <w:r>
        <w:continuationSeparator/>
      </w:r>
    </w:p>
  </w:footnote>
  <w:footnote w:id="1">
    <w:p w:rsidR="001107F5" w:rsidRPr="00C73BCF" w:rsidRDefault="001107F5" w:rsidP="004014AF">
      <w:pPr>
        <w:pStyle w:val="Textonotapie"/>
        <w:tabs>
          <w:tab w:val="left" w:pos="360"/>
          <w:tab w:val="left" w:pos="540"/>
          <w:tab w:val="left" w:pos="567"/>
        </w:tabs>
        <w:jc w:val="both"/>
        <w:rPr>
          <w:rFonts w:ascii="Verdana" w:hAnsi="Verdana"/>
          <w:color w:val="000000"/>
          <w:sz w:val="16"/>
          <w:szCs w:val="16"/>
        </w:rPr>
      </w:pPr>
      <w:r w:rsidRPr="00C73BCF">
        <w:rPr>
          <w:rFonts w:ascii="Verdana" w:hAnsi="Verdana"/>
          <w:color w:val="000000"/>
          <w:sz w:val="16"/>
          <w:szCs w:val="16"/>
        </w:rPr>
        <w:t>*</w:t>
      </w:r>
      <w:r w:rsidRPr="00C73BCF">
        <w:rPr>
          <w:rFonts w:ascii="Verdana" w:hAnsi="Verdana"/>
          <w:color w:val="000000"/>
          <w:sz w:val="16"/>
          <w:szCs w:val="16"/>
        </w:rPr>
        <w:tab/>
        <w:t>El Juez Humberto Antonio Sierra Porto, de nacionalidad colombiana, no participó en la deliberación y firma de la Sentencia del presente caso, ni en el conocimiento y deliberación de la presente Resolución, de conformidad con lo dispuesto en el artículo 19.1 del Reglamento de la Corte. Asimismo, el</w:t>
      </w:r>
      <w:r w:rsidRPr="00C73BCF">
        <w:rPr>
          <w:rFonts w:ascii="Verdana" w:hAnsi="Verdana"/>
          <w:sz w:val="16"/>
          <w:szCs w:val="16"/>
        </w:rPr>
        <w:t xml:space="preserve"> Juez L. Patricio Pazmiño Freire no participó en la deliberación y firma de la presente Resolución por razones de fuerza mayor.</w:t>
      </w:r>
    </w:p>
    <w:p w:rsidR="001107F5" w:rsidRPr="00C73BCF" w:rsidRDefault="001107F5" w:rsidP="004014AF">
      <w:pPr>
        <w:pStyle w:val="Textonotapie"/>
        <w:tabs>
          <w:tab w:val="left" w:pos="360"/>
          <w:tab w:val="left" w:pos="540"/>
          <w:tab w:val="left" w:pos="567"/>
        </w:tabs>
        <w:jc w:val="both"/>
        <w:rPr>
          <w:rFonts w:ascii="Verdana" w:hAnsi="Verdana"/>
          <w:color w:val="000000"/>
          <w:sz w:val="16"/>
          <w:szCs w:val="16"/>
        </w:rPr>
      </w:pPr>
      <w:r w:rsidRPr="00C73BCF">
        <w:rPr>
          <w:rStyle w:val="Refdenotaalpie"/>
          <w:rFonts w:ascii="Verdana" w:hAnsi="Verdana"/>
          <w:color w:val="000000"/>
          <w:sz w:val="16"/>
          <w:szCs w:val="16"/>
        </w:rPr>
        <w:footnoteRef/>
      </w:r>
      <w:r w:rsidRPr="00C73BCF">
        <w:rPr>
          <w:rFonts w:ascii="Verdana" w:hAnsi="Verdana"/>
          <w:color w:val="000000"/>
          <w:sz w:val="16"/>
          <w:szCs w:val="16"/>
        </w:rPr>
        <w:t xml:space="preserve"> </w:t>
      </w:r>
      <w:r w:rsidRPr="00C73BCF">
        <w:rPr>
          <w:rFonts w:ascii="Verdana" w:hAnsi="Verdana"/>
          <w:color w:val="000000"/>
          <w:sz w:val="16"/>
          <w:szCs w:val="16"/>
        </w:rPr>
        <w:tab/>
      </w:r>
      <w:r w:rsidRPr="00C73BCF">
        <w:rPr>
          <w:rFonts w:ascii="Verdana" w:hAnsi="Verdana"/>
          <w:i/>
          <w:color w:val="000000"/>
          <w:sz w:val="16"/>
          <w:szCs w:val="16"/>
        </w:rPr>
        <w:t xml:space="preserve">Cfr. Caso Rodríguez Vera y otros (Desaparecidos del Palacio de Justicia) Vs. Colombia. Excepciones Preliminares, Fondo, Reparaciones y Costas. Sentencia de 14 de noviembre de 2014. Serie C No. 287. </w:t>
      </w:r>
      <w:r w:rsidRPr="00C73BCF">
        <w:rPr>
          <w:rFonts w:ascii="Verdana" w:hAnsi="Verdana"/>
          <w:color w:val="000000"/>
          <w:sz w:val="16"/>
          <w:szCs w:val="16"/>
        </w:rPr>
        <w:t>El texto íntegro de la Sentencia se encuentra disponible en:</w:t>
      </w:r>
      <w:r w:rsidRPr="00C73BCF">
        <w:rPr>
          <w:rFonts w:ascii="Verdana" w:hAnsi="Verdana"/>
          <w:sz w:val="16"/>
          <w:szCs w:val="16"/>
        </w:rPr>
        <w:t xml:space="preserve"> </w:t>
      </w:r>
      <w:hyperlink r:id="rId1" w:history="1">
        <w:r w:rsidRPr="00C73BCF">
          <w:rPr>
            <w:rStyle w:val="Hipervnculo"/>
            <w:rFonts w:ascii="Verdana" w:hAnsi="Verdana"/>
            <w:sz w:val="16"/>
            <w:szCs w:val="16"/>
          </w:rPr>
          <w:t>http://www.corteidh.or.cr/docs/casos/articulos/seriec_287_es</w:t>
        </w:r>
        <w:r w:rsidRPr="00C73BCF">
          <w:rPr>
            <w:rStyle w:val="Hipervnculo"/>
            <w:rFonts w:ascii="Verdana" w:hAnsi="Verdana"/>
            <w:sz w:val="16"/>
            <w:szCs w:val="16"/>
          </w:rPr>
          <w:t>p</w:t>
        </w:r>
        <w:r w:rsidRPr="00C73BCF">
          <w:rPr>
            <w:rStyle w:val="Hipervnculo"/>
            <w:rFonts w:ascii="Verdana" w:hAnsi="Verdana"/>
            <w:sz w:val="16"/>
            <w:szCs w:val="16"/>
          </w:rPr>
          <w:t>.pdf</w:t>
        </w:r>
      </w:hyperlink>
      <w:r w:rsidRPr="00C73BCF">
        <w:rPr>
          <w:rFonts w:ascii="Verdana" w:hAnsi="Verdana"/>
          <w:color w:val="000000"/>
          <w:sz w:val="16"/>
          <w:szCs w:val="16"/>
        </w:rPr>
        <w:t xml:space="preserve">. La Sentencia fue notificada el 10 de diciembre de 2014. </w:t>
      </w:r>
    </w:p>
  </w:footnote>
  <w:footnote w:id="2">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sz w:val="16"/>
          <w:szCs w:val="16"/>
        </w:rPr>
        <w:t xml:space="preserve">Escritos de 15 de diciembre de 2015; 17 de agosto y 7 de diciembre de 2016 y 12 de enero de 2017. </w:t>
      </w:r>
    </w:p>
  </w:footnote>
  <w:footnote w:id="3">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sz w:val="16"/>
          <w:szCs w:val="16"/>
        </w:rPr>
        <w:t>Las organizaciones no gubernamentales Corporación Colectivo de Abogados “José Alvear Restrepo” (CCAJAR), el Centro por la Justicia y el Derecho Internacional (CEJIL), la Comisión Intereclesial de Justicia y Paz y los abogados Jorge Molano y Germán Romero.</w:t>
      </w:r>
    </w:p>
  </w:footnote>
  <w:footnote w:id="4">
    <w:p w:rsidR="001107F5" w:rsidRPr="00C73BCF" w:rsidRDefault="001107F5" w:rsidP="004014AF">
      <w:pPr>
        <w:pStyle w:val="Textonotapie"/>
        <w:tabs>
          <w:tab w:val="left" w:pos="360"/>
          <w:tab w:val="left" w:pos="540"/>
        </w:tabs>
        <w:jc w:val="both"/>
        <w:rPr>
          <w:rFonts w:ascii="Verdana" w:hAnsi="Verdana"/>
          <w:b/>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Escritos de 7 de marzo, 13 de septiembre, </w:t>
      </w:r>
      <w:r w:rsidR="00645256" w:rsidRPr="00C73BCF">
        <w:rPr>
          <w:rFonts w:ascii="Verdana" w:hAnsi="Verdana"/>
          <w:sz w:val="16"/>
          <w:szCs w:val="16"/>
        </w:rPr>
        <w:t xml:space="preserve">3 de octubre, </w:t>
      </w:r>
      <w:r w:rsidRPr="00C73BCF">
        <w:rPr>
          <w:rFonts w:ascii="Verdana" w:hAnsi="Verdana"/>
          <w:sz w:val="16"/>
          <w:szCs w:val="16"/>
        </w:rPr>
        <w:t>1 de diciembre y 8 de diciembre de 2016.</w:t>
      </w:r>
    </w:p>
  </w:footnote>
  <w:footnote w:id="5">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sz w:val="16"/>
          <w:szCs w:val="16"/>
        </w:rPr>
        <w:t xml:space="preserve">Comunicaciones de 26 de agosto, 30 de noviembre y 23 de diciembre de 2016. </w:t>
      </w:r>
    </w:p>
  </w:footnote>
  <w:footnote w:id="6">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Comunicaciones de 17 de noviembre y 2 de diciembre de 2016, así como de 6 de enero de 2017.</w:t>
      </w:r>
    </w:p>
  </w:footnote>
  <w:footnote w:id="7">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Facultad que además </w:t>
      </w:r>
      <w:r w:rsidRPr="00C73BCF">
        <w:rPr>
          <w:rFonts w:ascii="Verdana" w:hAnsi="Verdana"/>
          <w:sz w:val="16"/>
          <w:szCs w:val="16"/>
          <w:lang w:val="es-ES"/>
        </w:rPr>
        <w:t xml:space="preserve">se desprende de lo dispuesto en los artículos 33, 62.1, 62.3 y 65 de la Convención Americana y </w:t>
      </w:r>
      <w:r w:rsidRPr="00C73BCF">
        <w:rPr>
          <w:rFonts w:ascii="Verdana" w:hAnsi="Verdana"/>
          <w:sz w:val="16"/>
          <w:szCs w:val="16"/>
        </w:rPr>
        <w:t>30 de su Estatuto y se encuentra regulada en el artículo 69 de su Reglamento.</w:t>
      </w:r>
    </w:p>
  </w:footnote>
  <w:footnote w:id="8">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Relativas a: i) realizar las investigaciones necesarias para </w:t>
      </w:r>
      <w:r w:rsidR="009715FA" w:rsidRPr="00C73BCF">
        <w:rPr>
          <w:rFonts w:ascii="Verdana" w:hAnsi="Verdana"/>
          <w:sz w:val="16"/>
          <w:szCs w:val="16"/>
        </w:rPr>
        <w:t xml:space="preserve">establecer la verdad de los hechos así como </w:t>
      </w:r>
      <w:r w:rsidRPr="00C73BCF">
        <w:rPr>
          <w:rFonts w:ascii="Verdana" w:hAnsi="Verdana"/>
          <w:sz w:val="16"/>
          <w:szCs w:val="16"/>
        </w:rPr>
        <w:t>determinar, juzgar y, en su caso, sancionar a todos los responsables de las desapariciones forzadas de las diez víctimas señaladas en la Sentencia, de la desaparición forzada y posterior ejecución extrajudicial de Carlos Horacio Urán Rojas, así como de las detenciones y torturas o tratos crueles y degradantes sufridos, respectivamente, por Yolanda Santodomingo Albericci, Eduardo Matson Ospino, José Vicente Rubiano Galvis y Orlando Quijano (</w:t>
      </w:r>
      <w:r w:rsidRPr="00C73BCF">
        <w:rPr>
          <w:rFonts w:ascii="Verdana" w:hAnsi="Verdana"/>
          <w:i/>
          <w:sz w:val="16"/>
          <w:szCs w:val="16"/>
        </w:rPr>
        <w:t>punto dispositivo décimo noveno de la Sentencia</w:t>
      </w:r>
      <w:r w:rsidRPr="00C73BCF">
        <w:rPr>
          <w:rFonts w:ascii="Verdana" w:hAnsi="Verdana"/>
          <w:sz w:val="16"/>
          <w:szCs w:val="16"/>
        </w:rPr>
        <w:t>); ii) conducir las investigaciones necesarias para determinar y esclarecer los hechos referentes a Norma Constanza Esguerra Forero y Ana Rosa Castiblanco Torres (</w:t>
      </w:r>
      <w:r w:rsidRPr="00C73BCF">
        <w:rPr>
          <w:rFonts w:ascii="Verdana" w:hAnsi="Verdana"/>
          <w:i/>
          <w:sz w:val="16"/>
          <w:szCs w:val="16"/>
        </w:rPr>
        <w:t>punto dispositivo vigésimo de la Sentencia</w:t>
      </w:r>
      <w:r w:rsidRPr="00C73BCF">
        <w:rPr>
          <w:rFonts w:ascii="Verdana" w:hAnsi="Verdana"/>
          <w:sz w:val="16"/>
          <w:szCs w:val="16"/>
        </w:rPr>
        <w:t>); iii) determinar el paradero de las once víctimas aún desaparecidas (</w:t>
      </w:r>
      <w:r w:rsidRPr="00C73BCF">
        <w:rPr>
          <w:rFonts w:ascii="Verdana" w:hAnsi="Verdana"/>
          <w:i/>
          <w:sz w:val="16"/>
          <w:szCs w:val="16"/>
        </w:rPr>
        <w:t>punto dispositivo vigésimo primero de la Sentencia</w:t>
      </w:r>
      <w:r w:rsidRPr="00C73BCF">
        <w:rPr>
          <w:rFonts w:ascii="Verdana" w:hAnsi="Verdana"/>
          <w:sz w:val="16"/>
          <w:szCs w:val="16"/>
        </w:rPr>
        <w:t>); iv) brindar tratamiento médico, psicológico o psiquiátrico a las víctimas que así lo soliciten y, de ser el caso, pagar la suma establecida por concepto de gastos por dicho tratamiento para aquellas víctimas que residan fuera de Colombia (</w:t>
      </w:r>
      <w:r w:rsidRPr="00C73BCF">
        <w:rPr>
          <w:rFonts w:ascii="Verdana" w:hAnsi="Verdana"/>
          <w:i/>
          <w:sz w:val="16"/>
          <w:szCs w:val="16"/>
        </w:rPr>
        <w:t>punto dispositivo vigésimo segundo de la Sentencia</w:t>
      </w:r>
      <w:r w:rsidRPr="00C73BCF">
        <w:rPr>
          <w:rFonts w:ascii="Verdana" w:hAnsi="Verdana"/>
          <w:sz w:val="16"/>
          <w:szCs w:val="16"/>
        </w:rPr>
        <w:t>); v) realizar las publicaciones y difusiones radiales y televisivas indicadas en la Sentencia (</w:t>
      </w:r>
      <w:r w:rsidRPr="00C73BCF">
        <w:rPr>
          <w:rFonts w:ascii="Verdana" w:hAnsi="Verdana"/>
          <w:i/>
          <w:sz w:val="16"/>
          <w:szCs w:val="16"/>
        </w:rPr>
        <w:t>punto dispositivo vigésimo tercero de la Sentencia</w:t>
      </w:r>
      <w:r w:rsidRPr="00C73BCF">
        <w:rPr>
          <w:rFonts w:ascii="Verdana" w:hAnsi="Verdana"/>
          <w:sz w:val="16"/>
          <w:szCs w:val="16"/>
        </w:rPr>
        <w:t>); vi) realizar un acto público de reconocimiento de responsabilidad internacional por los hechos del caso (</w:t>
      </w:r>
      <w:r w:rsidRPr="00C73BCF">
        <w:rPr>
          <w:rFonts w:ascii="Verdana" w:hAnsi="Verdana"/>
          <w:i/>
          <w:sz w:val="16"/>
          <w:szCs w:val="16"/>
        </w:rPr>
        <w:t>punto dispositivo vigésimo cuarto de la Sentencia</w:t>
      </w:r>
      <w:r w:rsidRPr="00C73BCF">
        <w:rPr>
          <w:rFonts w:ascii="Verdana" w:hAnsi="Verdana"/>
          <w:sz w:val="16"/>
          <w:szCs w:val="16"/>
        </w:rPr>
        <w:t>); vii) realizar un documental audiovisual sobre los hechos del caso, sus víctimas y la búsqueda de justicia de sus familiares (</w:t>
      </w:r>
      <w:r w:rsidRPr="00C73BCF">
        <w:rPr>
          <w:rFonts w:ascii="Verdana" w:hAnsi="Verdana"/>
          <w:i/>
          <w:sz w:val="16"/>
          <w:szCs w:val="16"/>
        </w:rPr>
        <w:t>punto dispositivo vigésimo quinto de la Sentencia</w:t>
      </w:r>
      <w:r w:rsidRPr="00C73BCF">
        <w:rPr>
          <w:rFonts w:ascii="Verdana" w:hAnsi="Verdana"/>
          <w:sz w:val="16"/>
          <w:szCs w:val="16"/>
        </w:rPr>
        <w:t>)</w:t>
      </w:r>
      <w:r w:rsidR="00DF0AAF" w:rsidRPr="00C73BCF">
        <w:rPr>
          <w:rFonts w:ascii="Verdana" w:hAnsi="Verdana"/>
          <w:sz w:val="16"/>
          <w:szCs w:val="16"/>
        </w:rPr>
        <w:t>;</w:t>
      </w:r>
      <w:r w:rsidRPr="00C73BCF">
        <w:rPr>
          <w:rFonts w:ascii="Verdana" w:hAnsi="Verdana"/>
          <w:sz w:val="16"/>
          <w:szCs w:val="16"/>
        </w:rPr>
        <w:t xml:space="preserve"> viii) pagar las cantidades fijadas en la Sentencia por concepto de indemnizaciones por daños materiales e inmateriales</w:t>
      </w:r>
      <w:r w:rsidR="00DF0AAF" w:rsidRPr="00C73BCF">
        <w:rPr>
          <w:rFonts w:ascii="Verdana" w:hAnsi="Verdana"/>
          <w:sz w:val="16"/>
          <w:szCs w:val="16"/>
        </w:rPr>
        <w:t xml:space="preserve"> (</w:t>
      </w:r>
      <w:r w:rsidR="00DF0AAF" w:rsidRPr="00C73BCF">
        <w:rPr>
          <w:rFonts w:ascii="Verdana" w:hAnsi="Verdana"/>
          <w:i/>
          <w:sz w:val="16"/>
          <w:szCs w:val="16"/>
        </w:rPr>
        <w:t>punto dispositivo vigésimo sexto de la Sentencia</w:t>
      </w:r>
      <w:r w:rsidR="00DF0AAF" w:rsidRPr="00C73BCF">
        <w:rPr>
          <w:rFonts w:ascii="Verdana" w:hAnsi="Verdana"/>
          <w:sz w:val="16"/>
          <w:szCs w:val="16"/>
        </w:rPr>
        <w:t>),</w:t>
      </w:r>
      <w:r w:rsidRPr="00C73BCF">
        <w:rPr>
          <w:rFonts w:ascii="Verdana" w:hAnsi="Verdana"/>
          <w:sz w:val="16"/>
          <w:szCs w:val="16"/>
        </w:rPr>
        <w:t xml:space="preserve"> y </w:t>
      </w:r>
      <w:r w:rsidR="00DF0AAF" w:rsidRPr="00C73BCF">
        <w:rPr>
          <w:rFonts w:ascii="Verdana" w:hAnsi="Verdana"/>
          <w:sz w:val="16"/>
          <w:szCs w:val="16"/>
        </w:rPr>
        <w:t xml:space="preserve">ix) </w:t>
      </w:r>
      <w:r w:rsidRPr="00C73BCF">
        <w:rPr>
          <w:rFonts w:ascii="Verdana" w:hAnsi="Verdana"/>
          <w:sz w:val="16"/>
          <w:szCs w:val="16"/>
        </w:rPr>
        <w:t>reintegro de costas y gastos (</w:t>
      </w:r>
      <w:r w:rsidRPr="00C73BCF">
        <w:rPr>
          <w:rFonts w:ascii="Verdana" w:hAnsi="Verdana"/>
          <w:i/>
          <w:sz w:val="16"/>
          <w:szCs w:val="16"/>
        </w:rPr>
        <w:t xml:space="preserve">punto dispositivo vigésimo </w:t>
      </w:r>
      <w:r w:rsidR="009715FA" w:rsidRPr="00C73BCF">
        <w:rPr>
          <w:rFonts w:ascii="Verdana" w:hAnsi="Verdana"/>
          <w:i/>
          <w:sz w:val="16"/>
          <w:szCs w:val="16"/>
        </w:rPr>
        <w:t xml:space="preserve">sexto </w:t>
      </w:r>
      <w:r w:rsidRPr="00C73BCF">
        <w:rPr>
          <w:rFonts w:ascii="Verdana" w:hAnsi="Verdana"/>
          <w:i/>
          <w:sz w:val="16"/>
          <w:szCs w:val="16"/>
        </w:rPr>
        <w:t>de la Sentencia</w:t>
      </w:r>
      <w:r w:rsidRPr="00C73BCF">
        <w:rPr>
          <w:rFonts w:ascii="Verdana" w:hAnsi="Verdana"/>
          <w:sz w:val="16"/>
          <w:szCs w:val="16"/>
        </w:rPr>
        <w:t>).</w:t>
      </w:r>
    </w:p>
  </w:footnote>
  <w:footnote w:id="9">
    <w:p w:rsidR="009715FA" w:rsidRPr="00C73BCF" w:rsidRDefault="009715FA"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00745F69" w:rsidRPr="00C73BCF">
        <w:rPr>
          <w:rFonts w:ascii="Verdana" w:hAnsi="Verdana"/>
          <w:i/>
          <w:sz w:val="16"/>
          <w:szCs w:val="16"/>
        </w:rPr>
        <w:t>Cfr. Caso Cinco Pensionistas Vs. Perú. Supervisión de Cumplimiento de Sentencia</w:t>
      </w:r>
      <w:r w:rsidR="00745F69" w:rsidRPr="00C73BCF">
        <w:rPr>
          <w:rFonts w:ascii="Verdana" w:hAnsi="Verdana"/>
          <w:sz w:val="16"/>
          <w:szCs w:val="16"/>
        </w:rPr>
        <w:t xml:space="preserve">. Resolución de la Corte de 17 de noviembre de 2004, Considerando quinto, y </w:t>
      </w:r>
      <w:r w:rsidR="00745F69" w:rsidRPr="00C73BCF">
        <w:rPr>
          <w:rFonts w:ascii="Verdana" w:hAnsi="Verdana"/>
          <w:i/>
          <w:sz w:val="16"/>
          <w:szCs w:val="16"/>
        </w:rPr>
        <w:t>Caso Tibi Vs. Ecuador. Supervisión de Cumplimiento de Sentencia</w:t>
      </w:r>
      <w:r w:rsidR="00745F69" w:rsidRPr="00C73BCF">
        <w:rPr>
          <w:rFonts w:ascii="Verdana" w:hAnsi="Verdana"/>
          <w:sz w:val="16"/>
          <w:szCs w:val="16"/>
        </w:rPr>
        <w:t>. Resolución de la Corte Interamericana de Derechos Humanos 22 de noviembre de 2016, Considerando 2.</w:t>
      </w:r>
    </w:p>
  </w:footnote>
  <w:footnote w:id="10">
    <w:p w:rsidR="001107F5" w:rsidRPr="00C73BCF" w:rsidRDefault="001107F5" w:rsidP="004014AF">
      <w:pPr>
        <w:pStyle w:val="Textonotapie"/>
        <w:tabs>
          <w:tab w:val="left" w:pos="360"/>
          <w:tab w:val="left" w:pos="540"/>
        </w:tabs>
        <w:jc w:val="both"/>
        <w:rPr>
          <w:rFonts w:ascii="Verdana" w:hAnsi="Verdana"/>
          <w:b/>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rPr>
        <w:t>Cfr. Caso Ivcher Bronstein Vs. Perú. Competencia</w:t>
      </w:r>
      <w:r w:rsidRPr="00C73BCF">
        <w:rPr>
          <w:rFonts w:ascii="Verdana" w:hAnsi="Verdana"/>
          <w:sz w:val="16"/>
          <w:szCs w:val="16"/>
        </w:rPr>
        <w:t xml:space="preserve">. Sentencia de la Corte Interamericana de Derechos Humanos de 24 de septiembre de 1999. Serie C No. 54, párr. 37, y </w:t>
      </w:r>
      <w:r w:rsidR="00745F69" w:rsidRPr="00C73BCF">
        <w:rPr>
          <w:rFonts w:ascii="Verdana" w:hAnsi="Verdana"/>
          <w:i/>
          <w:sz w:val="16"/>
          <w:szCs w:val="16"/>
        </w:rPr>
        <w:t xml:space="preserve">Caso Tibi Vs. Ecuador. Supervisión de Cumplimiento de Sentencia, supra </w:t>
      </w:r>
      <w:r w:rsidR="00745F69" w:rsidRPr="00C73BCF">
        <w:rPr>
          <w:rFonts w:ascii="Verdana" w:hAnsi="Verdana"/>
          <w:sz w:val="16"/>
          <w:szCs w:val="16"/>
        </w:rPr>
        <w:t>nota 9,</w:t>
      </w:r>
      <w:r w:rsidRPr="00C73BCF">
        <w:rPr>
          <w:rFonts w:ascii="Verdana" w:hAnsi="Verdana"/>
          <w:sz w:val="16"/>
          <w:szCs w:val="16"/>
        </w:rPr>
        <w:t xml:space="preserve"> Considerando 2.</w:t>
      </w:r>
    </w:p>
  </w:footnote>
  <w:footnote w:id="11">
    <w:p w:rsidR="001107F5" w:rsidRPr="00C73BCF" w:rsidRDefault="001107F5" w:rsidP="004014AF">
      <w:pPr>
        <w:pStyle w:val="Textonotapie"/>
        <w:tabs>
          <w:tab w:val="left" w:pos="360"/>
          <w:tab w:val="left" w:pos="540"/>
        </w:tabs>
        <w:jc w:val="both"/>
        <w:rPr>
          <w:rFonts w:ascii="Verdana" w:hAnsi="Verdana"/>
          <w:b/>
          <w:sz w:val="16"/>
          <w:szCs w:val="16"/>
          <w:lang w:val="es-ES_tradnl"/>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En este mismo sentido, la víctima Lanao </w:t>
      </w:r>
      <w:proofErr w:type="spellStart"/>
      <w:r w:rsidRPr="00C73BCF">
        <w:rPr>
          <w:rFonts w:ascii="Verdana" w:hAnsi="Verdana"/>
          <w:sz w:val="16"/>
          <w:szCs w:val="16"/>
        </w:rPr>
        <w:t>Anzola</w:t>
      </w:r>
      <w:proofErr w:type="spellEnd"/>
      <w:r w:rsidRPr="00C73BCF">
        <w:rPr>
          <w:rFonts w:ascii="Verdana" w:hAnsi="Verdana"/>
          <w:sz w:val="16"/>
          <w:szCs w:val="16"/>
        </w:rPr>
        <w:t xml:space="preserve"> indicó a la Corte, mediante escrito de 23 de diciembre de 2016, que en las “resoluciones de pago [el</w:t>
      </w:r>
      <w:r w:rsidR="00592821" w:rsidRPr="00C73BCF">
        <w:rPr>
          <w:rFonts w:ascii="Verdana" w:hAnsi="Verdana"/>
          <w:sz w:val="16"/>
          <w:szCs w:val="16"/>
        </w:rPr>
        <w:t>]</w:t>
      </w:r>
      <w:r w:rsidRPr="00C73BCF">
        <w:rPr>
          <w:rFonts w:ascii="Verdana" w:hAnsi="Verdana"/>
          <w:sz w:val="16"/>
          <w:szCs w:val="16"/>
        </w:rPr>
        <w:t xml:space="preserve"> Ministerio de Defensa Nacional […] </w:t>
      </w:r>
      <w:proofErr w:type="spellStart"/>
      <w:r w:rsidRPr="00C73BCF">
        <w:rPr>
          <w:rFonts w:ascii="Verdana" w:hAnsi="Verdana"/>
          <w:sz w:val="16"/>
          <w:szCs w:val="16"/>
        </w:rPr>
        <w:t>realiz</w:t>
      </w:r>
      <w:proofErr w:type="spellEnd"/>
      <w:r w:rsidRPr="00C73BCF">
        <w:rPr>
          <w:rFonts w:ascii="Verdana" w:hAnsi="Verdana"/>
          <w:sz w:val="16"/>
          <w:szCs w:val="16"/>
        </w:rPr>
        <w:t>[</w:t>
      </w:r>
      <w:proofErr w:type="spellStart"/>
      <w:r w:rsidRPr="00C73BCF">
        <w:rPr>
          <w:rFonts w:ascii="Verdana" w:hAnsi="Verdana"/>
          <w:sz w:val="16"/>
          <w:szCs w:val="16"/>
        </w:rPr>
        <w:t>ó</w:t>
      </w:r>
      <w:proofErr w:type="spellEnd"/>
      <w:r w:rsidRPr="00C73BCF">
        <w:rPr>
          <w:rFonts w:ascii="Verdana" w:hAnsi="Verdana"/>
          <w:sz w:val="16"/>
          <w:szCs w:val="16"/>
        </w:rPr>
        <w:t>] unas interpretaciones perversas, justificadas en que supuestamente [dicho M]</w:t>
      </w:r>
      <w:proofErr w:type="spellStart"/>
      <w:r w:rsidRPr="00C73BCF">
        <w:rPr>
          <w:rFonts w:ascii="Verdana" w:hAnsi="Verdana"/>
          <w:sz w:val="16"/>
          <w:szCs w:val="16"/>
        </w:rPr>
        <w:t>inisterio</w:t>
      </w:r>
      <w:proofErr w:type="spellEnd"/>
      <w:r w:rsidRPr="00C73BCF">
        <w:rPr>
          <w:rFonts w:ascii="Verdana" w:hAnsi="Verdana"/>
          <w:sz w:val="16"/>
          <w:szCs w:val="16"/>
        </w:rPr>
        <w:t xml:space="preserve"> </w:t>
      </w:r>
      <w:proofErr w:type="spellStart"/>
      <w:r w:rsidRPr="00C73BCF">
        <w:rPr>
          <w:rFonts w:ascii="Verdana" w:hAnsi="Verdana"/>
          <w:sz w:val="16"/>
          <w:szCs w:val="16"/>
        </w:rPr>
        <w:t>interpret</w:t>
      </w:r>
      <w:proofErr w:type="spellEnd"/>
      <w:r w:rsidRPr="00C73BCF">
        <w:rPr>
          <w:rFonts w:ascii="Verdana" w:hAnsi="Verdana"/>
          <w:sz w:val="16"/>
          <w:szCs w:val="16"/>
        </w:rPr>
        <w:t>[</w:t>
      </w:r>
      <w:proofErr w:type="spellStart"/>
      <w:r w:rsidRPr="00C73BCF">
        <w:rPr>
          <w:rFonts w:ascii="Verdana" w:hAnsi="Verdana"/>
          <w:sz w:val="16"/>
          <w:szCs w:val="16"/>
        </w:rPr>
        <w:t>ó</w:t>
      </w:r>
      <w:proofErr w:type="spellEnd"/>
      <w:r w:rsidRPr="00C73BCF">
        <w:rPr>
          <w:rFonts w:ascii="Verdana" w:hAnsi="Verdana"/>
          <w:sz w:val="16"/>
          <w:szCs w:val="16"/>
        </w:rPr>
        <w:t>] de forma ‘literal’ la [S]</w:t>
      </w:r>
      <w:proofErr w:type="spellStart"/>
      <w:r w:rsidRPr="00C73BCF">
        <w:rPr>
          <w:rFonts w:ascii="Verdana" w:hAnsi="Verdana"/>
          <w:sz w:val="16"/>
          <w:szCs w:val="16"/>
        </w:rPr>
        <w:t>entencia</w:t>
      </w:r>
      <w:proofErr w:type="spellEnd"/>
      <w:r w:rsidRPr="00C73BCF">
        <w:rPr>
          <w:rFonts w:ascii="Verdana" w:hAnsi="Verdana"/>
          <w:sz w:val="16"/>
          <w:szCs w:val="16"/>
        </w:rPr>
        <w:t xml:space="preserve"> y </w:t>
      </w:r>
      <w:proofErr w:type="spellStart"/>
      <w:r w:rsidRPr="00C73BCF">
        <w:rPr>
          <w:rFonts w:ascii="Verdana" w:hAnsi="Verdana"/>
          <w:sz w:val="16"/>
          <w:szCs w:val="16"/>
        </w:rPr>
        <w:t>distribuy</w:t>
      </w:r>
      <w:proofErr w:type="spellEnd"/>
      <w:r w:rsidRPr="00C73BCF">
        <w:rPr>
          <w:rFonts w:ascii="Verdana" w:hAnsi="Verdana"/>
          <w:sz w:val="16"/>
          <w:szCs w:val="16"/>
        </w:rPr>
        <w:t>[</w:t>
      </w:r>
      <w:proofErr w:type="spellStart"/>
      <w:r w:rsidRPr="00C73BCF">
        <w:rPr>
          <w:rFonts w:ascii="Verdana" w:hAnsi="Verdana"/>
          <w:sz w:val="16"/>
          <w:szCs w:val="16"/>
        </w:rPr>
        <w:t>ó</w:t>
      </w:r>
      <w:proofErr w:type="spellEnd"/>
      <w:r w:rsidRPr="00C73BCF">
        <w:rPr>
          <w:rFonts w:ascii="Verdana" w:hAnsi="Verdana"/>
          <w:sz w:val="16"/>
          <w:szCs w:val="16"/>
        </w:rPr>
        <w:t>] los montos de tal forma que las reparaciones derivadas de un litigio internacional determina[ron] valores irrisorios para el universo de afectados</w:t>
      </w:r>
      <w:r w:rsidR="00592821" w:rsidRPr="00C73BCF">
        <w:rPr>
          <w:rFonts w:ascii="Verdana" w:hAnsi="Verdana"/>
          <w:sz w:val="16"/>
          <w:szCs w:val="16"/>
        </w:rPr>
        <w:t>[</w:t>
      </w:r>
      <w:r w:rsidRPr="00C73BCF">
        <w:rPr>
          <w:rFonts w:ascii="Verdana" w:hAnsi="Verdana"/>
          <w:sz w:val="16"/>
          <w:szCs w:val="16"/>
        </w:rPr>
        <w:t>,] carentes de lógica”.</w:t>
      </w:r>
      <w:r w:rsidR="00592821" w:rsidRPr="00C73BCF">
        <w:rPr>
          <w:rFonts w:ascii="Verdana" w:hAnsi="Verdana"/>
          <w:sz w:val="16"/>
          <w:szCs w:val="16"/>
        </w:rPr>
        <w:t xml:space="preserve"> </w:t>
      </w:r>
    </w:p>
  </w:footnote>
  <w:footnote w:id="12">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rPr>
        <w:t xml:space="preserve">Cfr. </w:t>
      </w:r>
      <w:r w:rsidRPr="00C73BCF">
        <w:rPr>
          <w:rFonts w:ascii="Verdana" w:hAnsi="Verdana"/>
          <w:i/>
          <w:sz w:val="16"/>
          <w:szCs w:val="16"/>
        </w:rPr>
        <w:t>Caso Rodríguez Vera y otros (Desaparecidos del Palacio de Justicia) Vs. Colombia. Excepciones Preliminares, Fondo, Reparaciones y Costas</w:t>
      </w:r>
      <w:r w:rsidRPr="00C73BCF">
        <w:rPr>
          <w:rFonts w:ascii="Verdana" w:hAnsi="Verdana"/>
          <w:sz w:val="16"/>
          <w:szCs w:val="16"/>
        </w:rPr>
        <w:t xml:space="preserve">, </w:t>
      </w:r>
      <w:r w:rsidRPr="00C73BCF">
        <w:rPr>
          <w:rFonts w:ascii="Verdana" w:hAnsi="Verdana"/>
          <w:i/>
          <w:sz w:val="16"/>
          <w:szCs w:val="16"/>
        </w:rPr>
        <w:t>supra</w:t>
      </w:r>
      <w:r w:rsidRPr="00C73BCF">
        <w:rPr>
          <w:rFonts w:ascii="Verdana" w:hAnsi="Verdana"/>
          <w:sz w:val="16"/>
          <w:szCs w:val="16"/>
        </w:rPr>
        <w:t xml:space="preserve"> nota 1, párr. 603.</w:t>
      </w:r>
    </w:p>
  </w:footnote>
  <w:footnote w:id="13">
    <w:p w:rsidR="00F17E64" w:rsidRPr="00C73BCF" w:rsidRDefault="00F17E64"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En este mismo sentido, en la Resolución de supervisión de cumplimiento del </w:t>
      </w:r>
      <w:r w:rsidRPr="00C73BCF">
        <w:rPr>
          <w:rFonts w:ascii="Verdana" w:hAnsi="Verdana" w:cs="Arial"/>
          <w:i/>
          <w:sz w:val="16"/>
          <w:szCs w:val="16"/>
        </w:rPr>
        <w:t xml:space="preserve">Caso Luna López Vs. Honduras </w:t>
      </w:r>
      <w:r w:rsidRPr="00C73BCF">
        <w:rPr>
          <w:rFonts w:ascii="Verdana" w:hAnsi="Verdana" w:cs="Arial"/>
          <w:sz w:val="16"/>
          <w:szCs w:val="16"/>
        </w:rPr>
        <w:t xml:space="preserve">de 27 de enero de 2015, la Corte señaló que aun cuando en la Sentencia del caso no se había indicado que la indemnización por concepto de daño inmaterial debía pagarse </w:t>
      </w:r>
      <w:r w:rsidR="00A91EF2" w:rsidRPr="00C73BCF">
        <w:rPr>
          <w:rFonts w:ascii="Verdana" w:hAnsi="Verdana" w:cs="Arial"/>
          <w:sz w:val="16"/>
          <w:szCs w:val="16"/>
        </w:rPr>
        <w:t>“</w:t>
      </w:r>
      <w:r w:rsidRPr="00C73BCF">
        <w:rPr>
          <w:rFonts w:ascii="Verdana" w:hAnsi="Verdana" w:cs="Arial"/>
          <w:sz w:val="16"/>
          <w:szCs w:val="16"/>
        </w:rPr>
        <w:t>a cada uno</w:t>
      </w:r>
      <w:r w:rsidR="00A91EF2" w:rsidRPr="00C73BCF">
        <w:rPr>
          <w:rFonts w:ascii="Verdana" w:hAnsi="Verdana" w:cs="Arial"/>
          <w:sz w:val="16"/>
          <w:szCs w:val="16"/>
        </w:rPr>
        <w:t>”</w:t>
      </w:r>
      <w:r w:rsidRPr="00C73BCF">
        <w:rPr>
          <w:rFonts w:ascii="Verdana" w:hAnsi="Verdana" w:cs="Arial"/>
          <w:sz w:val="16"/>
          <w:szCs w:val="16"/>
        </w:rPr>
        <w:t xml:space="preserve"> de los familiares señalados en el párrafo </w:t>
      </w:r>
      <w:r w:rsidR="00A91EF2" w:rsidRPr="00C73BCF">
        <w:rPr>
          <w:rFonts w:ascii="Verdana" w:hAnsi="Verdana" w:cs="Arial"/>
          <w:sz w:val="16"/>
          <w:szCs w:val="16"/>
        </w:rPr>
        <w:t xml:space="preserve">del fallo </w:t>
      </w:r>
      <w:r w:rsidRPr="00C73BCF">
        <w:rPr>
          <w:rFonts w:ascii="Verdana" w:hAnsi="Verdana" w:cs="Arial"/>
          <w:sz w:val="16"/>
          <w:szCs w:val="16"/>
        </w:rPr>
        <w:t>en el cual se ordenaba la</w:t>
      </w:r>
      <w:r w:rsidR="00A91EF2" w:rsidRPr="00C73BCF">
        <w:rPr>
          <w:rFonts w:ascii="Verdana" w:hAnsi="Verdana" w:cs="Arial"/>
          <w:sz w:val="16"/>
          <w:szCs w:val="16"/>
        </w:rPr>
        <w:t xml:space="preserve"> referida reparación</w:t>
      </w:r>
      <w:r w:rsidRPr="00C73BCF">
        <w:rPr>
          <w:rFonts w:ascii="Verdana" w:hAnsi="Verdana" w:cs="Arial"/>
          <w:sz w:val="16"/>
          <w:szCs w:val="16"/>
        </w:rPr>
        <w:t>, debía entenderse que eso era lo correcto por ser acorde a las violaciones declaradas en el Fallo.</w:t>
      </w:r>
      <w:r w:rsidRPr="00C73BCF">
        <w:rPr>
          <w:rFonts w:ascii="Verdana" w:hAnsi="Verdana" w:cs="Arial"/>
          <w:i/>
          <w:sz w:val="16"/>
          <w:szCs w:val="16"/>
        </w:rPr>
        <w:t xml:space="preserve"> Cfr. Supervisión de Cumplimiento de Sentencia</w:t>
      </w:r>
      <w:r w:rsidRPr="00C73BCF">
        <w:rPr>
          <w:rFonts w:ascii="Verdana" w:hAnsi="Verdana" w:cs="Arial"/>
          <w:sz w:val="16"/>
          <w:szCs w:val="16"/>
        </w:rPr>
        <w:t>. Resolución de la Corte Interamericana de Derechos Humanos de 27 de enero de 2015, Considerandos 21 y 22.</w:t>
      </w:r>
    </w:p>
  </w:footnote>
  <w:footnote w:id="14">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La Corte </w:t>
      </w:r>
      <w:r w:rsidR="00A91EF2" w:rsidRPr="00C73BCF">
        <w:rPr>
          <w:rFonts w:ascii="Verdana" w:hAnsi="Verdana"/>
          <w:sz w:val="16"/>
          <w:szCs w:val="16"/>
        </w:rPr>
        <w:t>consistentemente</w:t>
      </w:r>
      <w:r w:rsidRPr="00C73BCF">
        <w:rPr>
          <w:rFonts w:ascii="Verdana" w:hAnsi="Verdana"/>
          <w:sz w:val="16"/>
          <w:szCs w:val="16"/>
        </w:rPr>
        <w:t xml:space="preserve"> ha </w:t>
      </w:r>
      <w:r w:rsidR="00F67D6E" w:rsidRPr="00C73BCF">
        <w:rPr>
          <w:rFonts w:ascii="Verdana" w:hAnsi="Verdana"/>
          <w:sz w:val="16"/>
          <w:szCs w:val="16"/>
        </w:rPr>
        <w:t>ordenado</w:t>
      </w:r>
      <w:r w:rsidRPr="00C73BCF">
        <w:rPr>
          <w:rFonts w:ascii="Verdana" w:hAnsi="Verdana"/>
          <w:sz w:val="16"/>
          <w:szCs w:val="16"/>
        </w:rPr>
        <w:t xml:space="preserve"> lo mismo para casos de </w:t>
      </w:r>
      <w:r w:rsidR="00B200E8" w:rsidRPr="00C73BCF">
        <w:rPr>
          <w:rFonts w:ascii="Verdana" w:hAnsi="Verdana"/>
          <w:sz w:val="16"/>
          <w:szCs w:val="16"/>
        </w:rPr>
        <w:t xml:space="preserve">múltiples víctimas de </w:t>
      </w:r>
      <w:r w:rsidRPr="00C73BCF">
        <w:rPr>
          <w:rFonts w:ascii="Verdana" w:hAnsi="Verdana"/>
          <w:sz w:val="16"/>
          <w:szCs w:val="16"/>
        </w:rPr>
        <w:t>desaparición forzada</w:t>
      </w:r>
      <w:r w:rsidR="00B200E8" w:rsidRPr="00C73BCF">
        <w:rPr>
          <w:rFonts w:ascii="Verdana" w:hAnsi="Verdana"/>
          <w:sz w:val="16"/>
          <w:szCs w:val="16"/>
        </w:rPr>
        <w:t>;</w:t>
      </w:r>
      <w:r w:rsidRPr="00C73BCF">
        <w:rPr>
          <w:rFonts w:ascii="Verdana" w:hAnsi="Verdana"/>
          <w:sz w:val="16"/>
          <w:szCs w:val="16"/>
        </w:rPr>
        <w:t xml:space="preserve"> ver</w:t>
      </w:r>
      <w:r w:rsidR="00B200E8" w:rsidRPr="00C73BCF">
        <w:rPr>
          <w:rFonts w:ascii="Verdana" w:hAnsi="Verdana"/>
          <w:sz w:val="16"/>
          <w:szCs w:val="16"/>
        </w:rPr>
        <w:t>, entre otros</w:t>
      </w:r>
      <w:r w:rsidRPr="00C73BCF">
        <w:rPr>
          <w:rFonts w:ascii="Verdana" w:hAnsi="Verdana"/>
          <w:sz w:val="16"/>
          <w:szCs w:val="16"/>
        </w:rPr>
        <w:t xml:space="preserve">: </w:t>
      </w:r>
      <w:r w:rsidR="00B200E8" w:rsidRPr="00C73BCF">
        <w:rPr>
          <w:rFonts w:ascii="Verdana" w:hAnsi="Verdana"/>
          <w:i/>
          <w:sz w:val="16"/>
          <w:szCs w:val="16"/>
        </w:rPr>
        <w:t>Caso 19 Comerciantes Vs. Colombia. Fondo, Reparaciones y Costas</w:t>
      </w:r>
      <w:r w:rsidR="00B200E8" w:rsidRPr="00C73BCF">
        <w:rPr>
          <w:rFonts w:ascii="Verdana" w:hAnsi="Verdana"/>
          <w:sz w:val="16"/>
          <w:szCs w:val="16"/>
        </w:rPr>
        <w:t xml:space="preserve">. Sentencia de 5 de julio de 2004. Serie C No. 109, párr. 252; </w:t>
      </w:r>
      <w:r w:rsidR="00B200E8" w:rsidRPr="00C73BCF">
        <w:rPr>
          <w:rFonts w:ascii="Verdana" w:hAnsi="Verdana"/>
          <w:i/>
          <w:sz w:val="16"/>
          <w:szCs w:val="16"/>
        </w:rPr>
        <w:t>Caso Blanco Romero y otros Vs. Venezuela</w:t>
      </w:r>
      <w:r w:rsidR="00B200E8" w:rsidRPr="00C73BCF">
        <w:rPr>
          <w:rFonts w:ascii="Verdana" w:hAnsi="Verdana"/>
          <w:sz w:val="16"/>
          <w:szCs w:val="16"/>
        </w:rPr>
        <w:t xml:space="preserve">. Sentencia de 28 de noviembre de 2005. Serie C No. 138, </w:t>
      </w:r>
      <w:proofErr w:type="spellStart"/>
      <w:r w:rsidR="00B200E8" w:rsidRPr="00C73BCF">
        <w:rPr>
          <w:rFonts w:ascii="Verdana" w:hAnsi="Verdana"/>
          <w:sz w:val="16"/>
          <w:szCs w:val="16"/>
        </w:rPr>
        <w:t>párr</w:t>
      </w:r>
      <w:r w:rsidR="0063227C" w:rsidRPr="00C73BCF">
        <w:rPr>
          <w:rFonts w:ascii="Verdana" w:hAnsi="Verdana"/>
          <w:sz w:val="16"/>
          <w:szCs w:val="16"/>
        </w:rPr>
        <w:t>s</w:t>
      </w:r>
      <w:proofErr w:type="spellEnd"/>
      <w:r w:rsidR="00B200E8" w:rsidRPr="00C73BCF">
        <w:rPr>
          <w:rFonts w:ascii="Verdana" w:hAnsi="Verdana"/>
          <w:sz w:val="16"/>
          <w:szCs w:val="16"/>
        </w:rPr>
        <w:t>. 88</w:t>
      </w:r>
      <w:r w:rsidR="0063227C" w:rsidRPr="00C73BCF">
        <w:rPr>
          <w:rFonts w:ascii="Verdana" w:hAnsi="Verdana"/>
          <w:sz w:val="16"/>
          <w:szCs w:val="16"/>
        </w:rPr>
        <w:t xml:space="preserve"> y 89</w:t>
      </w:r>
      <w:r w:rsidR="00B200E8" w:rsidRPr="00C73BCF">
        <w:rPr>
          <w:rFonts w:ascii="Verdana" w:hAnsi="Verdana"/>
          <w:sz w:val="16"/>
          <w:szCs w:val="16"/>
        </w:rPr>
        <w:t>;</w:t>
      </w:r>
      <w:r w:rsidR="0063227C" w:rsidRPr="00C73BCF">
        <w:rPr>
          <w:rFonts w:ascii="Verdana" w:hAnsi="Verdana"/>
          <w:sz w:val="16"/>
          <w:szCs w:val="16"/>
        </w:rPr>
        <w:t xml:space="preserve"> </w:t>
      </w:r>
      <w:r w:rsidRPr="00C73BCF">
        <w:rPr>
          <w:rFonts w:ascii="Verdana" w:hAnsi="Verdana" w:cs="Arial"/>
          <w:i/>
          <w:sz w:val="16"/>
          <w:szCs w:val="16"/>
        </w:rPr>
        <w:t xml:space="preserve">Caso </w:t>
      </w:r>
      <w:proofErr w:type="spellStart"/>
      <w:r w:rsidRPr="00C73BCF">
        <w:rPr>
          <w:rFonts w:ascii="Verdana" w:hAnsi="Verdana" w:cs="Arial"/>
          <w:i/>
          <w:sz w:val="16"/>
          <w:szCs w:val="16"/>
        </w:rPr>
        <w:t>Goiburú</w:t>
      </w:r>
      <w:proofErr w:type="spellEnd"/>
      <w:r w:rsidRPr="00C73BCF">
        <w:rPr>
          <w:rFonts w:ascii="Verdana" w:hAnsi="Verdana" w:cs="Arial"/>
          <w:i/>
          <w:sz w:val="16"/>
          <w:szCs w:val="16"/>
        </w:rPr>
        <w:t xml:space="preserve"> y otros Vs. Paraguay. Fondo, Reparaciones y Costas</w:t>
      </w:r>
      <w:r w:rsidRPr="00C73BCF">
        <w:rPr>
          <w:rFonts w:ascii="Verdana" w:hAnsi="Verdana" w:cs="Arial"/>
          <w:sz w:val="16"/>
          <w:szCs w:val="16"/>
        </w:rPr>
        <w:t>. Sentencia de 22 de septiembre de 20</w:t>
      </w:r>
      <w:r w:rsidR="00B200E8" w:rsidRPr="00C73BCF">
        <w:rPr>
          <w:rFonts w:ascii="Verdana" w:hAnsi="Verdana" w:cs="Arial"/>
          <w:sz w:val="16"/>
          <w:szCs w:val="16"/>
        </w:rPr>
        <w:t>06. Serie C No. 153, párr. 161;</w:t>
      </w:r>
      <w:r w:rsidRPr="00C73BCF">
        <w:rPr>
          <w:rFonts w:ascii="Verdana" w:hAnsi="Verdana" w:cs="Arial"/>
          <w:sz w:val="16"/>
          <w:szCs w:val="16"/>
          <w:lang w:val="pt-BR"/>
        </w:rPr>
        <w:t xml:space="preserve"> </w:t>
      </w:r>
      <w:r w:rsidRPr="00C73BCF">
        <w:rPr>
          <w:rFonts w:ascii="Verdana" w:hAnsi="Verdana" w:cs="Arial"/>
          <w:i/>
          <w:sz w:val="16"/>
          <w:szCs w:val="16"/>
        </w:rPr>
        <w:t>Caso Contreras y otros Vs. El Salvador. Fondo, Reparaciones y Costas</w:t>
      </w:r>
      <w:r w:rsidRPr="00C73BCF">
        <w:rPr>
          <w:rFonts w:ascii="Verdana" w:hAnsi="Verdana" w:cs="Arial"/>
          <w:sz w:val="16"/>
          <w:szCs w:val="16"/>
        </w:rPr>
        <w:t xml:space="preserve">. Sentencia de 31 de agosto de 2011. Serie C No. 232; párr. 228; </w:t>
      </w:r>
      <w:r w:rsidRPr="00C73BCF">
        <w:rPr>
          <w:rFonts w:ascii="Verdana" w:hAnsi="Verdana" w:cs="Arial"/>
          <w:i/>
          <w:sz w:val="16"/>
          <w:szCs w:val="16"/>
        </w:rPr>
        <w:t>Caso Masacres de Río Negro Vs. Guatemala. Excepción Preliminar, Fondo, Reparaciones y Costas</w:t>
      </w:r>
      <w:r w:rsidRPr="00C73BCF">
        <w:rPr>
          <w:rFonts w:ascii="Verdana" w:hAnsi="Verdana" w:cs="Arial"/>
          <w:sz w:val="16"/>
          <w:szCs w:val="16"/>
        </w:rPr>
        <w:t xml:space="preserve">. Sentencia de 4 de septiembre de 2012. Serie C No. 250; párr. 309; </w:t>
      </w:r>
      <w:r w:rsidR="0063227C" w:rsidRPr="00C73BCF">
        <w:rPr>
          <w:rFonts w:ascii="Verdana" w:hAnsi="Verdana" w:cs="Arial"/>
          <w:i/>
          <w:sz w:val="16"/>
          <w:szCs w:val="16"/>
        </w:rPr>
        <w:t xml:space="preserve">Caso </w:t>
      </w:r>
      <w:proofErr w:type="spellStart"/>
      <w:r w:rsidR="0063227C" w:rsidRPr="00C73BCF">
        <w:rPr>
          <w:rFonts w:ascii="Verdana" w:hAnsi="Verdana" w:cs="Arial"/>
          <w:i/>
          <w:sz w:val="16"/>
          <w:szCs w:val="16"/>
        </w:rPr>
        <w:t>Gudiel</w:t>
      </w:r>
      <w:proofErr w:type="spellEnd"/>
      <w:r w:rsidR="0063227C" w:rsidRPr="00C73BCF">
        <w:rPr>
          <w:rFonts w:ascii="Verdana" w:hAnsi="Verdana" w:cs="Arial"/>
          <w:i/>
          <w:sz w:val="16"/>
          <w:szCs w:val="16"/>
        </w:rPr>
        <w:t xml:space="preserve"> Álvarez y otros (Diario Militar) Vs. Guatemala. Fondo Reparaciones y Costas</w:t>
      </w:r>
      <w:r w:rsidR="0063227C" w:rsidRPr="00C73BCF">
        <w:rPr>
          <w:rFonts w:ascii="Verdana" w:hAnsi="Verdana" w:cs="Arial"/>
          <w:sz w:val="16"/>
          <w:szCs w:val="16"/>
        </w:rPr>
        <w:t xml:space="preserve">. Sentencia de 20 noviembre de 2012. Serie C No. 253, párr. 371; </w:t>
      </w:r>
      <w:r w:rsidRPr="00C73BCF">
        <w:rPr>
          <w:rFonts w:ascii="Verdana" w:hAnsi="Verdana" w:cs="Arial"/>
          <w:i/>
          <w:spacing w:val="-2"/>
          <w:sz w:val="16"/>
          <w:szCs w:val="16"/>
        </w:rPr>
        <w:t xml:space="preserve">Caso </w:t>
      </w:r>
      <w:proofErr w:type="spellStart"/>
      <w:r w:rsidRPr="00C73BCF">
        <w:rPr>
          <w:rFonts w:ascii="Verdana" w:hAnsi="Verdana" w:cs="Arial"/>
          <w:i/>
          <w:spacing w:val="-2"/>
          <w:sz w:val="16"/>
          <w:szCs w:val="16"/>
        </w:rPr>
        <w:t>Rochac</w:t>
      </w:r>
      <w:proofErr w:type="spellEnd"/>
      <w:r w:rsidRPr="00C73BCF">
        <w:rPr>
          <w:rFonts w:ascii="Verdana" w:hAnsi="Verdana" w:cs="Arial"/>
          <w:i/>
          <w:spacing w:val="-2"/>
          <w:sz w:val="16"/>
          <w:szCs w:val="16"/>
        </w:rPr>
        <w:t xml:space="preserve"> Hernández y otros Vs. El Salvador. Fondo, Reparaciones y Costas</w:t>
      </w:r>
      <w:r w:rsidRPr="00C73BCF">
        <w:rPr>
          <w:rFonts w:ascii="Verdana" w:hAnsi="Verdana" w:cs="Arial"/>
          <w:spacing w:val="-2"/>
          <w:sz w:val="16"/>
          <w:szCs w:val="16"/>
        </w:rPr>
        <w:t xml:space="preserve">. Sentencia de 14 de octubre de 2014. Serie C No. 285, párr. 258; </w:t>
      </w:r>
      <w:r w:rsidRPr="00C73BCF">
        <w:rPr>
          <w:rFonts w:ascii="Verdana" w:hAnsi="Verdana" w:cs="Arial"/>
          <w:i/>
          <w:spacing w:val="-2"/>
          <w:sz w:val="16"/>
          <w:szCs w:val="16"/>
        </w:rPr>
        <w:t>Caso Comunidad Campesina de Santa Bárbara Vs. Perú. Excepciones Preliminares, Fondo, Reparaciones y Costas</w:t>
      </w:r>
      <w:r w:rsidRPr="00C73BCF">
        <w:rPr>
          <w:rFonts w:ascii="Verdana" w:hAnsi="Verdana" w:cs="Arial"/>
          <w:spacing w:val="-2"/>
          <w:sz w:val="16"/>
          <w:szCs w:val="16"/>
        </w:rPr>
        <w:t xml:space="preserve">. Sentencia de 1 de septiembre de 2015. Serie C No. 299, párr. 338; y </w:t>
      </w:r>
      <w:r w:rsidRPr="00C73BCF">
        <w:rPr>
          <w:rFonts w:ascii="Verdana" w:hAnsi="Verdana" w:cs="Arial"/>
          <w:i/>
          <w:spacing w:val="-2"/>
          <w:sz w:val="16"/>
          <w:szCs w:val="16"/>
        </w:rPr>
        <w:t>Caso Miembros de la Aldea Chichupac y comunidades vecinas del Municipio de Rabinal Vs. Guatemala. Excepciones Preliminares, Fondo, Reparaciones y Costas</w:t>
      </w:r>
      <w:r w:rsidRPr="00C73BCF">
        <w:rPr>
          <w:rFonts w:ascii="Verdana" w:hAnsi="Verdana" w:cs="Arial"/>
          <w:spacing w:val="-2"/>
          <w:sz w:val="16"/>
          <w:szCs w:val="16"/>
        </w:rPr>
        <w:t xml:space="preserve">. Sentencia de 30 de noviembre de 2016. Serie C No. 328, párr. 327. </w:t>
      </w:r>
    </w:p>
  </w:footnote>
  <w:footnote w:id="15">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rPr>
        <w:t xml:space="preserve">Cfr. </w:t>
      </w:r>
      <w:r w:rsidRPr="00C73BCF">
        <w:rPr>
          <w:rFonts w:ascii="Verdana" w:hAnsi="Verdana"/>
          <w:sz w:val="16"/>
          <w:szCs w:val="16"/>
        </w:rPr>
        <w:t>Informe estatal de 7 de diciembre de 2016.</w:t>
      </w:r>
    </w:p>
  </w:footnote>
  <w:footnote w:id="16">
    <w:p w:rsidR="001107F5" w:rsidRPr="00C73BCF" w:rsidRDefault="001107F5" w:rsidP="004014AF">
      <w:pPr>
        <w:pStyle w:val="Textonotapie"/>
        <w:tabs>
          <w:tab w:val="left" w:pos="360"/>
          <w:tab w:val="left" w:pos="540"/>
        </w:tabs>
        <w:jc w:val="both"/>
        <w:rPr>
          <w:rFonts w:ascii="Verdana" w:hAnsi="Verdana"/>
          <w:b/>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Ese es el monto asignado a favor de la esposa y cada una de las hijas de la víctima Carlos Horacio Urán Rojas, según consta en la resolución de liquidación realizada por el Ministerio de Defensa. Adicionalmente a ello, una vez que el Estado descuenta de dicho monto la indemnización que había sido otorgada a dichas familiares en la jurisdicción contenciosa administrativa por “daño moral”, en la resolución de liquidación se señala que la esposa e hijas de la referida víctima no recibirán monto alguno de la indemnización por daño inmaterial ordenada por esta Corte, en tanto el monto descontado es superior a la cantidad que el Estado está asignando por el referido daño inmaterial. En </w:t>
      </w:r>
      <w:r w:rsidR="00667B8F" w:rsidRPr="00C73BCF">
        <w:rPr>
          <w:rFonts w:ascii="Verdana" w:hAnsi="Verdana"/>
          <w:sz w:val="16"/>
          <w:szCs w:val="16"/>
        </w:rPr>
        <w:t>dicha</w:t>
      </w:r>
      <w:r w:rsidRPr="00C73BCF">
        <w:rPr>
          <w:rFonts w:ascii="Verdana" w:hAnsi="Verdana"/>
          <w:sz w:val="16"/>
          <w:szCs w:val="16"/>
        </w:rPr>
        <w:t xml:space="preserve"> resolución el Ministerio resuelve que “[n]o hay lugar a realizar pago alguno a favor” del señor Urán Rojas. </w:t>
      </w:r>
      <w:r w:rsidRPr="00C73BCF">
        <w:rPr>
          <w:rFonts w:ascii="Verdana" w:hAnsi="Verdana"/>
          <w:i/>
          <w:sz w:val="16"/>
          <w:szCs w:val="16"/>
        </w:rPr>
        <w:t xml:space="preserve">Cfr. </w:t>
      </w:r>
      <w:r w:rsidRPr="00C73BCF">
        <w:rPr>
          <w:rFonts w:ascii="Verdana" w:hAnsi="Verdana"/>
          <w:sz w:val="16"/>
          <w:szCs w:val="16"/>
        </w:rPr>
        <w:t xml:space="preserve">Resolución número 10321 de 22 de noviembre de 2016 emitida por la Dirección de Asuntos Legales del Ministerio de Defensa Nacional de la República de Colombia (anexo al informe estatal de 12 de enero de 2017). </w:t>
      </w:r>
    </w:p>
  </w:footnote>
  <w:footnote w:id="17">
    <w:p w:rsidR="009E7CC6" w:rsidRPr="00C73BCF" w:rsidRDefault="009E7CC6" w:rsidP="004014AF">
      <w:pPr>
        <w:pStyle w:val="Textonotapie"/>
        <w:tabs>
          <w:tab w:val="left" w:pos="360"/>
          <w:tab w:val="left" w:pos="540"/>
        </w:tabs>
        <w:jc w:val="both"/>
        <w:rPr>
          <w:rFonts w:ascii="Verdana" w:hAnsi="Verdana"/>
          <w:color w:val="000000"/>
          <w:sz w:val="16"/>
          <w:szCs w:val="16"/>
        </w:rPr>
      </w:pPr>
      <w:r w:rsidRPr="00C73BCF">
        <w:rPr>
          <w:rStyle w:val="Refdenotaalpie"/>
          <w:rFonts w:ascii="Verdana" w:hAnsi="Verdana"/>
          <w:color w:val="000000"/>
          <w:sz w:val="16"/>
          <w:szCs w:val="16"/>
        </w:rPr>
        <w:footnoteRef/>
      </w:r>
      <w:r w:rsidRPr="00C73BCF">
        <w:rPr>
          <w:rFonts w:ascii="Verdana" w:hAnsi="Verdana"/>
          <w:color w:val="000000"/>
          <w:sz w:val="16"/>
          <w:szCs w:val="16"/>
        </w:rPr>
        <w:t xml:space="preserve"> </w:t>
      </w:r>
      <w:r w:rsidRPr="00C73BCF">
        <w:rPr>
          <w:rFonts w:ascii="Verdana" w:hAnsi="Verdana"/>
          <w:color w:val="000000"/>
          <w:sz w:val="16"/>
          <w:szCs w:val="16"/>
        </w:rPr>
        <w:tab/>
        <w:t xml:space="preserve">El Estado </w:t>
      </w:r>
      <w:r w:rsidR="00B62DAE" w:rsidRPr="00C73BCF">
        <w:rPr>
          <w:rFonts w:ascii="Verdana" w:hAnsi="Verdana"/>
          <w:color w:val="000000"/>
          <w:sz w:val="16"/>
          <w:szCs w:val="16"/>
        </w:rPr>
        <w:t>planteó</w:t>
      </w:r>
      <w:r w:rsidRPr="00C73BCF">
        <w:rPr>
          <w:rFonts w:ascii="Verdana" w:hAnsi="Verdana"/>
          <w:color w:val="000000"/>
          <w:sz w:val="16"/>
          <w:szCs w:val="16"/>
        </w:rPr>
        <w:t xml:space="preserve"> que</w:t>
      </w:r>
      <w:r w:rsidR="00017391" w:rsidRPr="00C73BCF">
        <w:rPr>
          <w:rFonts w:ascii="Verdana" w:hAnsi="Verdana"/>
          <w:color w:val="000000"/>
          <w:sz w:val="16"/>
          <w:szCs w:val="16"/>
        </w:rPr>
        <w:t xml:space="preserve">, como a nivel interno se otorgaron indemnizaciones por “daño moral” a familiares de las víctimas de desaparición forzada, ello supuestamente justificó que la Corte no ordenara en la Sentencia pagos por concepto de daño inmaterial para cada una de dichas víctimas y cada uno de sus familiares. En razón de ello, consideró que </w:t>
      </w:r>
      <w:r w:rsidRPr="00C73BCF">
        <w:rPr>
          <w:rFonts w:ascii="Verdana" w:hAnsi="Verdana"/>
          <w:color w:val="000000"/>
          <w:sz w:val="16"/>
          <w:szCs w:val="16"/>
        </w:rPr>
        <w:t xml:space="preserve">cuando la Corte ordenó las indemnizaciones por concepto de daño inmaterial </w:t>
      </w:r>
      <w:r w:rsidR="00840571" w:rsidRPr="00C73BCF">
        <w:rPr>
          <w:rFonts w:ascii="Verdana" w:hAnsi="Verdana"/>
          <w:color w:val="000000"/>
          <w:sz w:val="16"/>
          <w:szCs w:val="16"/>
        </w:rPr>
        <w:t xml:space="preserve">a favor de las víctimas de violación del derecho a la vida y de torturas o tratos crueles, </w:t>
      </w:r>
      <w:r w:rsidRPr="00C73BCF">
        <w:rPr>
          <w:rFonts w:ascii="Verdana" w:hAnsi="Verdana"/>
          <w:color w:val="000000"/>
          <w:sz w:val="16"/>
          <w:szCs w:val="16"/>
        </w:rPr>
        <w:t>en los párrafos 604 y 605 de la Sentencia, lo hizo determinando que dichas indemnizaciones “se deberán cancelar de forma individual […] si se considera que corresponden a ‘[…]</w:t>
      </w:r>
      <w:r w:rsidR="00DD1A0C" w:rsidRPr="00C73BCF">
        <w:rPr>
          <w:rFonts w:ascii="Verdana" w:hAnsi="Verdana"/>
          <w:color w:val="000000"/>
          <w:sz w:val="16"/>
          <w:szCs w:val="16"/>
        </w:rPr>
        <w:t xml:space="preserve"> </w:t>
      </w:r>
      <w:r w:rsidRPr="00C73BCF">
        <w:rPr>
          <w:rFonts w:ascii="Verdana" w:hAnsi="Verdana"/>
          <w:color w:val="000000"/>
          <w:sz w:val="16"/>
          <w:szCs w:val="16"/>
        </w:rPr>
        <w:t>las afectaciones sufridas como consecuencia de la falta de investigación de los hechos’ y [porque</w:t>
      </w:r>
      <w:r w:rsidR="00840571" w:rsidRPr="00C73BCF">
        <w:rPr>
          <w:rFonts w:ascii="Verdana" w:hAnsi="Verdana"/>
          <w:color w:val="000000"/>
          <w:sz w:val="16"/>
          <w:szCs w:val="16"/>
        </w:rPr>
        <w:t xml:space="preserve"> dichas víctimas </w:t>
      </w:r>
      <w:r w:rsidRPr="00C73BCF">
        <w:rPr>
          <w:rFonts w:ascii="Verdana" w:hAnsi="Verdana"/>
          <w:color w:val="000000"/>
          <w:sz w:val="16"/>
          <w:szCs w:val="16"/>
        </w:rPr>
        <w:t xml:space="preserve">no fueron objeto de reparación alguna por parte de la jurisdicción colombiana de los contencioso administrativo, mientras que] dicha jurisdicción efectivamente dispuso con anterioridad reparaciones económicas a favor de las víctimas de </w:t>
      </w:r>
      <w:r w:rsidR="00822D19" w:rsidRPr="00C73BCF">
        <w:rPr>
          <w:rFonts w:ascii="Verdana" w:hAnsi="Verdana"/>
          <w:color w:val="000000"/>
          <w:sz w:val="16"/>
          <w:szCs w:val="16"/>
        </w:rPr>
        <w:t>[</w:t>
      </w:r>
      <w:r w:rsidRPr="00C73BCF">
        <w:rPr>
          <w:rFonts w:ascii="Verdana" w:hAnsi="Verdana"/>
          <w:color w:val="000000"/>
          <w:sz w:val="16"/>
          <w:szCs w:val="16"/>
        </w:rPr>
        <w:t>desaparición forzada</w:t>
      </w:r>
      <w:r w:rsidR="00822D19" w:rsidRPr="00C73BCF">
        <w:rPr>
          <w:rFonts w:ascii="Verdana" w:hAnsi="Verdana"/>
          <w:color w:val="000000"/>
          <w:sz w:val="16"/>
          <w:szCs w:val="16"/>
        </w:rPr>
        <w:t>]</w:t>
      </w:r>
      <w:r w:rsidRPr="00C73BCF">
        <w:rPr>
          <w:rFonts w:ascii="Verdana" w:hAnsi="Verdana"/>
          <w:color w:val="000000"/>
          <w:sz w:val="16"/>
          <w:szCs w:val="16"/>
        </w:rPr>
        <w:t xml:space="preserve">”. </w:t>
      </w:r>
      <w:r w:rsidRPr="00C73BCF">
        <w:rPr>
          <w:rFonts w:ascii="Verdana" w:hAnsi="Verdana"/>
          <w:i/>
          <w:color w:val="000000"/>
          <w:sz w:val="16"/>
          <w:szCs w:val="16"/>
        </w:rPr>
        <w:t xml:space="preserve">Cfr. </w:t>
      </w:r>
      <w:r w:rsidRPr="00C73BCF">
        <w:rPr>
          <w:rFonts w:ascii="Verdana" w:hAnsi="Verdana"/>
          <w:color w:val="000000"/>
          <w:sz w:val="16"/>
          <w:szCs w:val="16"/>
        </w:rPr>
        <w:t xml:space="preserve">Informe estatal de 12 de enero de 2017. </w:t>
      </w:r>
      <w:r w:rsidR="00D31246" w:rsidRPr="00C73BCF">
        <w:rPr>
          <w:rFonts w:ascii="Verdana" w:hAnsi="Verdana"/>
          <w:color w:val="000000"/>
          <w:sz w:val="16"/>
          <w:szCs w:val="16"/>
        </w:rPr>
        <w:t>Asimismo, l</w:t>
      </w:r>
      <w:r w:rsidR="001F6594" w:rsidRPr="00C73BCF">
        <w:rPr>
          <w:rFonts w:ascii="Verdana" w:hAnsi="Verdana"/>
          <w:sz w:val="16"/>
          <w:szCs w:val="16"/>
        </w:rPr>
        <w:t xml:space="preserve">os representantes informaron que en razón de dicha lectura, “en muchos casos se [ha] </w:t>
      </w:r>
      <w:proofErr w:type="gramStart"/>
      <w:r w:rsidR="001F6594" w:rsidRPr="00C73BCF">
        <w:rPr>
          <w:rFonts w:ascii="Verdana" w:hAnsi="Verdana"/>
          <w:sz w:val="16"/>
          <w:szCs w:val="16"/>
        </w:rPr>
        <w:t>señala[</w:t>
      </w:r>
      <w:proofErr w:type="gramEnd"/>
      <w:r w:rsidR="001F6594" w:rsidRPr="00C73BCF">
        <w:rPr>
          <w:rFonts w:ascii="Verdana" w:hAnsi="Verdana"/>
          <w:sz w:val="16"/>
          <w:szCs w:val="16"/>
        </w:rPr>
        <w:t xml:space="preserve">do] que a los familiares no les corresponde compensación alguna”. </w:t>
      </w:r>
      <w:r w:rsidR="001F6594" w:rsidRPr="00C73BCF">
        <w:rPr>
          <w:rFonts w:ascii="Verdana" w:hAnsi="Verdana"/>
          <w:i/>
          <w:sz w:val="16"/>
          <w:szCs w:val="16"/>
        </w:rPr>
        <w:t>Cfr.</w:t>
      </w:r>
      <w:r w:rsidR="001F6594" w:rsidRPr="00C73BCF">
        <w:rPr>
          <w:rFonts w:ascii="Verdana" w:hAnsi="Verdana"/>
          <w:sz w:val="16"/>
          <w:szCs w:val="16"/>
        </w:rPr>
        <w:t xml:space="preserve"> Escrito de observaciones de los representantes de las víctimas de 1 de diciembre de 2016.</w:t>
      </w:r>
    </w:p>
  </w:footnote>
  <w:footnote w:id="18">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rPr>
        <w:t xml:space="preserve">Cfr. </w:t>
      </w:r>
      <w:r w:rsidRPr="00C73BCF">
        <w:rPr>
          <w:rFonts w:ascii="Verdana" w:hAnsi="Verdana"/>
          <w:i/>
          <w:sz w:val="16"/>
          <w:szCs w:val="16"/>
        </w:rPr>
        <w:t>Caso Rodríguez Vera y otros (Desaparecidos del Palacio de Justicia) Vs. Colombia. Excepciones Preliminares, Fondo, Reparaciones y Costas</w:t>
      </w:r>
      <w:r w:rsidRPr="00C73BCF">
        <w:rPr>
          <w:rFonts w:ascii="Verdana" w:hAnsi="Verdana"/>
          <w:sz w:val="16"/>
          <w:szCs w:val="16"/>
        </w:rPr>
        <w:t xml:space="preserve">, </w:t>
      </w:r>
      <w:r w:rsidRPr="00C73BCF">
        <w:rPr>
          <w:rFonts w:ascii="Verdana" w:hAnsi="Verdana"/>
          <w:i/>
          <w:sz w:val="16"/>
          <w:szCs w:val="16"/>
        </w:rPr>
        <w:t>supra</w:t>
      </w:r>
      <w:r w:rsidRPr="00C73BCF">
        <w:rPr>
          <w:rFonts w:ascii="Verdana" w:hAnsi="Verdana"/>
          <w:sz w:val="16"/>
          <w:szCs w:val="16"/>
        </w:rPr>
        <w:t xml:space="preserve"> nota 1, párr. 601.</w:t>
      </w:r>
    </w:p>
  </w:footnote>
  <w:footnote w:id="19">
    <w:p w:rsidR="00DE6D5D" w:rsidRPr="00C73BCF" w:rsidRDefault="00DE6D5D" w:rsidP="004014AF">
      <w:pPr>
        <w:pStyle w:val="Textonotapie"/>
        <w:tabs>
          <w:tab w:val="left" w:pos="36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En dicho párrafo, la Corte indica que los referidos familiares son víctimas por violación por parte del Estado de su derecho a la integridad personal. </w:t>
      </w:r>
      <w:r w:rsidRPr="00C73BCF">
        <w:rPr>
          <w:rFonts w:ascii="Verdana" w:hAnsi="Verdana"/>
          <w:i/>
          <w:color w:val="000000"/>
          <w:sz w:val="16"/>
          <w:szCs w:val="16"/>
        </w:rPr>
        <w:t xml:space="preserve">Cfr. Caso Rodríguez Vera y otros (Desaparecidos del Palacio de Justicia) Vs. Colombia, supra </w:t>
      </w:r>
      <w:r w:rsidRPr="00C73BCF">
        <w:rPr>
          <w:rFonts w:ascii="Verdana" w:hAnsi="Verdana"/>
          <w:color w:val="000000"/>
          <w:sz w:val="16"/>
          <w:szCs w:val="16"/>
        </w:rPr>
        <w:t>nota 1, párr. 539</w:t>
      </w:r>
    </w:p>
  </w:footnote>
  <w:footnote w:id="20">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sz w:val="16"/>
          <w:szCs w:val="16"/>
          <w:lang w:val="es-ES_tradnl"/>
        </w:rPr>
        <w:t xml:space="preserve">Carlos Augusto Rodríguez Vera, Irma Franco Pineda, Cristina del Pilar Guarín Cortés, David </w:t>
      </w:r>
      <w:proofErr w:type="spellStart"/>
      <w:r w:rsidRPr="00C73BCF">
        <w:rPr>
          <w:rFonts w:ascii="Verdana" w:hAnsi="Verdana"/>
          <w:sz w:val="16"/>
          <w:szCs w:val="16"/>
          <w:lang w:val="es-ES_tradnl"/>
        </w:rPr>
        <w:t>Suspes</w:t>
      </w:r>
      <w:proofErr w:type="spellEnd"/>
      <w:r w:rsidRPr="00C73BCF">
        <w:rPr>
          <w:rFonts w:ascii="Verdana" w:hAnsi="Verdana"/>
          <w:sz w:val="16"/>
          <w:szCs w:val="16"/>
          <w:lang w:val="es-ES_tradnl"/>
        </w:rPr>
        <w:t xml:space="preserve"> Celis, Bernardo Beltrán Hernández, Héctor Jaime Beltrán Fuentes, Gloria Stella Lizarazo Figueroa, Luz Mary </w:t>
      </w:r>
      <w:proofErr w:type="spellStart"/>
      <w:r w:rsidRPr="00C73BCF">
        <w:rPr>
          <w:rFonts w:ascii="Verdana" w:hAnsi="Verdana"/>
          <w:sz w:val="16"/>
          <w:szCs w:val="16"/>
          <w:lang w:val="es-ES_tradnl"/>
        </w:rPr>
        <w:t>Portela</w:t>
      </w:r>
      <w:proofErr w:type="spellEnd"/>
      <w:r w:rsidRPr="00C73BCF">
        <w:rPr>
          <w:rFonts w:ascii="Verdana" w:hAnsi="Verdana"/>
          <w:sz w:val="16"/>
          <w:szCs w:val="16"/>
          <w:lang w:val="es-ES_tradnl"/>
        </w:rPr>
        <w:t xml:space="preserve"> León, Lucy Amparo Oviedo Bonilla y Gloria </w:t>
      </w:r>
      <w:proofErr w:type="spellStart"/>
      <w:r w:rsidRPr="00C73BCF">
        <w:rPr>
          <w:rFonts w:ascii="Verdana" w:hAnsi="Verdana"/>
          <w:sz w:val="16"/>
          <w:szCs w:val="16"/>
          <w:lang w:val="es-ES_tradnl"/>
        </w:rPr>
        <w:t>Anzola</w:t>
      </w:r>
      <w:proofErr w:type="spellEnd"/>
      <w:r w:rsidRPr="00C73BCF">
        <w:rPr>
          <w:rFonts w:ascii="Verdana" w:hAnsi="Verdana"/>
          <w:sz w:val="16"/>
          <w:szCs w:val="16"/>
          <w:lang w:val="es-ES_tradnl"/>
        </w:rPr>
        <w:t xml:space="preserve"> de Lana, así como Carlos Horacio </w:t>
      </w:r>
      <w:proofErr w:type="spellStart"/>
      <w:r w:rsidRPr="00C73BCF">
        <w:rPr>
          <w:rFonts w:ascii="Verdana" w:hAnsi="Verdana"/>
          <w:sz w:val="16"/>
          <w:szCs w:val="16"/>
          <w:lang w:val="es-ES_tradnl"/>
        </w:rPr>
        <w:t>Urán</w:t>
      </w:r>
      <w:proofErr w:type="spellEnd"/>
      <w:r w:rsidRPr="00C73BCF">
        <w:rPr>
          <w:rFonts w:ascii="Verdana" w:hAnsi="Verdana"/>
          <w:sz w:val="16"/>
          <w:szCs w:val="16"/>
          <w:lang w:val="es-ES_tradnl"/>
        </w:rPr>
        <w:t xml:space="preserve"> Rojas, quien </w:t>
      </w:r>
      <w:r w:rsidR="00AD6863" w:rsidRPr="00C73BCF">
        <w:rPr>
          <w:rFonts w:ascii="Verdana" w:hAnsi="Verdana"/>
          <w:sz w:val="16"/>
          <w:szCs w:val="16"/>
          <w:lang w:val="es-ES_tradnl"/>
        </w:rPr>
        <w:t xml:space="preserve">adicionalmente </w:t>
      </w:r>
      <w:r w:rsidRPr="00C73BCF">
        <w:rPr>
          <w:rFonts w:ascii="Verdana" w:hAnsi="Verdana"/>
          <w:sz w:val="16"/>
          <w:szCs w:val="16"/>
          <w:lang w:val="es-ES_tradnl"/>
        </w:rPr>
        <w:t>fue víctima de una ejecución extrajudicial.</w:t>
      </w:r>
    </w:p>
  </w:footnote>
  <w:footnote w:id="21">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t xml:space="preserve">Ana Rosa Castiblanco Torres y Norma Constanza </w:t>
      </w:r>
      <w:r w:rsidRPr="00C73BCF">
        <w:rPr>
          <w:rFonts w:ascii="Verdana" w:hAnsi="Verdana"/>
          <w:sz w:val="16"/>
          <w:szCs w:val="16"/>
        </w:rPr>
        <w:t>Esguerra Forero.</w:t>
      </w:r>
    </w:p>
  </w:footnote>
  <w:footnote w:id="22">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color w:val="000000"/>
          <w:sz w:val="16"/>
          <w:szCs w:val="16"/>
        </w:rPr>
        <w:t xml:space="preserve">Cfr. Caso Rodríguez Vera y otros (Desaparecidos del Palacio de Justicia) Vs. Colombia, supra </w:t>
      </w:r>
      <w:r w:rsidRPr="00C73BCF">
        <w:rPr>
          <w:rFonts w:ascii="Verdana" w:hAnsi="Verdana"/>
          <w:color w:val="000000"/>
          <w:sz w:val="16"/>
          <w:szCs w:val="16"/>
        </w:rPr>
        <w:t>nota 1, párrs. 597, 606 y 610.</w:t>
      </w:r>
    </w:p>
  </w:footnote>
  <w:footnote w:id="23">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color w:val="000000"/>
          <w:sz w:val="16"/>
          <w:szCs w:val="16"/>
        </w:rPr>
        <w:t xml:space="preserve">Cfr. Caso Rodríguez Vera y otros (Desaparecidos del Palacio de Justicia) Vs. Colombia, supra </w:t>
      </w:r>
      <w:r w:rsidRPr="00C73BCF">
        <w:rPr>
          <w:rFonts w:ascii="Verdana" w:hAnsi="Verdana"/>
          <w:color w:val="000000"/>
          <w:sz w:val="16"/>
          <w:szCs w:val="16"/>
        </w:rPr>
        <w:t>nota 1, párr. 610.</w:t>
      </w:r>
    </w:p>
  </w:footnote>
  <w:footnote w:id="24">
    <w:p w:rsidR="001107F5" w:rsidRPr="00C73BCF" w:rsidRDefault="001107F5" w:rsidP="004014AF">
      <w:pPr>
        <w:pStyle w:val="Textonotapie"/>
        <w:tabs>
          <w:tab w:val="left" w:pos="360"/>
          <w:tab w:val="left" w:pos="540"/>
        </w:tabs>
        <w:jc w:val="both"/>
        <w:rPr>
          <w:rFonts w:ascii="Verdana" w:hAnsi="Verdana"/>
          <w:spacing w:val="-2"/>
          <w:sz w:val="16"/>
          <w:szCs w:val="16"/>
        </w:rPr>
      </w:pPr>
      <w:r w:rsidRPr="00C73BCF">
        <w:rPr>
          <w:rStyle w:val="Refdenotaalpie"/>
          <w:rFonts w:ascii="Verdana" w:hAnsi="Verdana"/>
          <w:spacing w:val="-2"/>
          <w:sz w:val="16"/>
          <w:szCs w:val="16"/>
        </w:rPr>
        <w:footnoteRef/>
      </w:r>
      <w:r w:rsidRPr="00C73BCF">
        <w:rPr>
          <w:rFonts w:ascii="Verdana" w:hAnsi="Verdana"/>
          <w:spacing w:val="-2"/>
          <w:sz w:val="16"/>
          <w:szCs w:val="16"/>
        </w:rPr>
        <w:t xml:space="preserve"> </w:t>
      </w:r>
      <w:r w:rsidRPr="00C73BCF">
        <w:rPr>
          <w:rFonts w:ascii="Verdana" w:hAnsi="Verdana"/>
          <w:spacing w:val="-2"/>
          <w:sz w:val="16"/>
          <w:szCs w:val="16"/>
        </w:rPr>
        <w:tab/>
      </w:r>
      <w:r w:rsidRPr="00C73BCF">
        <w:rPr>
          <w:rFonts w:ascii="Verdana" w:hAnsi="Verdana"/>
          <w:i/>
          <w:spacing w:val="-2"/>
          <w:sz w:val="16"/>
          <w:szCs w:val="16"/>
        </w:rPr>
        <w:t xml:space="preserve">Cfr. </w:t>
      </w:r>
      <w:r w:rsidRPr="00C73BCF">
        <w:rPr>
          <w:rFonts w:ascii="Verdana" w:hAnsi="Verdana"/>
          <w:i/>
          <w:spacing w:val="-2"/>
          <w:sz w:val="16"/>
          <w:szCs w:val="16"/>
          <w:lang w:val="es-ES"/>
        </w:rPr>
        <w:t>Caso Hermanas Serrano Cruz Vs. El Salvador</w:t>
      </w:r>
      <w:r w:rsidRPr="00C73BCF">
        <w:rPr>
          <w:rFonts w:ascii="Verdana" w:hAnsi="Verdana"/>
          <w:spacing w:val="-2"/>
          <w:sz w:val="16"/>
          <w:szCs w:val="16"/>
          <w:lang w:val="es-ES"/>
        </w:rPr>
        <w:t xml:space="preserve">. </w:t>
      </w:r>
      <w:r w:rsidRPr="00C73BCF">
        <w:rPr>
          <w:rFonts w:ascii="Verdana" w:hAnsi="Verdana"/>
          <w:i/>
          <w:spacing w:val="-2"/>
          <w:sz w:val="16"/>
          <w:szCs w:val="16"/>
          <w:lang w:val="es-ES"/>
        </w:rPr>
        <w:t xml:space="preserve">Interpretación de la Sentencia de Reparaciones y Costas. </w:t>
      </w:r>
      <w:r w:rsidRPr="00C73BCF">
        <w:rPr>
          <w:rFonts w:ascii="Verdana" w:hAnsi="Verdana"/>
          <w:spacing w:val="-2"/>
          <w:sz w:val="16"/>
          <w:szCs w:val="16"/>
          <w:lang w:val="es-ES"/>
        </w:rPr>
        <w:t xml:space="preserve">Sentencia de 9 de septiembre de 2005. Serie </w:t>
      </w:r>
      <w:r w:rsidR="000D44DD" w:rsidRPr="00C73BCF">
        <w:rPr>
          <w:rFonts w:ascii="Verdana" w:hAnsi="Verdana"/>
          <w:spacing w:val="-2"/>
          <w:sz w:val="16"/>
          <w:szCs w:val="16"/>
          <w:lang w:val="es-ES"/>
        </w:rPr>
        <w:t xml:space="preserve">C No. </w:t>
      </w:r>
      <w:r w:rsidRPr="00C73BCF">
        <w:rPr>
          <w:rFonts w:ascii="Verdana" w:hAnsi="Verdana"/>
          <w:spacing w:val="-2"/>
          <w:sz w:val="16"/>
          <w:szCs w:val="16"/>
          <w:lang w:val="es-ES"/>
        </w:rPr>
        <w:t>131, párr. 32</w:t>
      </w:r>
      <w:r w:rsidR="004014AF" w:rsidRPr="00C73BCF">
        <w:rPr>
          <w:rFonts w:ascii="Verdana" w:hAnsi="Verdana"/>
          <w:spacing w:val="-2"/>
          <w:sz w:val="16"/>
          <w:szCs w:val="16"/>
          <w:lang w:val="es-ES"/>
        </w:rPr>
        <w:t>,</w:t>
      </w:r>
      <w:r w:rsidRPr="00C73BCF">
        <w:rPr>
          <w:rFonts w:ascii="Verdana" w:hAnsi="Verdana"/>
          <w:spacing w:val="-2"/>
          <w:sz w:val="16"/>
          <w:szCs w:val="16"/>
          <w:lang w:val="es-ES"/>
        </w:rPr>
        <w:t xml:space="preserve"> y </w:t>
      </w:r>
      <w:r w:rsidRPr="00C73BCF">
        <w:rPr>
          <w:rFonts w:ascii="Verdana" w:hAnsi="Verdana"/>
          <w:i/>
          <w:spacing w:val="-2"/>
          <w:sz w:val="16"/>
          <w:szCs w:val="16"/>
          <w:lang w:val="es-ES"/>
        </w:rPr>
        <w:t xml:space="preserve">Caso </w:t>
      </w:r>
      <w:proofErr w:type="spellStart"/>
      <w:r w:rsidRPr="00C73BCF">
        <w:rPr>
          <w:rFonts w:ascii="Verdana" w:hAnsi="Verdana"/>
          <w:i/>
          <w:spacing w:val="-2"/>
          <w:sz w:val="16"/>
          <w:szCs w:val="16"/>
          <w:lang w:val="es-ES"/>
        </w:rPr>
        <w:t>Gudiel</w:t>
      </w:r>
      <w:proofErr w:type="spellEnd"/>
      <w:r w:rsidRPr="00C73BCF">
        <w:rPr>
          <w:rFonts w:ascii="Verdana" w:hAnsi="Verdana"/>
          <w:i/>
          <w:spacing w:val="-2"/>
          <w:sz w:val="16"/>
          <w:szCs w:val="16"/>
          <w:lang w:val="es-ES"/>
        </w:rPr>
        <w:t xml:space="preserve"> Álvarez y otros ("Diario Militar") Vs. Guatemala. Interpretación de la Sentencia de Fondo, Reparaciones y Costas</w:t>
      </w:r>
      <w:r w:rsidRPr="00C73BCF">
        <w:rPr>
          <w:rFonts w:ascii="Verdana" w:hAnsi="Verdana"/>
          <w:spacing w:val="-2"/>
          <w:sz w:val="16"/>
          <w:szCs w:val="16"/>
          <w:lang w:val="es-ES"/>
        </w:rPr>
        <w:t xml:space="preserve">. Sentencia de 19 de agosto de 2013. Serie C No. 262, párr. 45. </w:t>
      </w:r>
    </w:p>
  </w:footnote>
  <w:footnote w:id="25">
    <w:p w:rsidR="001107F5" w:rsidRPr="00C73BCF" w:rsidRDefault="001107F5" w:rsidP="004014AF">
      <w:pPr>
        <w:pStyle w:val="Textonotapie"/>
        <w:tabs>
          <w:tab w:val="left" w:pos="360"/>
          <w:tab w:val="left" w:pos="540"/>
        </w:tabs>
        <w:jc w:val="both"/>
        <w:rPr>
          <w:rFonts w:ascii="Verdana" w:hAnsi="Verdana"/>
          <w:spacing w:val="-2"/>
          <w:sz w:val="16"/>
          <w:szCs w:val="16"/>
        </w:rPr>
      </w:pPr>
      <w:r w:rsidRPr="00C73BCF">
        <w:rPr>
          <w:rStyle w:val="Refdenotaalpie"/>
          <w:rFonts w:ascii="Verdana" w:hAnsi="Verdana"/>
          <w:spacing w:val="-2"/>
          <w:sz w:val="16"/>
          <w:szCs w:val="16"/>
        </w:rPr>
        <w:footnoteRef/>
      </w:r>
      <w:r w:rsidRPr="00C73BCF">
        <w:rPr>
          <w:rFonts w:ascii="Verdana" w:hAnsi="Verdana"/>
          <w:spacing w:val="-2"/>
          <w:sz w:val="16"/>
          <w:szCs w:val="16"/>
        </w:rPr>
        <w:t xml:space="preserve"> </w:t>
      </w:r>
      <w:r w:rsidRPr="00C73BCF">
        <w:rPr>
          <w:rFonts w:ascii="Verdana" w:hAnsi="Verdana"/>
          <w:spacing w:val="-2"/>
          <w:sz w:val="16"/>
          <w:szCs w:val="16"/>
        </w:rPr>
        <w:tab/>
        <w:t xml:space="preserve">En este sentido ver, entre otros: </w:t>
      </w:r>
      <w:r w:rsidRPr="00C73BCF">
        <w:rPr>
          <w:rFonts w:ascii="Verdana" w:hAnsi="Verdana"/>
          <w:i/>
          <w:spacing w:val="-2"/>
          <w:sz w:val="16"/>
          <w:szCs w:val="16"/>
        </w:rPr>
        <w:t xml:space="preserve">Caso Velásquez Rodríguez Vs. Honduras. Reparaciones y Costas. </w:t>
      </w:r>
      <w:r w:rsidRPr="00C73BCF">
        <w:rPr>
          <w:rFonts w:ascii="Verdana" w:hAnsi="Verdana"/>
          <w:spacing w:val="-2"/>
          <w:sz w:val="16"/>
          <w:szCs w:val="16"/>
        </w:rPr>
        <w:t>Sentencia de 21 de julio de 1989. Serie C No. 7,</w:t>
      </w:r>
      <w:r w:rsidRPr="00C73BCF">
        <w:rPr>
          <w:rFonts w:ascii="Verdana" w:hAnsi="Verdana"/>
          <w:i/>
          <w:spacing w:val="-2"/>
          <w:sz w:val="16"/>
          <w:szCs w:val="16"/>
        </w:rPr>
        <w:t xml:space="preserve"> </w:t>
      </w:r>
      <w:r w:rsidRPr="00C73BCF">
        <w:rPr>
          <w:rFonts w:ascii="Verdana" w:hAnsi="Verdana"/>
          <w:spacing w:val="-2"/>
          <w:sz w:val="16"/>
          <w:szCs w:val="16"/>
        </w:rPr>
        <w:t xml:space="preserve">párrs. 49, 52 a 55 y 58; </w:t>
      </w:r>
      <w:r w:rsidRPr="00C73BCF">
        <w:rPr>
          <w:rFonts w:ascii="Verdana" w:hAnsi="Verdana"/>
          <w:i/>
          <w:spacing w:val="-2"/>
          <w:sz w:val="16"/>
          <w:szCs w:val="16"/>
        </w:rPr>
        <w:t>Caso El Amparo Vs. Venezuela. Reparaciones y Costas</w:t>
      </w:r>
      <w:r w:rsidRPr="00C73BCF">
        <w:rPr>
          <w:rFonts w:ascii="Verdana" w:hAnsi="Verdana"/>
          <w:spacing w:val="-2"/>
          <w:sz w:val="16"/>
          <w:szCs w:val="16"/>
        </w:rPr>
        <w:t xml:space="preserve">. Sentencia de 14 de septiembre de 1996. Serie C No. 28, párr. 41; </w:t>
      </w:r>
      <w:r w:rsidRPr="00C73BCF">
        <w:rPr>
          <w:rFonts w:ascii="Verdana" w:hAnsi="Verdana"/>
          <w:i/>
          <w:spacing w:val="-2"/>
          <w:sz w:val="16"/>
          <w:szCs w:val="16"/>
        </w:rPr>
        <w:t>Caso Del Caracazo Vs. Venezuela. Reparaciones y Costas.</w:t>
      </w:r>
      <w:r w:rsidRPr="00C73BCF">
        <w:rPr>
          <w:rFonts w:ascii="Verdana" w:hAnsi="Verdana"/>
          <w:spacing w:val="-2"/>
          <w:sz w:val="16"/>
          <w:szCs w:val="16"/>
        </w:rPr>
        <w:t xml:space="preserve"> Sentencia de 29 de agosto de 2002. Serie C No. 95, párrs. 91, 93, 101, 102 y 111;  </w:t>
      </w:r>
      <w:r w:rsidRPr="00C73BCF">
        <w:rPr>
          <w:rFonts w:ascii="Verdana" w:hAnsi="Verdana"/>
          <w:i/>
          <w:spacing w:val="-2"/>
          <w:sz w:val="16"/>
          <w:szCs w:val="16"/>
        </w:rPr>
        <w:t xml:space="preserve">Caso 19 Comerciantes Vs. Colombia. Fondo, Reparaciones y Costas. </w:t>
      </w:r>
      <w:r w:rsidRPr="00C73BCF">
        <w:rPr>
          <w:rFonts w:ascii="Verdana" w:hAnsi="Verdana"/>
          <w:spacing w:val="-2"/>
          <w:sz w:val="16"/>
          <w:szCs w:val="16"/>
        </w:rPr>
        <w:t xml:space="preserve">Sentencia de 5 de julio de 2004. Serie C No. 109, párrs. 230 y 231; </w:t>
      </w:r>
      <w:r w:rsidRPr="00C73BCF">
        <w:rPr>
          <w:rFonts w:ascii="Verdana" w:hAnsi="Verdana"/>
          <w:i/>
          <w:spacing w:val="-2"/>
          <w:sz w:val="16"/>
          <w:szCs w:val="16"/>
        </w:rPr>
        <w:t>Caso de la Masacre de Pueblo Bello Vs. Colombia.</w:t>
      </w:r>
      <w:r w:rsidRPr="00C73BCF">
        <w:rPr>
          <w:rFonts w:ascii="Verdana" w:hAnsi="Verdana"/>
          <w:spacing w:val="-2"/>
          <w:sz w:val="16"/>
          <w:szCs w:val="16"/>
        </w:rPr>
        <w:t xml:space="preserve"> Sentencia de 31 de enero de 2006. Serie C No. 140, párrs. 240 y 241; </w:t>
      </w:r>
      <w:r w:rsidRPr="00C73BCF">
        <w:rPr>
          <w:rFonts w:ascii="Verdana" w:hAnsi="Verdana" w:cs="Arial"/>
          <w:i/>
          <w:sz w:val="16"/>
          <w:szCs w:val="16"/>
        </w:rPr>
        <w:t>Caso Masacres de Río Negro Vs. Guatemala. Excepción Preliminar, Fondo, Reparaciones y Costas</w:t>
      </w:r>
      <w:r w:rsidRPr="00C73BCF">
        <w:rPr>
          <w:rFonts w:ascii="Verdana" w:hAnsi="Verdana" w:cs="Arial"/>
          <w:sz w:val="16"/>
          <w:szCs w:val="16"/>
        </w:rPr>
        <w:t>. Sentencia de 4 de septiembre de 2012. Serie C No. 250</w:t>
      </w:r>
      <w:r w:rsidR="00433AB7" w:rsidRPr="00C73BCF">
        <w:rPr>
          <w:rFonts w:ascii="Verdana" w:hAnsi="Verdana" w:cs="Arial"/>
          <w:sz w:val="16"/>
          <w:szCs w:val="16"/>
        </w:rPr>
        <w:t>,</w:t>
      </w:r>
      <w:r w:rsidRPr="00C73BCF">
        <w:rPr>
          <w:rFonts w:ascii="Verdana" w:hAnsi="Verdana" w:cs="Arial"/>
          <w:sz w:val="16"/>
          <w:szCs w:val="16"/>
        </w:rPr>
        <w:t xml:space="preserve"> </w:t>
      </w:r>
      <w:r w:rsidRPr="00C73BCF">
        <w:rPr>
          <w:rFonts w:ascii="Verdana" w:hAnsi="Verdana"/>
          <w:spacing w:val="-2"/>
          <w:sz w:val="16"/>
          <w:szCs w:val="16"/>
        </w:rPr>
        <w:t>párr. 310</w:t>
      </w:r>
      <w:r w:rsidR="00433AB7" w:rsidRPr="00C73BCF">
        <w:rPr>
          <w:rFonts w:ascii="Verdana" w:hAnsi="Verdana"/>
          <w:spacing w:val="-2"/>
          <w:sz w:val="16"/>
          <w:szCs w:val="16"/>
        </w:rPr>
        <w:t>;</w:t>
      </w:r>
      <w:r w:rsidRPr="00C73BCF">
        <w:rPr>
          <w:rFonts w:ascii="Verdana" w:hAnsi="Verdana"/>
          <w:spacing w:val="-2"/>
          <w:sz w:val="16"/>
          <w:szCs w:val="16"/>
        </w:rPr>
        <w:t xml:space="preserve"> </w:t>
      </w:r>
      <w:r w:rsidRPr="00C73BCF">
        <w:rPr>
          <w:rFonts w:ascii="Verdana" w:hAnsi="Verdana"/>
          <w:bCs/>
          <w:i/>
          <w:spacing w:val="-2"/>
          <w:sz w:val="16"/>
          <w:szCs w:val="16"/>
        </w:rPr>
        <w:t xml:space="preserve">Caso </w:t>
      </w:r>
      <w:proofErr w:type="spellStart"/>
      <w:r w:rsidRPr="00C73BCF">
        <w:rPr>
          <w:rFonts w:ascii="Verdana" w:hAnsi="Verdana"/>
          <w:bCs/>
          <w:i/>
          <w:spacing w:val="-2"/>
          <w:sz w:val="16"/>
          <w:szCs w:val="16"/>
        </w:rPr>
        <w:t>Nadege</w:t>
      </w:r>
      <w:proofErr w:type="spellEnd"/>
      <w:r w:rsidRPr="00C73BCF">
        <w:rPr>
          <w:rFonts w:ascii="Verdana" w:hAnsi="Verdana"/>
          <w:bCs/>
          <w:i/>
          <w:spacing w:val="-2"/>
          <w:sz w:val="16"/>
          <w:szCs w:val="16"/>
        </w:rPr>
        <w:t xml:space="preserve"> </w:t>
      </w:r>
      <w:proofErr w:type="spellStart"/>
      <w:r w:rsidRPr="00C73BCF">
        <w:rPr>
          <w:rFonts w:ascii="Verdana" w:hAnsi="Verdana"/>
          <w:bCs/>
          <w:i/>
          <w:spacing w:val="-2"/>
          <w:sz w:val="16"/>
          <w:szCs w:val="16"/>
        </w:rPr>
        <w:t>Dorzema</w:t>
      </w:r>
      <w:proofErr w:type="spellEnd"/>
      <w:r w:rsidRPr="00C73BCF">
        <w:rPr>
          <w:rFonts w:ascii="Verdana" w:hAnsi="Verdana"/>
          <w:bCs/>
          <w:i/>
          <w:spacing w:val="-2"/>
          <w:sz w:val="16"/>
          <w:szCs w:val="16"/>
        </w:rPr>
        <w:t xml:space="preserve"> y otros Vs. República Dominicana. </w:t>
      </w:r>
      <w:r w:rsidRPr="00C73BCF">
        <w:rPr>
          <w:rFonts w:ascii="Verdana" w:hAnsi="Verdana"/>
          <w:i/>
          <w:spacing w:val="-2"/>
          <w:sz w:val="16"/>
          <w:szCs w:val="16"/>
        </w:rPr>
        <w:t xml:space="preserve">Fondo, Reparaciones y Costas. </w:t>
      </w:r>
      <w:r w:rsidRPr="00C73BCF">
        <w:rPr>
          <w:rFonts w:ascii="Verdana" w:hAnsi="Verdana"/>
          <w:spacing w:val="-2"/>
          <w:sz w:val="16"/>
          <w:szCs w:val="16"/>
        </w:rPr>
        <w:t>Sentencia de 24 de octubre de 2012. Serie C No. 251, párr. 289</w:t>
      </w:r>
      <w:r w:rsidR="00AD6863" w:rsidRPr="00C73BCF">
        <w:rPr>
          <w:rFonts w:ascii="Verdana" w:hAnsi="Verdana"/>
          <w:spacing w:val="-2"/>
          <w:sz w:val="16"/>
          <w:szCs w:val="16"/>
        </w:rPr>
        <w:t xml:space="preserve">, y </w:t>
      </w:r>
      <w:r w:rsidR="00AD6863" w:rsidRPr="00C73BCF">
        <w:rPr>
          <w:rFonts w:ascii="Verdana" w:hAnsi="Verdana"/>
          <w:i/>
          <w:spacing w:val="-2"/>
          <w:sz w:val="16"/>
          <w:szCs w:val="16"/>
          <w:lang w:val="es-ES"/>
        </w:rPr>
        <w:t xml:space="preserve">Caso </w:t>
      </w:r>
      <w:proofErr w:type="spellStart"/>
      <w:r w:rsidR="00AD6863" w:rsidRPr="00C73BCF">
        <w:rPr>
          <w:rFonts w:ascii="Verdana" w:hAnsi="Verdana"/>
          <w:i/>
          <w:spacing w:val="-2"/>
          <w:sz w:val="16"/>
          <w:szCs w:val="16"/>
          <w:lang w:val="es-ES"/>
        </w:rPr>
        <w:t>Gudiel</w:t>
      </w:r>
      <w:proofErr w:type="spellEnd"/>
      <w:r w:rsidR="00AD6863" w:rsidRPr="00C73BCF">
        <w:rPr>
          <w:rFonts w:ascii="Verdana" w:hAnsi="Verdana"/>
          <w:i/>
          <w:spacing w:val="-2"/>
          <w:sz w:val="16"/>
          <w:szCs w:val="16"/>
          <w:lang w:val="es-ES"/>
        </w:rPr>
        <w:t xml:space="preserve"> Álvarez y otros ("Diario Militar") Vs. Guatemala. Interpretación de la Sentencia de Fondo, Reparaciones y Costas</w:t>
      </w:r>
      <w:r w:rsidR="00AD6863" w:rsidRPr="00C73BCF">
        <w:rPr>
          <w:rFonts w:ascii="Verdana" w:hAnsi="Verdana"/>
          <w:spacing w:val="-2"/>
          <w:sz w:val="16"/>
          <w:szCs w:val="16"/>
          <w:lang w:val="es-ES"/>
        </w:rPr>
        <w:t xml:space="preserve">, </w:t>
      </w:r>
      <w:r w:rsidR="00AD6863" w:rsidRPr="00C73BCF">
        <w:rPr>
          <w:rFonts w:ascii="Verdana" w:hAnsi="Verdana"/>
          <w:i/>
          <w:spacing w:val="-2"/>
          <w:sz w:val="16"/>
          <w:szCs w:val="16"/>
          <w:lang w:val="es-ES"/>
        </w:rPr>
        <w:t xml:space="preserve">supra </w:t>
      </w:r>
      <w:r w:rsidR="00AD6863" w:rsidRPr="00C73BCF">
        <w:rPr>
          <w:rFonts w:ascii="Verdana" w:hAnsi="Verdana"/>
          <w:spacing w:val="-2"/>
          <w:sz w:val="16"/>
          <w:szCs w:val="16"/>
          <w:lang w:val="es-ES"/>
        </w:rPr>
        <w:t>nota 24, párr. 45</w:t>
      </w:r>
      <w:r w:rsidRPr="00C73BCF">
        <w:rPr>
          <w:rFonts w:ascii="Verdana" w:hAnsi="Verdana"/>
          <w:spacing w:val="-2"/>
          <w:sz w:val="16"/>
          <w:szCs w:val="16"/>
        </w:rPr>
        <w:t>.</w:t>
      </w:r>
    </w:p>
  </w:footnote>
  <w:footnote w:id="26">
    <w:p w:rsidR="001107F5" w:rsidRPr="00C73BCF" w:rsidRDefault="001107F5" w:rsidP="004014AF">
      <w:pPr>
        <w:tabs>
          <w:tab w:val="left" w:pos="360"/>
          <w:tab w:val="left" w:pos="540"/>
        </w:tabs>
        <w:spacing w:after="0" w:line="240" w:lineRule="auto"/>
        <w:jc w:val="both"/>
        <w:rPr>
          <w:rFonts w:ascii="Verdana" w:hAnsi="Verdana"/>
          <w:spacing w:val="-2"/>
          <w:sz w:val="16"/>
          <w:szCs w:val="16"/>
          <w:lang w:val="es-ES"/>
        </w:rPr>
      </w:pPr>
      <w:r w:rsidRPr="00C73BCF">
        <w:rPr>
          <w:rStyle w:val="Refdenotaalpie"/>
          <w:rFonts w:ascii="Verdana" w:hAnsi="Verdana"/>
          <w:spacing w:val="-2"/>
          <w:sz w:val="16"/>
          <w:szCs w:val="16"/>
        </w:rPr>
        <w:footnoteRef/>
      </w:r>
      <w:r w:rsidRPr="00C73BCF">
        <w:rPr>
          <w:rFonts w:ascii="Verdana" w:hAnsi="Verdana"/>
          <w:spacing w:val="-2"/>
          <w:sz w:val="16"/>
          <w:szCs w:val="16"/>
        </w:rPr>
        <w:t xml:space="preserve"> </w:t>
      </w:r>
      <w:r w:rsidRPr="00C73BCF">
        <w:rPr>
          <w:rFonts w:ascii="Verdana" w:hAnsi="Verdana"/>
          <w:spacing w:val="-2"/>
          <w:sz w:val="16"/>
          <w:szCs w:val="16"/>
        </w:rPr>
        <w:tab/>
      </w:r>
      <w:r w:rsidRPr="00C73BCF">
        <w:rPr>
          <w:rFonts w:ascii="Verdana" w:hAnsi="Verdana"/>
          <w:spacing w:val="-2"/>
          <w:sz w:val="16"/>
          <w:szCs w:val="16"/>
        </w:rPr>
        <w:t xml:space="preserve">Al respecto, entre otros, </w:t>
      </w:r>
      <w:r w:rsidRPr="00C73BCF">
        <w:rPr>
          <w:rFonts w:ascii="Verdana" w:hAnsi="Verdana"/>
          <w:i/>
          <w:spacing w:val="-2"/>
          <w:sz w:val="16"/>
          <w:szCs w:val="16"/>
        </w:rPr>
        <w:t>Caso Aloeboetoe y otros Vs. Surinam. Reparaciones y Costas</w:t>
      </w:r>
      <w:r w:rsidRPr="00C73BCF">
        <w:rPr>
          <w:rFonts w:ascii="Verdana" w:hAnsi="Verdana"/>
          <w:spacing w:val="-2"/>
          <w:sz w:val="16"/>
          <w:szCs w:val="16"/>
        </w:rPr>
        <w:t>. Sentencia de 10 de septiembre de 1993. Serie C No. 15</w:t>
      </w:r>
      <w:r w:rsidRPr="00C73BCF">
        <w:rPr>
          <w:rFonts w:ascii="Verdana" w:hAnsi="Verdana"/>
          <w:i/>
          <w:iCs/>
          <w:spacing w:val="-2"/>
          <w:sz w:val="16"/>
          <w:szCs w:val="16"/>
          <w:lang w:val="es-ES"/>
        </w:rPr>
        <w:t xml:space="preserve">,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77 y 97; </w:t>
      </w:r>
      <w:r w:rsidRPr="00C73BCF">
        <w:rPr>
          <w:rFonts w:ascii="Verdana" w:hAnsi="Verdana"/>
          <w:i/>
          <w:spacing w:val="-2"/>
          <w:sz w:val="16"/>
          <w:szCs w:val="16"/>
        </w:rPr>
        <w:t>Caso El Amparo Vs. Venezuela. Reparaciones y Costas</w:t>
      </w:r>
      <w:r w:rsidRPr="00C73BCF">
        <w:rPr>
          <w:rFonts w:ascii="Verdana" w:hAnsi="Verdana"/>
          <w:spacing w:val="-2"/>
          <w:sz w:val="16"/>
          <w:szCs w:val="16"/>
        </w:rPr>
        <w:t>. Sentencia de 14 de septiembre de 1996. Serie C No. 28</w:t>
      </w:r>
      <w:r w:rsidRPr="00C73BCF">
        <w:rPr>
          <w:rFonts w:ascii="Verdana" w:hAnsi="Verdana"/>
          <w:spacing w:val="-2"/>
          <w:sz w:val="16"/>
          <w:szCs w:val="16"/>
          <w:lang w:val="es-ES"/>
        </w:rPr>
        <w:t xml:space="preserve">,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40, 41 y 42; </w:t>
      </w:r>
      <w:r w:rsidRPr="00C73BCF">
        <w:rPr>
          <w:rFonts w:ascii="Verdana" w:hAnsi="Verdana"/>
          <w:i/>
          <w:iCs/>
          <w:spacing w:val="-2"/>
          <w:sz w:val="16"/>
          <w:szCs w:val="16"/>
          <w:lang w:val="es-ES"/>
        </w:rPr>
        <w:t>Caso Neira Alegría y otros Vs. Perú. Reparaciones</w:t>
      </w:r>
      <w:r w:rsidRPr="00C73BCF">
        <w:rPr>
          <w:rFonts w:ascii="Verdana" w:hAnsi="Verdana"/>
          <w:spacing w:val="-2"/>
          <w:sz w:val="16"/>
          <w:szCs w:val="16"/>
          <w:lang w:val="es-ES"/>
        </w:rPr>
        <w:t xml:space="preserve">. Sentencia de 19 de septiembre de 1996. Serie C No. 29,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60 y 61; </w:t>
      </w:r>
      <w:r w:rsidRPr="00C73BCF">
        <w:rPr>
          <w:rFonts w:ascii="Verdana" w:hAnsi="Verdana"/>
          <w:i/>
          <w:iCs/>
          <w:spacing w:val="-2"/>
          <w:sz w:val="16"/>
          <w:szCs w:val="16"/>
          <w:lang w:val="es-ES"/>
        </w:rPr>
        <w:t xml:space="preserve">Caso Garrido y </w:t>
      </w:r>
      <w:proofErr w:type="spellStart"/>
      <w:r w:rsidRPr="00C73BCF">
        <w:rPr>
          <w:rFonts w:ascii="Verdana" w:hAnsi="Verdana"/>
          <w:i/>
          <w:iCs/>
          <w:spacing w:val="-2"/>
          <w:sz w:val="16"/>
          <w:szCs w:val="16"/>
          <w:lang w:val="es-ES"/>
        </w:rPr>
        <w:t>Baigorria</w:t>
      </w:r>
      <w:proofErr w:type="spellEnd"/>
      <w:r w:rsidRPr="00C73BCF">
        <w:rPr>
          <w:rFonts w:ascii="Verdana" w:hAnsi="Verdana"/>
          <w:i/>
          <w:iCs/>
          <w:spacing w:val="-2"/>
          <w:sz w:val="16"/>
          <w:szCs w:val="16"/>
          <w:lang w:val="es-ES"/>
        </w:rPr>
        <w:t xml:space="preserve"> Vs. Argentina. Reparaciones</w:t>
      </w:r>
      <w:r w:rsidR="000D44DD" w:rsidRPr="00C73BCF">
        <w:rPr>
          <w:rFonts w:ascii="Verdana" w:hAnsi="Verdana"/>
          <w:i/>
          <w:iCs/>
          <w:spacing w:val="-2"/>
          <w:sz w:val="16"/>
          <w:szCs w:val="16"/>
          <w:lang w:val="es-ES"/>
        </w:rPr>
        <w:t xml:space="preserve"> y Costas</w:t>
      </w:r>
      <w:r w:rsidRPr="00C73BCF">
        <w:rPr>
          <w:rFonts w:ascii="Verdana" w:hAnsi="Verdana"/>
          <w:spacing w:val="-2"/>
          <w:sz w:val="16"/>
          <w:szCs w:val="16"/>
          <w:lang w:val="es-ES"/>
        </w:rPr>
        <w:t>. Sentencia de 27 de agosto de 1998. Serie C No. 39</w:t>
      </w:r>
      <w:r w:rsidR="000D44DD" w:rsidRPr="00C73BCF">
        <w:rPr>
          <w:rFonts w:ascii="Verdana" w:hAnsi="Verdana"/>
          <w:spacing w:val="-2"/>
          <w:sz w:val="16"/>
          <w:szCs w:val="16"/>
          <w:lang w:val="es-ES"/>
        </w:rPr>
        <w:t xml:space="preserve">,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55, 56 y 65; </w:t>
      </w:r>
      <w:r w:rsidRPr="00C73BCF">
        <w:rPr>
          <w:rFonts w:ascii="Verdana" w:hAnsi="Verdana"/>
          <w:i/>
          <w:spacing w:val="-2"/>
          <w:sz w:val="16"/>
          <w:szCs w:val="16"/>
        </w:rPr>
        <w:t>Caso Del Caracazo Vs. Venezuela. Reparaciones y Costas.</w:t>
      </w:r>
      <w:r w:rsidRPr="00C73BCF">
        <w:rPr>
          <w:rFonts w:ascii="Verdana" w:hAnsi="Verdana"/>
          <w:spacing w:val="-2"/>
          <w:sz w:val="16"/>
          <w:szCs w:val="16"/>
        </w:rPr>
        <w:t xml:space="preserve"> Sentencia de 29 de agosto de 2002. Serie C No. 95,</w:t>
      </w:r>
      <w:r w:rsidRPr="00C73BCF">
        <w:rPr>
          <w:rFonts w:ascii="Verdana" w:hAnsi="Verdana"/>
          <w:iCs/>
          <w:spacing w:val="-2"/>
          <w:sz w:val="16"/>
          <w:szCs w:val="16"/>
          <w:lang w:val="it-IT"/>
        </w:rPr>
        <w:t xml:space="preserve">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w:t>
      </w:r>
      <w:r w:rsidRPr="00C73BCF">
        <w:rPr>
          <w:rFonts w:ascii="Verdana" w:hAnsi="Verdana"/>
          <w:spacing w:val="-2"/>
          <w:sz w:val="16"/>
          <w:szCs w:val="16"/>
        </w:rPr>
        <w:t>91 a 93</w:t>
      </w:r>
      <w:r w:rsidRPr="00C73BCF">
        <w:rPr>
          <w:rFonts w:ascii="Verdana" w:hAnsi="Verdana"/>
          <w:spacing w:val="-2"/>
          <w:sz w:val="16"/>
          <w:szCs w:val="16"/>
          <w:lang w:val="es-ES"/>
        </w:rPr>
        <w:t xml:space="preserve">; </w:t>
      </w:r>
      <w:r w:rsidRPr="00C73BCF">
        <w:rPr>
          <w:rFonts w:ascii="Verdana" w:hAnsi="Verdana"/>
          <w:i/>
          <w:iCs/>
          <w:spacing w:val="-2"/>
          <w:sz w:val="16"/>
          <w:szCs w:val="16"/>
        </w:rPr>
        <w:t>Caso Juan Humberto Sánchez Vs. Honduras.</w:t>
      </w:r>
      <w:r w:rsidRPr="00C73BCF">
        <w:rPr>
          <w:rFonts w:ascii="Verdana" w:hAnsi="Verdana"/>
          <w:spacing w:val="-2"/>
          <w:sz w:val="16"/>
          <w:szCs w:val="16"/>
        </w:rPr>
        <w:t xml:space="preserve"> </w:t>
      </w:r>
      <w:r w:rsidR="007D0042" w:rsidRPr="00C73BCF">
        <w:rPr>
          <w:rFonts w:ascii="Verdana" w:hAnsi="Verdana"/>
          <w:i/>
          <w:iCs/>
          <w:spacing w:val="-2"/>
          <w:sz w:val="16"/>
          <w:szCs w:val="16"/>
        </w:rPr>
        <w:t>Excepció</w:t>
      </w:r>
      <w:r w:rsidRPr="00C73BCF">
        <w:rPr>
          <w:rFonts w:ascii="Verdana" w:hAnsi="Verdana"/>
          <w:i/>
          <w:iCs/>
          <w:spacing w:val="-2"/>
          <w:sz w:val="16"/>
          <w:szCs w:val="16"/>
        </w:rPr>
        <w:t>n Preliminar, Fondo, Reparaciones y Costas.</w:t>
      </w:r>
      <w:r w:rsidRPr="00C73BCF">
        <w:rPr>
          <w:rFonts w:ascii="Verdana" w:hAnsi="Verdana"/>
          <w:spacing w:val="-2"/>
          <w:sz w:val="16"/>
          <w:szCs w:val="16"/>
        </w:rPr>
        <w:t xml:space="preserve"> </w:t>
      </w:r>
      <w:r w:rsidRPr="00C73BCF">
        <w:rPr>
          <w:rFonts w:ascii="Verdana" w:hAnsi="Verdana"/>
          <w:spacing w:val="-2"/>
          <w:sz w:val="16"/>
          <w:szCs w:val="16"/>
          <w:lang w:val="es-ES"/>
        </w:rPr>
        <w:t>Sentencia de 7 de junio de 2003. Serie C No. 99</w:t>
      </w:r>
      <w:r w:rsidR="000D44DD" w:rsidRPr="00C73BCF">
        <w:rPr>
          <w:rFonts w:ascii="Verdana" w:hAnsi="Verdana"/>
          <w:spacing w:val="-2"/>
          <w:sz w:val="16"/>
          <w:szCs w:val="16"/>
          <w:lang w:val="es-ES"/>
        </w:rPr>
        <w:t xml:space="preserve">,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164, 165 y 178; </w:t>
      </w:r>
      <w:r w:rsidRPr="00C73BCF">
        <w:rPr>
          <w:rFonts w:ascii="Verdana" w:hAnsi="Verdana"/>
          <w:i/>
          <w:iCs/>
          <w:spacing w:val="-2"/>
          <w:sz w:val="16"/>
          <w:szCs w:val="16"/>
          <w:lang w:val="es-ES"/>
        </w:rPr>
        <w:t xml:space="preserve">Caso Carpio </w:t>
      </w:r>
      <w:proofErr w:type="spellStart"/>
      <w:r w:rsidRPr="00C73BCF">
        <w:rPr>
          <w:rFonts w:ascii="Verdana" w:hAnsi="Verdana"/>
          <w:i/>
          <w:iCs/>
          <w:spacing w:val="-2"/>
          <w:sz w:val="16"/>
          <w:szCs w:val="16"/>
          <w:lang w:val="es-ES"/>
        </w:rPr>
        <w:t>Nicolle</w:t>
      </w:r>
      <w:proofErr w:type="spellEnd"/>
      <w:r w:rsidRPr="00C73BCF">
        <w:rPr>
          <w:rFonts w:ascii="Verdana" w:hAnsi="Verdana"/>
          <w:i/>
          <w:iCs/>
          <w:spacing w:val="-2"/>
          <w:sz w:val="16"/>
          <w:szCs w:val="16"/>
          <w:lang w:val="es-ES"/>
        </w:rPr>
        <w:t xml:space="preserve"> y otros Vs. Guatemala. </w:t>
      </w:r>
      <w:r w:rsidRPr="00C73BCF">
        <w:rPr>
          <w:rFonts w:ascii="Verdana" w:hAnsi="Verdana"/>
          <w:spacing w:val="-2"/>
          <w:sz w:val="16"/>
          <w:szCs w:val="16"/>
          <w:lang w:val="es-ES"/>
        </w:rPr>
        <w:t> </w:t>
      </w:r>
      <w:r w:rsidRPr="00C73BCF">
        <w:rPr>
          <w:rFonts w:ascii="Verdana" w:hAnsi="Verdana"/>
          <w:i/>
          <w:iCs/>
          <w:spacing w:val="-2"/>
          <w:sz w:val="16"/>
          <w:szCs w:val="16"/>
          <w:lang w:val="es-ES"/>
        </w:rPr>
        <w:t xml:space="preserve">Fondo, Reparaciones y Costas. </w:t>
      </w:r>
      <w:r w:rsidRPr="00C73BCF">
        <w:rPr>
          <w:rFonts w:ascii="Verdana" w:hAnsi="Verdana"/>
          <w:spacing w:val="-2"/>
          <w:sz w:val="16"/>
          <w:szCs w:val="16"/>
          <w:lang w:val="es-ES"/>
        </w:rPr>
        <w:t>Sentencia de 22 de noviembre del 2004.</w:t>
      </w:r>
      <w:r w:rsidRPr="00C73BCF">
        <w:rPr>
          <w:rFonts w:ascii="Verdana" w:hAnsi="Verdana"/>
          <w:i/>
          <w:iCs/>
          <w:spacing w:val="-2"/>
          <w:sz w:val="16"/>
          <w:szCs w:val="16"/>
          <w:lang w:val="es-ES"/>
        </w:rPr>
        <w:t xml:space="preserve"> </w:t>
      </w:r>
      <w:r w:rsidRPr="00C73BCF">
        <w:rPr>
          <w:rFonts w:ascii="Verdana" w:hAnsi="Verdana"/>
          <w:spacing w:val="-2"/>
          <w:sz w:val="16"/>
          <w:szCs w:val="16"/>
          <w:lang w:val="es-ES"/>
        </w:rPr>
        <w:t xml:space="preserve">Serie C No. 117, </w:t>
      </w:r>
      <w:proofErr w:type="spellStart"/>
      <w:r w:rsidRPr="00C73BCF">
        <w:rPr>
          <w:rFonts w:ascii="Verdana" w:hAnsi="Verdana"/>
          <w:spacing w:val="-2"/>
          <w:sz w:val="16"/>
          <w:szCs w:val="16"/>
          <w:lang w:val="es-ES"/>
        </w:rPr>
        <w:t>párrs</w:t>
      </w:r>
      <w:proofErr w:type="spellEnd"/>
      <w:r w:rsidRPr="00C73BCF">
        <w:rPr>
          <w:rFonts w:ascii="Verdana" w:hAnsi="Verdana"/>
          <w:spacing w:val="-2"/>
          <w:sz w:val="16"/>
          <w:szCs w:val="16"/>
          <w:lang w:val="es-ES"/>
        </w:rPr>
        <w:t xml:space="preserve">. 98 y 99; </w:t>
      </w:r>
      <w:r w:rsidRPr="00C73BCF">
        <w:rPr>
          <w:rFonts w:ascii="Verdana" w:hAnsi="Verdana"/>
          <w:i/>
          <w:spacing w:val="-2"/>
          <w:sz w:val="16"/>
          <w:szCs w:val="16"/>
          <w:lang w:val="es-ES"/>
        </w:rPr>
        <w:t>Caso Hermanas Serrano Cruz Vs. El Salvador</w:t>
      </w:r>
      <w:r w:rsidRPr="00C73BCF">
        <w:rPr>
          <w:rFonts w:ascii="Verdana" w:hAnsi="Verdana"/>
          <w:spacing w:val="-2"/>
          <w:sz w:val="16"/>
          <w:szCs w:val="16"/>
          <w:lang w:val="es-ES"/>
        </w:rPr>
        <w:t xml:space="preserve">. </w:t>
      </w:r>
      <w:r w:rsidRPr="00C73BCF">
        <w:rPr>
          <w:rFonts w:ascii="Verdana" w:hAnsi="Verdana"/>
          <w:i/>
          <w:spacing w:val="-2"/>
          <w:sz w:val="16"/>
          <w:szCs w:val="16"/>
          <w:lang w:val="es-ES"/>
        </w:rPr>
        <w:t xml:space="preserve">Interpretación de la Sentencia de Reparaciones y Costas. </w:t>
      </w:r>
      <w:r w:rsidRPr="00C73BCF">
        <w:rPr>
          <w:rFonts w:ascii="Verdana" w:hAnsi="Verdana"/>
          <w:spacing w:val="-2"/>
          <w:sz w:val="16"/>
          <w:szCs w:val="16"/>
          <w:lang w:val="es-ES"/>
        </w:rPr>
        <w:t xml:space="preserve">Sentencia de 9 de septiembre de 2005. Serie </w:t>
      </w:r>
      <w:r w:rsidR="00613809" w:rsidRPr="00C73BCF">
        <w:rPr>
          <w:rFonts w:ascii="Verdana" w:hAnsi="Verdana"/>
          <w:spacing w:val="-2"/>
          <w:sz w:val="16"/>
          <w:szCs w:val="16"/>
          <w:lang w:val="es-ES"/>
        </w:rPr>
        <w:t xml:space="preserve">C No. </w:t>
      </w:r>
      <w:r w:rsidRPr="00C73BCF">
        <w:rPr>
          <w:rFonts w:ascii="Verdana" w:hAnsi="Verdana"/>
          <w:spacing w:val="-2"/>
          <w:sz w:val="16"/>
          <w:szCs w:val="16"/>
          <w:lang w:val="es-ES"/>
        </w:rPr>
        <w:t xml:space="preserve">131, </w:t>
      </w:r>
      <w:r w:rsidRPr="00C73BCF">
        <w:rPr>
          <w:rFonts w:ascii="Verdana" w:hAnsi="Verdana"/>
          <w:spacing w:val="-2"/>
          <w:sz w:val="16"/>
          <w:szCs w:val="16"/>
        </w:rPr>
        <w:t xml:space="preserve">párr. 34; </w:t>
      </w:r>
      <w:r w:rsidRPr="00C73BCF">
        <w:rPr>
          <w:rFonts w:ascii="Verdana" w:hAnsi="Verdana"/>
          <w:i/>
          <w:spacing w:val="-2"/>
          <w:sz w:val="16"/>
          <w:szCs w:val="16"/>
          <w:lang w:val="es-ES"/>
        </w:rPr>
        <w:t xml:space="preserve">Caso </w:t>
      </w:r>
      <w:proofErr w:type="spellStart"/>
      <w:r w:rsidRPr="00C73BCF">
        <w:rPr>
          <w:rFonts w:ascii="Verdana" w:hAnsi="Verdana"/>
          <w:i/>
          <w:spacing w:val="-2"/>
          <w:sz w:val="16"/>
          <w:szCs w:val="16"/>
          <w:lang w:val="es-ES"/>
        </w:rPr>
        <w:t>Gudiel</w:t>
      </w:r>
      <w:proofErr w:type="spellEnd"/>
      <w:r w:rsidRPr="00C73BCF">
        <w:rPr>
          <w:rFonts w:ascii="Verdana" w:hAnsi="Verdana"/>
          <w:i/>
          <w:spacing w:val="-2"/>
          <w:sz w:val="16"/>
          <w:szCs w:val="16"/>
          <w:lang w:val="es-ES"/>
        </w:rPr>
        <w:t xml:space="preserve"> Álvarez y otros ("Diario Militar") Vs. Guatemala. Interpretación de la Sentencia de Fondo, Reparaciones y Costas</w:t>
      </w:r>
      <w:r w:rsidR="00613809" w:rsidRPr="00C73BCF">
        <w:rPr>
          <w:rFonts w:ascii="Verdana" w:hAnsi="Verdana"/>
          <w:i/>
          <w:spacing w:val="-2"/>
          <w:sz w:val="16"/>
          <w:szCs w:val="16"/>
          <w:lang w:val="es-ES"/>
        </w:rPr>
        <w:t xml:space="preserve">, supra </w:t>
      </w:r>
      <w:r w:rsidR="00613809" w:rsidRPr="00C73BCF">
        <w:rPr>
          <w:rFonts w:ascii="Verdana" w:hAnsi="Verdana"/>
          <w:spacing w:val="-2"/>
          <w:sz w:val="16"/>
          <w:szCs w:val="16"/>
          <w:lang w:val="es-ES"/>
        </w:rPr>
        <w:t>nota 24</w:t>
      </w:r>
      <w:r w:rsidRPr="00C73BCF">
        <w:rPr>
          <w:rFonts w:ascii="Verdana" w:hAnsi="Verdana"/>
          <w:spacing w:val="-2"/>
          <w:sz w:val="16"/>
          <w:szCs w:val="16"/>
          <w:lang w:val="es-ES"/>
        </w:rPr>
        <w:t>, párr. 45.</w:t>
      </w:r>
    </w:p>
  </w:footnote>
  <w:footnote w:id="27">
    <w:p w:rsidR="00DE6D5D" w:rsidRPr="00C73BCF" w:rsidRDefault="00DE6D5D"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lang w:val="es-ES_tradnl"/>
        </w:rPr>
        <w:t xml:space="preserve">Cfr. </w:t>
      </w:r>
      <w:r w:rsidRPr="00C73BCF">
        <w:rPr>
          <w:rFonts w:ascii="Verdana" w:hAnsi="Verdana"/>
          <w:sz w:val="16"/>
          <w:szCs w:val="16"/>
          <w:lang w:val="es-ES_tradnl"/>
        </w:rPr>
        <w:t>Informe estatal de 12 de enero de 2017.</w:t>
      </w:r>
    </w:p>
  </w:footnote>
  <w:footnote w:id="28">
    <w:p w:rsidR="004014AF" w:rsidRPr="00C73BCF" w:rsidRDefault="004014AF" w:rsidP="004014AF">
      <w:pPr>
        <w:pStyle w:val="Textonotapie"/>
        <w:tabs>
          <w:tab w:val="left" w:pos="36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00433AB7" w:rsidRPr="00C73BCF">
        <w:rPr>
          <w:rFonts w:ascii="Verdana" w:hAnsi="Verdana"/>
          <w:sz w:val="16"/>
          <w:szCs w:val="16"/>
        </w:rPr>
        <w:t>En el</w:t>
      </w:r>
      <w:r w:rsidRPr="00C73BCF">
        <w:rPr>
          <w:rFonts w:ascii="Verdana" w:hAnsi="Verdana"/>
          <w:sz w:val="16"/>
          <w:szCs w:val="16"/>
        </w:rPr>
        <w:t xml:space="preserve"> párrafo 539 de la Sentencia </w:t>
      </w:r>
      <w:r w:rsidR="00433AB7" w:rsidRPr="00C73BCF">
        <w:rPr>
          <w:rFonts w:ascii="Verdana" w:hAnsi="Verdana"/>
          <w:sz w:val="16"/>
          <w:szCs w:val="16"/>
        </w:rPr>
        <w:t xml:space="preserve">se </w:t>
      </w:r>
      <w:r w:rsidRPr="00C73BCF">
        <w:rPr>
          <w:rFonts w:ascii="Verdana" w:hAnsi="Verdana"/>
          <w:sz w:val="16"/>
          <w:szCs w:val="16"/>
        </w:rPr>
        <w:t xml:space="preserve">individualiza a 138 familiares de: i) las víctimas de desaparición forzada; ii) las víctimas Ana Rosa Castiblanco Torres y Norma Constanza </w:t>
      </w:r>
      <w:proofErr w:type="spellStart"/>
      <w:r w:rsidRPr="00C73BCF">
        <w:rPr>
          <w:rFonts w:ascii="Verdana" w:hAnsi="Verdana"/>
          <w:sz w:val="16"/>
          <w:szCs w:val="16"/>
        </w:rPr>
        <w:t>Esguerra</w:t>
      </w:r>
      <w:proofErr w:type="spellEnd"/>
      <w:r w:rsidRPr="00C73BCF">
        <w:rPr>
          <w:rFonts w:ascii="Verdana" w:hAnsi="Verdana"/>
          <w:sz w:val="16"/>
          <w:szCs w:val="16"/>
        </w:rPr>
        <w:t xml:space="preserve"> Forero, y iii) las víctimas de tortura y trato cruel y degradante Yolanda </w:t>
      </w:r>
      <w:proofErr w:type="spellStart"/>
      <w:r w:rsidRPr="00C73BCF">
        <w:rPr>
          <w:rFonts w:ascii="Verdana" w:hAnsi="Verdana"/>
          <w:sz w:val="16"/>
          <w:szCs w:val="16"/>
        </w:rPr>
        <w:t>Santodomingo</w:t>
      </w:r>
      <w:proofErr w:type="spellEnd"/>
      <w:r w:rsidRPr="00C73BCF">
        <w:rPr>
          <w:rFonts w:ascii="Verdana" w:hAnsi="Verdana"/>
          <w:sz w:val="16"/>
          <w:szCs w:val="16"/>
        </w:rPr>
        <w:t xml:space="preserve"> </w:t>
      </w:r>
      <w:proofErr w:type="spellStart"/>
      <w:r w:rsidRPr="00C73BCF">
        <w:rPr>
          <w:rFonts w:ascii="Verdana" w:hAnsi="Verdana"/>
          <w:sz w:val="16"/>
          <w:szCs w:val="16"/>
        </w:rPr>
        <w:t>Albericci</w:t>
      </w:r>
      <w:proofErr w:type="spellEnd"/>
      <w:r w:rsidRPr="00C73BCF">
        <w:rPr>
          <w:rFonts w:ascii="Verdana" w:hAnsi="Verdana"/>
          <w:sz w:val="16"/>
          <w:szCs w:val="16"/>
        </w:rPr>
        <w:t xml:space="preserve">, Eduardo </w:t>
      </w:r>
      <w:proofErr w:type="spellStart"/>
      <w:r w:rsidRPr="00C73BCF">
        <w:rPr>
          <w:rFonts w:ascii="Verdana" w:hAnsi="Verdana"/>
          <w:sz w:val="16"/>
          <w:szCs w:val="16"/>
        </w:rPr>
        <w:t>Matson</w:t>
      </w:r>
      <w:proofErr w:type="spellEnd"/>
      <w:r w:rsidRPr="00C73BCF">
        <w:rPr>
          <w:rFonts w:ascii="Verdana" w:hAnsi="Verdana"/>
          <w:sz w:val="16"/>
          <w:szCs w:val="16"/>
        </w:rPr>
        <w:t xml:space="preserve"> Ospino, José Vicente Rubiano y Orlando Quijano. </w:t>
      </w:r>
      <w:r w:rsidRPr="00C73BCF">
        <w:rPr>
          <w:rFonts w:ascii="Verdana" w:hAnsi="Verdana"/>
          <w:i/>
          <w:color w:val="000000"/>
          <w:sz w:val="16"/>
          <w:szCs w:val="16"/>
        </w:rPr>
        <w:t xml:space="preserve">Cfr. Caso Rodríguez Vera y otros (Desaparecidos del Palacio de Justicia) Vs. Colombia, supra </w:t>
      </w:r>
      <w:r w:rsidRPr="00C73BCF">
        <w:rPr>
          <w:rFonts w:ascii="Verdana" w:hAnsi="Verdana"/>
          <w:color w:val="000000"/>
          <w:sz w:val="16"/>
          <w:szCs w:val="16"/>
        </w:rPr>
        <w:t>nota 1, párr. 539</w:t>
      </w:r>
    </w:p>
  </w:footnote>
  <w:footnote w:id="29">
    <w:p w:rsidR="001107F5" w:rsidRPr="00C73BC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Pr="00C73BCF">
        <w:rPr>
          <w:rFonts w:ascii="Verdana" w:hAnsi="Verdana"/>
          <w:i/>
          <w:sz w:val="16"/>
          <w:szCs w:val="16"/>
        </w:rPr>
        <w:t xml:space="preserve">Cfr. </w:t>
      </w:r>
      <w:r w:rsidRPr="00C73BCF">
        <w:rPr>
          <w:rFonts w:ascii="Verdana" w:hAnsi="Verdana"/>
          <w:i/>
          <w:spacing w:val="-2"/>
          <w:sz w:val="16"/>
          <w:szCs w:val="16"/>
          <w:lang w:val="es-ES"/>
        </w:rPr>
        <w:t xml:space="preserve">Caso </w:t>
      </w:r>
      <w:proofErr w:type="spellStart"/>
      <w:r w:rsidRPr="00C73BCF">
        <w:rPr>
          <w:rFonts w:ascii="Verdana" w:hAnsi="Verdana"/>
          <w:i/>
          <w:spacing w:val="-2"/>
          <w:sz w:val="16"/>
          <w:szCs w:val="16"/>
          <w:lang w:val="es-ES"/>
        </w:rPr>
        <w:t>Gudiel</w:t>
      </w:r>
      <w:proofErr w:type="spellEnd"/>
      <w:r w:rsidRPr="00C73BCF">
        <w:rPr>
          <w:rFonts w:ascii="Verdana" w:hAnsi="Verdana"/>
          <w:i/>
          <w:spacing w:val="-2"/>
          <w:sz w:val="16"/>
          <w:szCs w:val="16"/>
          <w:lang w:val="es-ES"/>
        </w:rPr>
        <w:t xml:space="preserve"> Álvarez y otros ("Diario Militar") Vs. Guatemala. Interpretación de la Sentencia de Fondo, Reparaciones y Costas</w:t>
      </w:r>
      <w:r w:rsidRPr="00C73BCF">
        <w:rPr>
          <w:rFonts w:ascii="Verdana" w:hAnsi="Verdana"/>
          <w:spacing w:val="-2"/>
          <w:sz w:val="16"/>
          <w:szCs w:val="16"/>
          <w:lang w:val="es-ES"/>
        </w:rPr>
        <w:t xml:space="preserve">, </w:t>
      </w:r>
      <w:r w:rsidRPr="00C73BCF">
        <w:rPr>
          <w:rFonts w:ascii="Verdana" w:hAnsi="Verdana"/>
          <w:i/>
          <w:spacing w:val="-2"/>
          <w:sz w:val="16"/>
          <w:szCs w:val="16"/>
          <w:lang w:val="es-ES"/>
        </w:rPr>
        <w:t xml:space="preserve">supra </w:t>
      </w:r>
      <w:r w:rsidRPr="00C73BCF">
        <w:rPr>
          <w:rFonts w:ascii="Verdana" w:hAnsi="Verdana"/>
          <w:spacing w:val="-2"/>
          <w:sz w:val="16"/>
          <w:szCs w:val="16"/>
          <w:lang w:val="es-ES"/>
        </w:rPr>
        <w:t>nota 2</w:t>
      </w:r>
      <w:r w:rsidR="007D0042" w:rsidRPr="00C73BCF">
        <w:rPr>
          <w:rFonts w:ascii="Verdana" w:hAnsi="Verdana"/>
          <w:spacing w:val="-2"/>
          <w:sz w:val="16"/>
          <w:szCs w:val="16"/>
          <w:lang w:val="es-ES"/>
        </w:rPr>
        <w:t>4</w:t>
      </w:r>
      <w:r w:rsidRPr="00C73BCF">
        <w:rPr>
          <w:rFonts w:ascii="Verdana" w:hAnsi="Verdana"/>
          <w:spacing w:val="-2"/>
          <w:sz w:val="16"/>
          <w:szCs w:val="16"/>
          <w:lang w:val="es-ES"/>
        </w:rPr>
        <w:t>, párr. 47.</w:t>
      </w:r>
    </w:p>
  </w:footnote>
  <w:footnote w:id="30">
    <w:p w:rsidR="001107F5" w:rsidRPr="004014AF" w:rsidRDefault="001107F5" w:rsidP="004014AF">
      <w:pPr>
        <w:pStyle w:val="Textonotapie"/>
        <w:tabs>
          <w:tab w:val="left" w:pos="360"/>
          <w:tab w:val="left" w:pos="540"/>
        </w:tabs>
        <w:jc w:val="both"/>
        <w:rPr>
          <w:rFonts w:ascii="Verdana" w:hAnsi="Verdana"/>
          <w:sz w:val="16"/>
          <w:szCs w:val="16"/>
        </w:rPr>
      </w:pPr>
      <w:r w:rsidRPr="00C73BCF">
        <w:rPr>
          <w:rStyle w:val="Refdenotaalpie"/>
          <w:rFonts w:ascii="Verdana" w:hAnsi="Verdana"/>
          <w:sz w:val="16"/>
          <w:szCs w:val="16"/>
        </w:rPr>
        <w:footnoteRef/>
      </w:r>
      <w:r w:rsidRPr="00C73BCF">
        <w:rPr>
          <w:rFonts w:ascii="Verdana" w:hAnsi="Verdana"/>
          <w:sz w:val="16"/>
          <w:szCs w:val="16"/>
        </w:rPr>
        <w:t xml:space="preserve"> </w:t>
      </w:r>
      <w:r w:rsidRPr="00C73BCF">
        <w:rPr>
          <w:rFonts w:ascii="Verdana" w:hAnsi="Verdana"/>
          <w:sz w:val="16"/>
          <w:szCs w:val="16"/>
        </w:rPr>
        <w:tab/>
      </w:r>
      <w:r w:rsidR="00536036" w:rsidRPr="00C73BCF">
        <w:rPr>
          <w:rFonts w:ascii="Verdana" w:hAnsi="Verdana"/>
          <w:sz w:val="16"/>
          <w:szCs w:val="16"/>
        </w:rPr>
        <w:t>E</w:t>
      </w:r>
      <w:r w:rsidRPr="00C73BCF">
        <w:rPr>
          <w:rFonts w:ascii="Verdana" w:hAnsi="Verdana"/>
          <w:sz w:val="16"/>
          <w:szCs w:val="16"/>
        </w:rPr>
        <w:t xml:space="preserve">l Estado señaló que las víctimas Rosa Milena Cárdenas León y </w:t>
      </w:r>
      <w:proofErr w:type="spellStart"/>
      <w:r w:rsidRPr="00C73BCF">
        <w:rPr>
          <w:rFonts w:ascii="Verdana" w:hAnsi="Verdana"/>
          <w:sz w:val="16"/>
          <w:szCs w:val="16"/>
        </w:rPr>
        <w:t>Edinson</w:t>
      </w:r>
      <w:proofErr w:type="spellEnd"/>
      <w:r w:rsidRPr="00C73BCF">
        <w:rPr>
          <w:rFonts w:ascii="Verdana" w:hAnsi="Verdana"/>
          <w:sz w:val="16"/>
          <w:szCs w:val="16"/>
        </w:rPr>
        <w:t xml:space="preserve"> Esteban Cárdenas León, acreditados en la Sentencia como hermanos de la víctima de desaparición forzada Luz Mary </w:t>
      </w:r>
      <w:proofErr w:type="spellStart"/>
      <w:r w:rsidRPr="00C73BCF">
        <w:rPr>
          <w:rFonts w:ascii="Verdana" w:hAnsi="Verdana"/>
          <w:sz w:val="16"/>
          <w:szCs w:val="16"/>
        </w:rPr>
        <w:t>Portela</w:t>
      </w:r>
      <w:proofErr w:type="spellEnd"/>
      <w:r w:rsidRPr="00C73BCF">
        <w:rPr>
          <w:rFonts w:ascii="Verdana" w:hAnsi="Verdana"/>
          <w:sz w:val="16"/>
          <w:szCs w:val="16"/>
        </w:rPr>
        <w:t xml:space="preserve"> León, “</w:t>
      </w:r>
      <w:proofErr w:type="gramStart"/>
      <w:r w:rsidRPr="00C73BCF">
        <w:rPr>
          <w:rFonts w:ascii="Verdana" w:hAnsi="Verdana"/>
          <w:sz w:val="16"/>
          <w:szCs w:val="16"/>
        </w:rPr>
        <w:t>afirma[</w:t>
      </w:r>
      <w:proofErr w:type="gramEnd"/>
      <w:r w:rsidRPr="00C73BCF">
        <w:rPr>
          <w:rFonts w:ascii="Verdana" w:hAnsi="Verdana"/>
          <w:sz w:val="16"/>
          <w:szCs w:val="16"/>
        </w:rPr>
        <w:t xml:space="preserve">ron] que […] tienen la calidad de [hijos], pero sin acreditar tal calidad conforme a las normas legales internas, es decir, con un registro civil de nacimiento con la respectiva anotación”. </w:t>
      </w:r>
      <w:r w:rsidRPr="00C73BCF">
        <w:rPr>
          <w:rFonts w:ascii="Verdana" w:hAnsi="Verdana"/>
          <w:color w:val="000000"/>
          <w:sz w:val="16"/>
          <w:szCs w:val="16"/>
        </w:rPr>
        <w:t xml:space="preserve">Los referidos </w:t>
      </w:r>
      <w:r w:rsidR="009C5ABD" w:rsidRPr="00C73BCF">
        <w:rPr>
          <w:rFonts w:ascii="Verdana" w:hAnsi="Verdana"/>
          <w:color w:val="000000"/>
          <w:sz w:val="16"/>
          <w:szCs w:val="16"/>
        </w:rPr>
        <w:t xml:space="preserve">señor y señora </w:t>
      </w:r>
      <w:r w:rsidRPr="00C73BCF">
        <w:rPr>
          <w:rFonts w:ascii="Verdana" w:hAnsi="Verdana"/>
          <w:color w:val="000000"/>
          <w:sz w:val="16"/>
          <w:szCs w:val="16"/>
        </w:rPr>
        <w:t xml:space="preserve">Cárdenas León fueron acreditados ante esta Corte como hermana y hermano de la víctima Luz Mary Portela León desde el sometimiento del caso ante el Tribunal por la Comisión Interamericana, así como en el escrito de solicitudes, argumentos y pruebas presentado por los representantes de las víctimas durante la etapa de fondo. Al respecto, la Corte </w:t>
      </w:r>
      <w:r w:rsidRPr="00C73BCF">
        <w:rPr>
          <w:rFonts w:ascii="Verdana" w:hAnsi="Verdana"/>
          <w:sz w:val="16"/>
          <w:szCs w:val="16"/>
        </w:rPr>
        <w:t xml:space="preserve">recibió diversos documentos presentados como prueba por la Comisión y las partes, adjuntos a sus escritos principales, entre los cuales se encuentran declaraciones rendidas ante fedatario público (afidávit) por la señora y señor Cárdenas León. </w:t>
      </w:r>
      <w:r w:rsidRPr="00C73BCF">
        <w:rPr>
          <w:rFonts w:ascii="Verdana" w:hAnsi="Verdana"/>
          <w:i/>
          <w:color w:val="000000"/>
          <w:sz w:val="16"/>
          <w:szCs w:val="16"/>
        </w:rPr>
        <w:t xml:space="preserve">Cfr. </w:t>
      </w:r>
      <w:r w:rsidRPr="00C73BCF">
        <w:rPr>
          <w:rFonts w:ascii="Verdana" w:hAnsi="Verdana"/>
          <w:color w:val="000000"/>
          <w:sz w:val="16"/>
          <w:szCs w:val="16"/>
        </w:rPr>
        <w:t xml:space="preserve">Informe estatal de 12 de enero de 2017 y </w:t>
      </w:r>
      <w:r w:rsidRPr="00C73BCF">
        <w:rPr>
          <w:rFonts w:ascii="Verdana" w:hAnsi="Verdana"/>
          <w:i/>
          <w:color w:val="000000"/>
          <w:sz w:val="16"/>
          <w:szCs w:val="16"/>
        </w:rPr>
        <w:t xml:space="preserve">Caso Rodríguez Vera y otros (Desaparecidos del Palacio de Justicia) Vs. Colombia, supra </w:t>
      </w:r>
      <w:r w:rsidRPr="00C73BCF">
        <w:rPr>
          <w:rFonts w:ascii="Verdana" w:hAnsi="Verdana"/>
          <w:color w:val="000000"/>
          <w:sz w:val="16"/>
          <w:szCs w:val="16"/>
        </w:rPr>
        <w:t>nota 1, párrs. 55 y 539.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F5" w:rsidRDefault="001107F5" w:rsidP="00A27C16">
    <w:pPr>
      <w:pStyle w:val="Encabezado"/>
      <w:jc w:val="center"/>
      <w:rPr>
        <w:rFonts w:ascii="Verdana" w:hAnsi="Verdana"/>
        <w:sz w:val="16"/>
        <w:szCs w:val="16"/>
      </w:rPr>
    </w:pPr>
    <w:r w:rsidRPr="00671120">
      <w:rPr>
        <w:rFonts w:ascii="Verdana" w:hAnsi="Verdana"/>
        <w:sz w:val="20"/>
        <w:szCs w:val="20"/>
      </w:rPr>
      <w:t>-</w:t>
    </w:r>
    <w:r w:rsidRPr="00671120">
      <w:rPr>
        <w:rFonts w:ascii="Verdana" w:hAnsi="Verdana"/>
        <w:sz w:val="20"/>
        <w:szCs w:val="20"/>
      </w:rPr>
      <w:fldChar w:fldCharType="begin"/>
    </w:r>
    <w:r w:rsidRPr="00671120">
      <w:rPr>
        <w:rFonts w:ascii="Verdana" w:hAnsi="Verdana"/>
        <w:sz w:val="20"/>
        <w:szCs w:val="20"/>
      </w:rPr>
      <w:instrText>PAGE   \* MERGEFORMAT</w:instrText>
    </w:r>
    <w:r w:rsidRPr="00671120">
      <w:rPr>
        <w:rFonts w:ascii="Verdana" w:hAnsi="Verdana"/>
        <w:sz w:val="20"/>
        <w:szCs w:val="20"/>
      </w:rPr>
      <w:fldChar w:fldCharType="separate"/>
    </w:r>
    <w:r w:rsidR="00675120" w:rsidRPr="00675120">
      <w:rPr>
        <w:rFonts w:ascii="Verdana" w:hAnsi="Verdana"/>
        <w:noProof/>
        <w:sz w:val="20"/>
        <w:szCs w:val="20"/>
        <w:lang w:val="es-ES"/>
      </w:rPr>
      <w:t>13</w:t>
    </w:r>
    <w:r w:rsidRPr="00671120">
      <w:rPr>
        <w:rFonts w:ascii="Verdana" w:hAnsi="Verdana"/>
        <w:sz w:val="20"/>
        <w:szCs w:val="20"/>
      </w:rPr>
      <w:fldChar w:fldCharType="end"/>
    </w:r>
    <w:r w:rsidRPr="00671120">
      <w:rPr>
        <w:rFonts w:ascii="Verdana" w:hAnsi="Verdana"/>
        <w:sz w:val="20"/>
        <w:szCs w:val="20"/>
      </w:rPr>
      <w:t>-</w:t>
    </w:r>
  </w:p>
  <w:p w:rsidR="001107F5" w:rsidRPr="0002220E" w:rsidRDefault="001107F5" w:rsidP="0002220E">
    <w:pPr>
      <w:pStyle w:val="Encabezado"/>
      <w:jc w:val="center"/>
      <w:rPr>
        <w:rFonts w:ascii="Verdana" w:hAnsi="Verdana"/>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107F5" w:rsidRPr="002528F7" w:rsidRDefault="001107F5" w:rsidP="002528F7">
    <w:pPr>
      <w:pStyle w:val="Encabezado"/>
      <w:jc w:val="right"/>
      <w:rPr>
        <w: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A683C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0EB3D0F"/>
    <w:multiLevelType w:val="hybridMultilevel"/>
    <w:tmpl w:val="F8E89ED4"/>
    <w:lvl w:ilvl="0" w:tplc="A46A1864">
      <w:start w:val="1"/>
      <w:numFmt w:val="lowerRoman"/>
      <w:lvlText w:val="%1)"/>
      <w:lvlJc w:val="left"/>
      <w:pPr>
        <w:ind w:left="1660" w:hanging="94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6B078C3"/>
    <w:multiLevelType w:val="hybridMultilevel"/>
    <w:tmpl w:val="71C2AC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DF7213B"/>
    <w:multiLevelType w:val="hybridMultilevel"/>
    <w:tmpl w:val="1416D9C6"/>
    <w:lvl w:ilvl="0" w:tplc="140A0017">
      <w:start w:val="1"/>
      <w:numFmt w:val="lowerLetter"/>
      <w:lvlText w:val="%1)"/>
      <w:lvlJc w:val="left"/>
      <w:pPr>
        <w:ind w:left="720" w:hanging="360"/>
      </w:pPr>
      <w:rPr>
        <w:rFonts w:hint="default"/>
        <w:b w:val="0"/>
        <w:i w:val="0"/>
        <w:sz w:val="20"/>
        <w:szCs w:val="20"/>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4">
    <w:nsid w:val="38BD634E"/>
    <w:multiLevelType w:val="hybridMultilevel"/>
    <w:tmpl w:val="F47E4894"/>
    <w:lvl w:ilvl="0" w:tplc="D7706D3A">
      <w:start w:val="14"/>
      <w:numFmt w:val="decimal"/>
      <w:lvlText w:val="%1."/>
      <w:lvlJc w:val="left"/>
      <w:pPr>
        <w:ind w:left="72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
    <w:nsid w:val="39B80D4E"/>
    <w:multiLevelType w:val="hybridMultilevel"/>
    <w:tmpl w:val="2B6ADA50"/>
    <w:lvl w:ilvl="0" w:tplc="140A0019">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6">
    <w:nsid w:val="3E6D13EA"/>
    <w:multiLevelType w:val="hybridMultilevel"/>
    <w:tmpl w:val="9C7264F4"/>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3EB5698D"/>
    <w:multiLevelType w:val="hybridMultilevel"/>
    <w:tmpl w:val="165C404A"/>
    <w:lvl w:ilvl="0" w:tplc="63CA9C7A">
      <w:start w:val="1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nsid w:val="466A01FE"/>
    <w:multiLevelType w:val="hybridMultilevel"/>
    <w:tmpl w:val="E612BC52"/>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
    <w:nsid w:val="4881486C"/>
    <w:multiLevelType w:val="hybridMultilevel"/>
    <w:tmpl w:val="2272BF12"/>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0">
    <w:nsid w:val="48D3166A"/>
    <w:multiLevelType w:val="hybridMultilevel"/>
    <w:tmpl w:val="BD6C938A"/>
    <w:lvl w:ilvl="0" w:tplc="140A0011">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nsid w:val="4BBE0E90"/>
    <w:multiLevelType w:val="hybridMultilevel"/>
    <w:tmpl w:val="68A4D502"/>
    <w:lvl w:ilvl="0" w:tplc="838AAB90">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nsid w:val="4DEC2351"/>
    <w:multiLevelType w:val="hybridMultilevel"/>
    <w:tmpl w:val="B91AAFC4"/>
    <w:lvl w:ilvl="0" w:tplc="4D68EACA">
      <w:start w:val="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nsid w:val="51DC2B1A"/>
    <w:multiLevelType w:val="hybridMultilevel"/>
    <w:tmpl w:val="90324350"/>
    <w:lvl w:ilvl="0" w:tplc="140A0017">
      <w:start w:val="1"/>
      <w:numFmt w:val="lowerLetter"/>
      <w:lvlText w:val="%1)"/>
      <w:lvlJc w:val="left"/>
      <w:pPr>
        <w:ind w:left="1080" w:hanging="360"/>
      </w:pPr>
    </w:lvl>
    <w:lvl w:ilvl="1" w:tplc="140A0019">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4">
    <w:nsid w:val="56857562"/>
    <w:multiLevelType w:val="hybridMultilevel"/>
    <w:tmpl w:val="65284814"/>
    <w:lvl w:ilvl="0" w:tplc="8BFE3276">
      <w:start w:val="1"/>
      <w:numFmt w:val="decimal"/>
      <w:lvlText w:val="%1."/>
      <w:lvlJc w:val="left"/>
      <w:pPr>
        <w:ind w:left="720" w:hanging="360"/>
      </w:pPr>
      <w:rPr>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nsid w:val="571A3B13"/>
    <w:multiLevelType w:val="hybridMultilevel"/>
    <w:tmpl w:val="0E7AC340"/>
    <w:lvl w:ilvl="0" w:tplc="140A0019">
      <w:start w:val="1"/>
      <w:numFmt w:val="lowerLetter"/>
      <w:lvlText w:val="%1."/>
      <w:lvlJc w:val="left"/>
      <w:pPr>
        <w:ind w:left="1260" w:hanging="360"/>
      </w:pPr>
    </w:lvl>
    <w:lvl w:ilvl="1" w:tplc="140A001B">
      <w:start w:val="1"/>
      <w:numFmt w:val="lowerRoman"/>
      <w:lvlText w:val="%2."/>
      <w:lvlJc w:val="right"/>
      <w:pPr>
        <w:ind w:left="1980" w:hanging="360"/>
      </w:pPr>
    </w:lvl>
    <w:lvl w:ilvl="2" w:tplc="140A001B" w:tentative="1">
      <w:start w:val="1"/>
      <w:numFmt w:val="lowerRoman"/>
      <w:lvlText w:val="%3."/>
      <w:lvlJc w:val="right"/>
      <w:pPr>
        <w:ind w:left="2700" w:hanging="180"/>
      </w:pPr>
    </w:lvl>
    <w:lvl w:ilvl="3" w:tplc="140A000F" w:tentative="1">
      <w:start w:val="1"/>
      <w:numFmt w:val="decimal"/>
      <w:lvlText w:val="%4."/>
      <w:lvlJc w:val="left"/>
      <w:pPr>
        <w:ind w:left="3420" w:hanging="360"/>
      </w:pPr>
    </w:lvl>
    <w:lvl w:ilvl="4" w:tplc="140A0019" w:tentative="1">
      <w:start w:val="1"/>
      <w:numFmt w:val="lowerLetter"/>
      <w:lvlText w:val="%5."/>
      <w:lvlJc w:val="left"/>
      <w:pPr>
        <w:ind w:left="4140" w:hanging="360"/>
      </w:pPr>
    </w:lvl>
    <w:lvl w:ilvl="5" w:tplc="140A001B" w:tentative="1">
      <w:start w:val="1"/>
      <w:numFmt w:val="lowerRoman"/>
      <w:lvlText w:val="%6."/>
      <w:lvlJc w:val="right"/>
      <w:pPr>
        <w:ind w:left="4860" w:hanging="180"/>
      </w:pPr>
    </w:lvl>
    <w:lvl w:ilvl="6" w:tplc="140A000F" w:tentative="1">
      <w:start w:val="1"/>
      <w:numFmt w:val="decimal"/>
      <w:lvlText w:val="%7."/>
      <w:lvlJc w:val="left"/>
      <w:pPr>
        <w:ind w:left="5580" w:hanging="360"/>
      </w:pPr>
    </w:lvl>
    <w:lvl w:ilvl="7" w:tplc="140A0019" w:tentative="1">
      <w:start w:val="1"/>
      <w:numFmt w:val="lowerLetter"/>
      <w:lvlText w:val="%8."/>
      <w:lvlJc w:val="left"/>
      <w:pPr>
        <w:ind w:left="6300" w:hanging="360"/>
      </w:pPr>
    </w:lvl>
    <w:lvl w:ilvl="8" w:tplc="140A001B" w:tentative="1">
      <w:start w:val="1"/>
      <w:numFmt w:val="lowerRoman"/>
      <w:lvlText w:val="%9."/>
      <w:lvlJc w:val="right"/>
      <w:pPr>
        <w:ind w:left="7020" w:hanging="180"/>
      </w:pPr>
    </w:lvl>
  </w:abstractNum>
  <w:abstractNum w:abstractNumId="16">
    <w:nsid w:val="63B023B6"/>
    <w:multiLevelType w:val="hybridMultilevel"/>
    <w:tmpl w:val="B91AAFC4"/>
    <w:lvl w:ilvl="0" w:tplc="4D68EACA">
      <w:start w:val="5"/>
      <w:numFmt w:val="decimal"/>
      <w:lvlText w:val="%1."/>
      <w:lvlJc w:val="left"/>
      <w:pPr>
        <w:ind w:left="360" w:hanging="360"/>
      </w:pPr>
      <w:rPr>
        <w:rFonts w:hint="default"/>
        <w:b w:val="0"/>
        <w:i w:val="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2"/>
  </w:num>
  <w:num w:numId="2">
    <w:abstractNumId w:val="14"/>
  </w:num>
  <w:num w:numId="3">
    <w:abstractNumId w:val="11"/>
  </w:num>
  <w:num w:numId="4">
    <w:abstractNumId w:val="16"/>
  </w:num>
  <w:num w:numId="5">
    <w:abstractNumId w:val="3"/>
  </w:num>
  <w:num w:numId="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0"/>
  </w:num>
  <w:num w:numId="9">
    <w:abstractNumId w:val="0"/>
  </w:num>
  <w:num w:numId="10">
    <w:abstractNumId w:val="1"/>
  </w:num>
  <w:num w:numId="11">
    <w:abstractNumId w:val="12"/>
  </w:num>
  <w:num w:numId="12">
    <w:abstractNumId w:val="7"/>
  </w:num>
  <w:num w:numId="13">
    <w:abstractNumId w:val="4"/>
  </w:num>
  <w:num w:numId="14">
    <w:abstractNumId w:val="8"/>
  </w:num>
  <w:num w:numId="15">
    <w:abstractNumId w:val="5"/>
  </w:num>
  <w:num w:numId="16">
    <w:abstractNumId w:val="13"/>
  </w:num>
  <w:num w:numId="17">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hyphenationZone w:val="425"/>
  <w:characterSpacingControl w:val="doNotCompress"/>
  <w:hdrShapeDefaults>
    <o:shapedefaults v:ext="edit" spidmax="2049"/>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93D4F"/>
    <w:rsid w:val="0000617D"/>
    <w:rsid w:val="00006DB9"/>
    <w:rsid w:val="00007747"/>
    <w:rsid w:val="00007936"/>
    <w:rsid w:val="000121CA"/>
    <w:rsid w:val="000121ED"/>
    <w:rsid w:val="000142A3"/>
    <w:rsid w:val="00014366"/>
    <w:rsid w:val="00014DF4"/>
    <w:rsid w:val="000159FF"/>
    <w:rsid w:val="00015F8F"/>
    <w:rsid w:val="000162F9"/>
    <w:rsid w:val="000167C4"/>
    <w:rsid w:val="00017391"/>
    <w:rsid w:val="00017E73"/>
    <w:rsid w:val="0002220E"/>
    <w:rsid w:val="00022486"/>
    <w:rsid w:val="000240AA"/>
    <w:rsid w:val="00024A8B"/>
    <w:rsid w:val="00024D27"/>
    <w:rsid w:val="000264F8"/>
    <w:rsid w:val="00027B3D"/>
    <w:rsid w:val="00032A4E"/>
    <w:rsid w:val="000368A4"/>
    <w:rsid w:val="00036946"/>
    <w:rsid w:val="00037483"/>
    <w:rsid w:val="00040684"/>
    <w:rsid w:val="00043B6F"/>
    <w:rsid w:val="000444EB"/>
    <w:rsid w:val="0004536F"/>
    <w:rsid w:val="000457D4"/>
    <w:rsid w:val="00046F7E"/>
    <w:rsid w:val="00047288"/>
    <w:rsid w:val="000477CE"/>
    <w:rsid w:val="000534CE"/>
    <w:rsid w:val="000554B1"/>
    <w:rsid w:val="00055FA5"/>
    <w:rsid w:val="0006062A"/>
    <w:rsid w:val="0006095B"/>
    <w:rsid w:val="00060D08"/>
    <w:rsid w:val="00061517"/>
    <w:rsid w:val="00061708"/>
    <w:rsid w:val="00062679"/>
    <w:rsid w:val="00062C87"/>
    <w:rsid w:val="00064638"/>
    <w:rsid w:val="00064748"/>
    <w:rsid w:val="00065B58"/>
    <w:rsid w:val="0006620E"/>
    <w:rsid w:val="00067391"/>
    <w:rsid w:val="00067AC7"/>
    <w:rsid w:val="00067FB2"/>
    <w:rsid w:val="00072210"/>
    <w:rsid w:val="000734F1"/>
    <w:rsid w:val="00076512"/>
    <w:rsid w:val="00076CEC"/>
    <w:rsid w:val="00077139"/>
    <w:rsid w:val="0008580F"/>
    <w:rsid w:val="00087BD9"/>
    <w:rsid w:val="0009166C"/>
    <w:rsid w:val="00092C50"/>
    <w:rsid w:val="00094026"/>
    <w:rsid w:val="000968F9"/>
    <w:rsid w:val="00096CE4"/>
    <w:rsid w:val="00097083"/>
    <w:rsid w:val="000A2B57"/>
    <w:rsid w:val="000A552E"/>
    <w:rsid w:val="000A6C08"/>
    <w:rsid w:val="000B01FF"/>
    <w:rsid w:val="000B1C6A"/>
    <w:rsid w:val="000B2062"/>
    <w:rsid w:val="000C042D"/>
    <w:rsid w:val="000C1883"/>
    <w:rsid w:val="000C248E"/>
    <w:rsid w:val="000C3D26"/>
    <w:rsid w:val="000C43A4"/>
    <w:rsid w:val="000C57FB"/>
    <w:rsid w:val="000C609F"/>
    <w:rsid w:val="000D0B3B"/>
    <w:rsid w:val="000D1136"/>
    <w:rsid w:val="000D21D6"/>
    <w:rsid w:val="000D23E2"/>
    <w:rsid w:val="000D2F5C"/>
    <w:rsid w:val="000D44DD"/>
    <w:rsid w:val="000D5673"/>
    <w:rsid w:val="000D5FAC"/>
    <w:rsid w:val="000D7448"/>
    <w:rsid w:val="000E1063"/>
    <w:rsid w:val="000E3BEE"/>
    <w:rsid w:val="000E50D8"/>
    <w:rsid w:val="000E64A5"/>
    <w:rsid w:val="000E71A9"/>
    <w:rsid w:val="000E7572"/>
    <w:rsid w:val="000E7B02"/>
    <w:rsid w:val="000F0C43"/>
    <w:rsid w:val="000F1CF4"/>
    <w:rsid w:val="000F29C9"/>
    <w:rsid w:val="000F3F89"/>
    <w:rsid w:val="00102481"/>
    <w:rsid w:val="001027B6"/>
    <w:rsid w:val="001038C5"/>
    <w:rsid w:val="00104788"/>
    <w:rsid w:val="001058C0"/>
    <w:rsid w:val="00105E2B"/>
    <w:rsid w:val="00105F39"/>
    <w:rsid w:val="001063F6"/>
    <w:rsid w:val="00106618"/>
    <w:rsid w:val="00106CFE"/>
    <w:rsid w:val="001107F5"/>
    <w:rsid w:val="00110C17"/>
    <w:rsid w:val="001141EE"/>
    <w:rsid w:val="00114270"/>
    <w:rsid w:val="001147A5"/>
    <w:rsid w:val="00117E4A"/>
    <w:rsid w:val="001205CA"/>
    <w:rsid w:val="00120C2D"/>
    <w:rsid w:val="00120DE5"/>
    <w:rsid w:val="00121288"/>
    <w:rsid w:val="001235EA"/>
    <w:rsid w:val="00125F1D"/>
    <w:rsid w:val="001310B4"/>
    <w:rsid w:val="00132974"/>
    <w:rsid w:val="00132F50"/>
    <w:rsid w:val="00136053"/>
    <w:rsid w:val="00136725"/>
    <w:rsid w:val="00141C87"/>
    <w:rsid w:val="00145EA9"/>
    <w:rsid w:val="00150C79"/>
    <w:rsid w:val="001510FF"/>
    <w:rsid w:val="00153946"/>
    <w:rsid w:val="001540F7"/>
    <w:rsid w:val="00154BDE"/>
    <w:rsid w:val="00154CCB"/>
    <w:rsid w:val="00156E17"/>
    <w:rsid w:val="00157974"/>
    <w:rsid w:val="00160226"/>
    <w:rsid w:val="0016027A"/>
    <w:rsid w:val="001608C6"/>
    <w:rsid w:val="0016129F"/>
    <w:rsid w:val="001633AC"/>
    <w:rsid w:val="00163C46"/>
    <w:rsid w:val="001645D8"/>
    <w:rsid w:val="00164C34"/>
    <w:rsid w:val="00170D34"/>
    <w:rsid w:val="00171A43"/>
    <w:rsid w:val="0017567D"/>
    <w:rsid w:val="001759FF"/>
    <w:rsid w:val="0018643A"/>
    <w:rsid w:val="001916B5"/>
    <w:rsid w:val="00191815"/>
    <w:rsid w:val="00193CD3"/>
    <w:rsid w:val="001978EC"/>
    <w:rsid w:val="00197F8D"/>
    <w:rsid w:val="001A0FCF"/>
    <w:rsid w:val="001A23A8"/>
    <w:rsid w:val="001A2531"/>
    <w:rsid w:val="001A3510"/>
    <w:rsid w:val="001A526E"/>
    <w:rsid w:val="001A60F0"/>
    <w:rsid w:val="001A6685"/>
    <w:rsid w:val="001A6C4C"/>
    <w:rsid w:val="001B0651"/>
    <w:rsid w:val="001B0BB6"/>
    <w:rsid w:val="001B3B19"/>
    <w:rsid w:val="001B501F"/>
    <w:rsid w:val="001B5547"/>
    <w:rsid w:val="001B62B1"/>
    <w:rsid w:val="001B71F2"/>
    <w:rsid w:val="001C048B"/>
    <w:rsid w:val="001C0DED"/>
    <w:rsid w:val="001C1227"/>
    <w:rsid w:val="001C1572"/>
    <w:rsid w:val="001C1842"/>
    <w:rsid w:val="001C25A0"/>
    <w:rsid w:val="001C3AB5"/>
    <w:rsid w:val="001C4029"/>
    <w:rsid w:val="001C483E"/>
    <w:rsid w:val="001C5DF0"/>
    <w:rsid w:val="001C5E0F"/>
    <w:rsid w:val="001C6F5F"/>
    <w:rsid w:val="001C70A4"/>
    <w:rsid w:val="001C71BB"/>
    <w:rsid w:val="001D12D6"/>
    <w:rsid w:val="001D2537"/>
    <w:rsid w:val="001D4423"/>
    <w:rsid w:val="001D4BB1"/>
    <w:rsid w:val="001D4F99"/>
    <w:rsid w:val="001D6A7A"/>
    <w:rsid w:val="001D7F3F"/>
    <w:rsid w:val="001E1361"/>
    <w:rsid w:val="001E19A3"/>
    <w:rsid w:val="001E1E53"/>
    <w:rsid w:val="001E23A6"/>
    <w:rsid w:val="001E2A32"/>
    <w:rsid w:val="001E2A4B"/>
    <w:rsid w:val="001E4140"/>
    <w:rsid w:val="001E4180"/>
    <w:rsid w:val="001E43A2"/>
    <w:rsid w:val="001E515A"/>
    <w:rsid w:val="001E557C"/>
    <w:rsid w:val="001E64A7"/>
    <w:rsid w:val="001F019B"/>
    <w:rsid w:val="001F3FF0"/>
    <w:rsid w:val="001F42E4"/>
    <w:rsid w:val="001F62D3"/>
    <w:rsid w:val="001F6594"/>
    <w:rsid w:val="0020039A"/>
    <w:rsid w:val="002012C1"/>
    <w:rsid w:val="00201781"/>
    <w:rsid w:val="00201CA9"/>
    <w:rsid w:val="002025A0"/>
    <w:rsid w:val="00202E30"/>
    <w:rsid w:val="002059E6"/>
    <w:rsid w:val="002060FD"/>
    <w:rsid w:val="00206845"/>
    <w:rsid w:val="002174A2"/>
    <w:rsid w:val="002238E8"/>
    <w:rsid w:val="0022564C"/>
    <w:rsid w:val="0023290D"/>
    <w:rsid w:val="0023336E"/>
    <w:rsid w:val="002359DD"/>
    <w:rsid w:val="00235FA5"/>
    <w:rsid w:val="00236C4D"/>
    <w:rsid w:val="002373A9"/>
    <w:rsid w:val="0024012F"/>
    <w:rsid w:val="002439D0"/>
    <w:rsid w:val="00243B67"/>
    <w:rsid w:val="00244281"/>
    <w:rsid w:val="002446E6"/>
    <w:rsid w:val="00246221"/>
    <w:rsid w:val="00246B5E"/>
    <w:rsid w:val="00246F5C"/>
    <w:rsid w:val="00247683"/>
    <w:rsid w:val="00247B4B"/>
    <w:rsid w:val="0025143F"/>
    <w:rsid w:val="00251DB6"/>
    <w:rsid w:val="002528F7"/>
    <w:rsid w:val="00253240"/>
    <w:rsid w:val="00255B9F"/>
    <w:rsid w:val="002567F6"/>
    <w:rsid w:val="002611C1"/>
    <w:rsid w:val="00263EBD"/>
    <w:rsid w:val="0026403E"/>
    <w:rsid w:val="00264887"/>
    <w:rsid w:val="00265EBD"/>
    <w:rsid w:val="00267DF3"/>
    <w:rsid w:val="00267EC7"/>
    <w:rsid w:val="00271DC5"/>
    <w:rsid w:val="0027332B"/>
    <w:rsid w:val="002733A0"/>
    <w:rsid w:val="00274B6B"/>
    <w:rsid w:val="002751B7"/>
    <w:rsid w:val="002751E3"/>
    <w:rsid w:val="002754EE"/>
    <w:rsid w:val="00275FC0"/>
    <w:rsid w:val="00276A9C"/>
    <w:rsid w:val="00277370"/>
    <w:rsid w:val="002776A8"/>
    <w:rsid w:val="0028181B"/>
    <w:rsid w:val="00282B6A"/>
    <w:rsid w:val="002835BA"/>
    <w:rsid w:val="00284238"/>
    <w:rsid w:val="00285FBE"/>
    <w:rsid w:val="00290176"/>
    <w:rsid w:val="00290A96"/>
    <w:rsid w:val="002911F3"/>
    <w:rsid w:val="0029159F"/>
    <w:rsid w:val="00292B56"/>
    <w:rsid w:val="00294880"/>
    <w:rsid w:val="00296F38"/>
    <w:rsid w:val="002A269F"/>
    <w:rsid w:val="002A4405"/>
    <w:rsid w:val="002A4433"/>
    <w:rsid w:val="002A5DF6"/>
    <w:rsid w:val="002A727E"/>
    <w:rsid w:val="002B3649"/>
    <w:rsid w:val="002B44A6"/>
    <w:rsid w:val="002B4690"/>
    <w:rsid w:val="002B5A29"/>
    <w:rsid w:val="002B604E"/>
    <w:rsid w:val="002B625E"/>
    <w:rsid w:val="002B6E33"/>
    <w:rsid w:val="002C2E7C"/>
    <w:rsid w:val="002C33E5"/>
    <w:rsid w:val="002C37DC"/>
    <w:rsid w:val="002C4DD9"/>
    <w:rsid w:val="002C5F2D"/>
    <w:rsid w:val="002D018B"/>
    <w:rsid w:val="002D68CA"/>
    <w:rsid w:val="002D728B"/>
    <w:rsid w:val="002D7C72"/>
    <w:rsid w:val="002D7CD3"/>
    <w:rsid w:val="002E1101"/>
    <w:rsid w:val="002E19D1"/>
    <w:rsid w:val="002E1EEC"/>
    <w:rsid w:val="002E2C70"/>
    <w:rsid w:val="002E305D"/>
    <w:rsid w:val="002E484D"/>
    <w:rsid w:val="002E6550"/>
    <w:rsid w:val="002F006C"/>
    <w:rsid w:val="002F203B"/>
    <w:rsid w:val="002F472B"/>
    <w:rsid w:val="002F50F0"/>
    <w:rsid w:val="002F7FBF"/>
    <w:rsid w:val="00300D02"/>
    <w:rsid w:val="00301C50"/>
    <w:rsid w:val="00302DAA"/>
    <w:rsid w:val="0030486D"/>
    <w:rsid w:val="003055B9"/>
    <w:rsid w:val="00306011"/>
    <w:rsid w:val="00310C4C"/>
    <w:rsid w:val="003110B7"/>
    <w:rsid w:val="003131B7"/>
    <w:rsid w:val="003139CB"/>
    <w:rsid w:val="00314A94"/>
    <w:rsid w:val="0031508F"/>
    <w:rsid w:val="003151C8"/>
    <w:rsid w:val="00316149"/>
    <w:rsid w:val="0031749C"/>
    <w:rsid w:val="00317822"/>
    <w:rsid w:val="00317DB3"/>
    <w:rsid w:val="0032029F"/>
    <w:rsid w:val="003202D8"/>
    <w:rsid w:val="00322612"/>
    <w:rsid w:val="00323595"/>
    <w:rsid w:val="003236E7"/>
    <w:rsid w:val="00324D4F"/>
    <w:rsid w:val="0032570B"/>
    <w:rsid w:val="00327D3A"/>
    <w:rsid w:val="00327E23"/>
    <w:rsid w:val="003307E9"/>
    <w:rsid w:val="003320E3"/>
    <w:rsid w:val="00333AED"/>
    <w:rsid w:val="00334B4D"/>
    <w:rsid w:val="00334EF7"/>
    <w:rsid w:val="00337FAA"/>
    <w:rsid w:val="00337FF8"/>
    <w:rsid w:val="00340688"/>
    <w:rsid w:val="00340A3A"/>
    <w:rsid w:val="00342BD7"/>
    <w:rsid w:val="00342CE4"/>
    <w:rsid w:val="00343FC2"/>
    <w:rsid w:val="003453C7"/>
    <w:rsid w:val="003453F7"/>
    <w:rsid w:val="00346C14"/>
    <w:rsid w:val="00346D31"/>
    <w:rsid w:val="0034725D"/>
    <w:rsid w:val="00353560"/>
    <w:rsid w:val="00353B1C"/>
    <w:rsid w:val="00353B9F"/>
    <w:rsid w:val="003563C4"/>
    <w:rsid w:val="00357F47"/>
    <w:rsid w:val="003608C8"/>
    <w:rsid w:val="00361AB6"/>
    <w:rsid w:val="003624CA"/>
    <w:rsid w:val="0036260B"/>
    <w:rsid w:val="003631F8"/>
    <w:rsid w:val="003661F4"/>
    <w:rsid w:val="00366D77"/>
    <w:rsid w:val="00366E18"/>
    <w:rsid w:val="0036774A"/>
    <w:rsid w:val="00367C99"/>
    <w:rsid w:val="00367E71"/>
    <w:rsid w:val="00372036"/>
    <w:rsid w:val="00372198"/>
    <w:rsid w:val="00373956"/>
    <w:rsid w:val="00374AB2"/>
    <w:rsid w:val="00375E7C"/>
    <w:rsid w:val="00380604"/>
    <w:rsid w:val="003817CE"/>
    <w:rsid w:val="0038196D"/>
    <w:rsid w:val="00382381"/>
    <w:rsid w:val="00383078"/>
    <w:rsid w:val="0038360F"/>
    <w:rsid w:val="003840A3"/>
    <w:rsid w:val="00384107"/>
    <w:rsid w:val="00384D60"/>
    <w:rsid w:val="00384F4E"/>
    <w:rsid w:val="00385396"/>
    <w:rsid w:val="0038562F"/>
    <w:rsid w:val="00386761"/>
    <w:rsid w:val="00386CD6"/>
    <w:rsid w:val="003878CA"/>
    <w:rsid w:val="00387B6A"/>
    <w:rsid w:val="00390D23"/>
    <w:rsid w:val="00390D8A"/>
    <w:rsid w:val="00392544"/>
    <w:rsid w:val="00392FA8"/>
    <w:rsid w:val="00393991"/>
    <w:rsid w:val="00394E14"/>
    <w:rsid w:val="003A023E"/>
    <w:rsid w:val="003A1711"/>
    <w:rsid w:val="003A1A64"/>
    <w:rsid w:val="003A3655"/>
    <w:rsid w:val="003A3C9E"/>
    <w:rsid w:val="003A5477"/>
    <w:rsid w:val="003A6FA1"/>
    <w:rsid w:val="003B4EBF"/>
    <w:rsid w:val="003B7166"/>
    <w:rsid w:val="003C11A2"/>
    <w:rsid w:val="003C1505"/>
    <w:rsid w:val="003C3C96"/>
    <w:rsid w:val="003D0369"/>
    <w:rsid w:val="003D2021"/>
    <w:rsid w:val="003D30E0"/>
    <w:rsid w:val="003D4B93"/>
    <w:rsid w:val="003D52CA"/>
    <w:rsid w:val="003D7AEE"/>
    <w:rsid w:val="003E00DA"/>
    <w:rsid w:val="003E423E"/>
    <w:rsid w:val="003E4608"/>
    <w:rsid w:val="003E4CF5"/>
    <w:rsid w:val="003E70D1"/>
    <w:rsid w:val="003F0D92"/>
    <w:rsid w:val="003F28E5"/>
    <w:rsid w:val="003F4891"/>
    <w:rsid w:val="003F5288"/>
    <w:rsid w:val="003F54CC"/>
    <w:rsid w:val="003F5F46"/>
    <w:rsid w:val="003F705A"/>
    <w:rsid w:val="00400170"/>
    <w:rsid w:val="00401021"/>
    <w:rsid w:val="004014AF"/>
    <w:rsid w:val="004031FF"/>
    <w:rsid w:val="004063E0"/>
    <w:rsid w:val="00407724"/>
    <w:rsid w:val="00407A34"/>
    <w:rsid w:val="004100B7"/>
    <w:rsid w:val="00410F20"/>
    <w:rsid w:val="00412ABE"/>
    <w:rsid w:val="00413629"/>
    <w:rsid w:val="0041703E"/>
    <w:rsid w:val="00417478"/>
    <w:rsid w:val="004203C4"/>
    <w:rsid w:val="00420754"/>
    <w:rsid w:val="00420D86"/>
    <w:rsid w:val="00422EFD"/>
    <w:rsid w:val="00424DB3"/>
    <w:rsid w:val="004267A7"/>
    <w:rsid w:val="00426E5B"/>
    <w:rsid w:val="00427378"/>
    <w:rsid w:val="0043062A"/>
    <w:rsid w:val="004322BB"/>
    <w:rsid w:val="00433A86"/>
    <w:rsid w:val="00433AB7"/>
    <w:rsid w:val="004372CF"/>
    <w:rsid w:val="00437A5D"/>
    <w:rsid w:val="00441DB4"/>
    <w:rsid w:val="00444BC9"/>
    <w:rsid w:val="00450D75"/>
    <w:rsid w:val="0045137B"/>
    <w:rsid w:val="004517B4"/>
    <w:rsid w:val="00452C6A"/>
    <w:rsid w:val="00453865"/>
    <w:rsid w:val="00454D3A"/>
    <w:rsid w:val="004562C1"/>
    <w:rsid w:val="00456387"/>
    <w:rsid w:val="00456633"/>
    <w:rsid w:val="0045756A"/>
    <w:rsid w:val="004633A4"/>
    <w:rsid w:val="00465C31"/>
    <w:rsid w:val="00467AED"/>
    <w:rsid w:val="004704D5"/>
    <w:rsid w:val="00471329"/>
    <w:rsid w:val="00471923"/>
    <w:rsid w:val="00471F4F"/>
    <w:rsid w:val="0047217D"/>
    <w:rsid w:val="0047228E"/>
    <w:rsid w:val="004736E9"/>
    <w:rsid w:val="00475416"/>
    <w:rsid w:val="004776A3"/>
    <w:rsid w:val="00477D52"/>
    <w:rsid w:val="00480B28"/>
    <w:rsid w:val="0048299E"/>
    <w:rsid w:val="00482E1D"/>
    <w:rsid w:val="00483AE9"/>
    <w:rsid w:val="00484BD0"/>
    <w:rsid w:val="00485674"/>
    <w:rsid w:val="0048797E"/>
    <w:rsid w:val="00491607"/>
    <w:rsid w:val="004919C7"/>
    <w:rsid w:val="004971B8"/>
    <w:rsid w:val="00497668"/>
    <w:rsid w:val="004A05F1"/>
    <w:rsid w:val="004A31B5"/>
    <w:rsid w:val="004A3773"/>
    <w:rsid w:val="004A5209"/>
    <w:rsid w:val="004A6627"/>
    <w:rsid w:val="004A6A22"/>
    <w:rsid w:val="004B04B9"/>
    <w:rsid w:val="004B2447"/>
    <w:rsid w:val="004B2EC4"/>
    <w:rsid w:val="004B6911"/>
    <w:rsid w:val="004B6AA7"/>
    <w:rsid w:val="004C04C4"/>
    <w:rsid w:val="004C152E"/>
    <w:rsid w:val="004C3FCD"/>
    <w:rsid w:val="004C41A4"/>
    <w:rsid w:val="004C430A"/>
    <w:rsid w:val="004C68B6"/>
    <w:rsid w:val="004C7B35"/>
    <w:rsid w:val="004C7E5C"/>
    <w:rsid w:val="004D3129"/>
    <w:rsid w:val="004D3929"/>
    <w:rsid w:val="004D40FA"/>
    <w:rsid w:val="004D4C34"/>
    <w:rsid w:val="004D50B3"/>
    <w:rsid w:val="004D6330"/>
    <w:rsid w:val="004D764E"/>
    <w:rsid w:val="004E3998"/>
    <w:rsid w:val="004E6320"/>
    <w:rsid w:val="004E7702"/>
    <w:rsid w:val="004F171E"/>
    <w:rsid w:val="004F1D46"/>
    <w:rsid w:val="004F4B79"/>
    <w:rsid w:val="004F4C4F"/>
    <w:rsid w:val="004F7E90"/>
    <w:rsid w:val="00500E9A"/>
    <w:rsid w:val="005012E3"/>
    <w:rsid w:val="005034A8"/>
    <w:rsid w:val="005034CA"/>
    <w:rsid w:val="00505829"/>
    <w:rsid w:val="00511C23"/>
    <w:rsid w:val="00513B03"/>
    <w:rsid w:val="00513E07"/>
    <w:rsid w:val="0051635A"/>
    <w:rsid w:val="00516DB4"/>
    <w:rsid w:val="00520034"/>
    <w:rsid w:val="00520868"/>
    <w:rsid w:val="00521176"/>
    <w:rsid w:val="00523004"/>
    <w:rsid w:val="005237EB"/>
    <w:rsid w:val="00523B17"/>
    <w:rsid w:val="00524A41"/>
    <w:rsid w:val="00530289"/>
    <w:rsid w:val="00532075"/>
    <w:rsid w:val="005325A9"/>
    <w:rsid w:val="005326B7"/>
    <w:rsid w:val="00533307"/>
    <w:rsid w:val="00536036"/>
    <w:rsid w:val="00536D93"/>
    <w:rsid w:val="00540471"/>
    <w:rsid w:val="00541208"/>
    <w:rsid w:val="005419C3"/>
    <w:rsid w:val="00542BDE"/>
    <w:rsid w:val="005439B2"/>
    <w:rsid w:val="005446BA"/>
    <w:rsid w:val="00544CFA"/>
    <w:rsid w:val="005460D3"/>
    <w:rsid w:val="005463D8"/>
    <w:rsid w:val="00551A6C"/>
    <w:rsid w:val="00551E2A"/>
    <w:rsid w:val="00553917"/>
    <w:rsid w:val="00555371"/>
    <w:rsid w:val="00560316"/>
    <w:rsid w:val="005633FC"/>
    <w:rsid w:val="00563E3A"/>
    <w:rsid w:val="00564B1E"/>
    <w:rsid w:val="00565F2A"/>
    <w:rsid w:val="00567043"/>
    <w:rsid w:val="00567244"/>
    <w:rsid w:val="00570A96"/>
    <w:rsid w:val="0057155D"/>
    <w:rsid w:val="00571888"/>
    <w:rsid w:val="005719CC"/>
    <w:rsid w:val="00573A0F"/>
    <w:rsid w:val="0057609C"/>
    <w:rsid w:val="00576156"/>
    <w:rsid w:val="005809F6"/>
    <w:rsid w:val="00581EF9"/>
    <w:rsid w:val="00582FFB"/>
    <w:rsid w:val="005836E2"/>
    <w:rsid w:val="00584011"/>
    <w:rsid w:val="00585FB4"/>
    <w:rsid w:val="005921C0"/>
    <w:rsid w:val="005923F4"/>
    <w:rsid w:val="00592459"/>
    <w:rsid w:val="0059271C"/>
    <w:rsid w:val="00592821"/>
    <w:rsid w:val="00593569"/>
    <w:rsid w:val="00593EDF"/>
    <w:rsid w:val="005952CF"/>
    <w:rsid w:val="0059605C"/>
    <w:rsid w:val="00596D5E"/>
    <w:rsid w:val="00597061"/>
    <w:rsid w:val="00597291"/>
    <w:rsid w:val="005A1B3D"/>
    <w:rsid w:val="005A29F3"/>
    <w:rsid w:val="005A2E32"/>
    <w:rsid w:val="005A40CC"/>
    <w:rsid w:val="005A4B2F"/>
    <w:rsid w:val="005A5911"/>
    <w:rsid w:val="005B010A"/>
    <w:rsid w:val="005B341D"/>
    <w:rsid w:val="005B3B1C"/>
    <w:rsid w:val="005B4197"/>
    <w:rsid w:val="005B4A61"/>
    <w:rsid w:val="005B5CF2"/>
    <w:rsid w:val="005B60E1"/>
    <w:rsid w:val="005B6E70"/>
    <w:rsid w:val="005B7C31"/>
    <w:rsid w:val="005C025D"/>
    <w:rsid w:val="005C0DF5"/>
    <w:rsid w:val="005C245E"/>
    <w:rsid w:val="005C3529"/>
    <w:rsid w:val="005C6019"/>
    <w:rsid w:val="005C7E58"/>
    <w:rsid w:val="005D046B"/>
    <w:rsid w:val="005D23F0"/>
    <w:rsid w:val="005D26C7"/>
    <w:rsid w:val="005D29DF"/>
    <w:rsid w:val="005D3B7E"/>
    <w:rsid w:val="005D5CD2"/>
    <w:rsid w:val="005D68FE"/>
    <w:rsid w:val="005D6A03"/>
    <w:rsid w:val="005D6D17"/>
    <w:rsid w:val="005E1062"/>
    <w:rsid w:val="005E3AA2"/>
    <w:rsid w:val="005E4CB5"/>
    <w:rsid w:val="005E4EA3"/>
    <w:rsid w:val="005F31CF"/>
    <w:rsid w:val="005F3D47"/>
    <w:rsid w:val="005F402B"/>
    <w:rsid w:val="005F578B"/>
    <w:rsid w:val="005F5FCA"/>
    <w:rsid w:val="005F5FE4"/>
    <w:rsid w:val="005F7C9B"/>
    <w:rsid w:val="0060119B"/>
    <w:rsid w:val="0060189A"/>
    <w:rsid w:val="00602E54"/>
    <w:rsid w:val="00605FC0"/>
    <w:rsid w:val="006063C0"/>
    <w:rsid w:val="006063D6"/>
    <w:rsid w:val="00606C37"/>
    <w:rsid w:val="00607286"/>
    <w:rsid w:val="00607656"/>
    <w:rsid w:val="00611911"/>
    <w:rsid w:val="00612458"/>
    <w:rsid w:val="00613151"/>
    <w:rsid w:val="00613809"/>
    <w:rsid w:val="00613B0B"/>
    <w:rsid w:val="00615471"/>
    <w:rsid w:val="00615A23"/>
    <w:rsid w:val="00617A05"/>
    <w:rsid w:val="00617C14"/>
    <w:rsid w:val="00617CC7"/>
    <w:rsid w:val="00621369"/>
    <w:rsid w:val="006230A5"/>
    <w:rsid w:val="006232CA"/>
    <w:rsid w:val="006245BD"/>
    <w:rsid w:val="00624BAD"/>
    <w:rsid w:val="006253AB"/>
    <w:rsid w:val="0063227C"/>
    <w:rsid w:val="00632362"/>
    <w:rsid w:val="00632625"/>
    <w:rsid w:val="00633F7C"/>
    <w:rsid w:val="00634041"/>
    <w:rsid w:val="006347AA"/>
    <w:rsid w:val="0063694D"/>
    <w:rsid w:val="00637414"/>
    <w:rsid w:val="00637E9D"/>
    <w:rsid w:val="006402BF"/>
    <w:rsid w:val="00640C65"/>
    <w:rsid w:val="00643491"/>
    <w:rsid w:val="00644DAC"/>
    <w:rsid w:val="00645256"/>
    <w:rsid w:val="006459E8"/>
    <w:rsid w:val="006461E4"/>
    <w:rsid w:val="00646A2E"/>
    <w:rsid w:val="00651322"/>
    <w:rsid w:val="006516CC"/>
    <w:rsid w:val="00653C37"/>
    <w:rsid w:val="00656B92"/>
    <w:rsid w:val="00657109"/>
    <w:rsid w:val="00657427"/>
    <w:rsid w:val="006603B1"/>
    <w:rsid w:val="00660761"/>
    <w:rsid w:val="0066146B"/>
    <w:rsid w:val="00664834"/>
    <w:rsid w:val="00664C33"/>
    <w:rsid w:val="0066568E"/>
    <w:rsid w:val="00665758"/>
    <w:rsid w:val="0066598D"/>
    <w:rsid w:val="0066670D"/>
    <w:rsid w:val="0066784A"/>
    <w:rsid w:val="006678F9"/>
    <w:rsid w:val="00667B8F"/>
    <w:rsid w:val="00671120"/>
    <w:rsid w:val="00672037"/>
    <w:rsid w:val="00673C90"/>
    <w:rsid w:val="0067438E"/>
    <w:rsid w:val="006744E5"/>
    <w:rsid w:val="00675120"/>
    <w:rsid w:val="00675265"/>
    <w:rsid w:val="00676594"/>
    <w:rsid w:val="00676D76"/>
    <w:rsid w:val="00677344"/>
    <w:rsid w:val="006778BD"/>
    <w:rsid w:val="00680283"/>
    <w:rsid w:val="00680885"/>
    <w:rsid w:val="00681861"/>
    <w:rsid w:val="006818D3"/>
    <w:rsid w:val="00682440"/>
    <w:rsid w:val="00683740"/>
    <w:rsid w:val="00684C4D"/>
    <w:rsid w:val="00685041"/>
    <w:rsid w:val="00685C67"/>
    <w:rsid w:val="00685D66"/>
    <w:rsid w:val="00691A77"/>
    <w:rsid w:val="006921EA"/>
    <w:rsid w:val="00694EF7"/>
    <w:rsid w:val="006A08FC"/>
    <w:rsid w:val="006A0B28"/>
    <w:rsid w:val="006A254F"/>
    <w:rsid w:val="006A2678"/>
    <w:rsid w:val="006A3EB2"/>
    <w:rsid w:val="006A44E3"/>
    <w:rsid w:val="006A75D4"/>
    <w:rsid w:val="006A7AD2"/>
    <w:rsid w:val="006B0FC7"/>
    <w:rsid w:val="006B2214"/>
    <w:rsid w:val="006B4DED"/>
    <w:rsid w:val="006B6526"/>
    <w:rsid w:val="006B6721"/>
    <w:rsid w:val="006B753E"/>
    <w:rsid w:val="006B7577"/>
    <w:rsid w:val="006B7859"/>
    <w:rsid w:val="006C42FF"/>
    <w:rsid w:val="006C4CCD"/>
    <w:rsid w:val="006C5C92"/>
    <w:rsid w:val="006C6B0E"/>
    <w:rsid w:val="006C6C7C"/>
    <w:rsid w:val="006C7098"/>
    <w:rsid w:val="006C79A9"/>
    <w:rsid w:val="006D19D6"/>
    <w:rsid w:val="006D2595"/>
    <w:rsid w:val="006D4635"/>
    <w:rsid w:val="006D52AB"/>
    <w:rsid w:val="006D597E"/>
    <w:rsid w:val="006D5A7B"/>
    <w:rsid w:val="006E1A15"/>
    <w:rsid w:val="006E2174"/>
    <w:rsid w:val="006E32AB"/>
    <w:rsid w:val="006E3BF9"/>
    <w:rsid w:val="006E46F7"/>
    <w:rsid w:val="006E511A"/>
    <w:rsid w:val="006E5C2C"/>
    <w:rsid w:val="006E673C"/>
    <w:rsid w:val="006F0AF8"/>
    <w:rsid w:val="006F215C"/>
    <w:rsid w:val="006F2F58"/>
    <w:rsid w:val="006F4AF1"/>
    <w:rsid w:val="006F4DDF"/>
    <w:rsid w:val="006F4E0F"/>
    <w:rsid w:val="006F5280"/>
    <w:rsid w:val="006F55EE"/>
    <w:rsid w:val="006F6910"/>
    <w:rsid w:val="006F75CC"/>
    <w:rsid w:val="00700657"/>
    <w:rsid w:val="00700854"/>
    <w:rsid w:val="007025F2"/>
    <w:rsid w:val="00702AE2"/>
    <w:rsid w:val="00704DDA"/>
    <w:rsid w:val="00705636"/>
    <w:rsid w:val="00705D08"/>
    <w:rsid w:val="007068AB"/>
    <w:rsid w:val="00707F54"/>
    <w:rsid w:val="00714424"/>
    <w:rsid w:val="00715182"/>
    <w:rsid w:val="00715C62"/>
    <w:rsid w:val="00720785"/>
    <w:rsid w:val="007231F2"/>
    <w:rsid w:val="007249FC"/>
    <w:rsid w:val="00724A1A"/>
    <w:rsid w:val="0072546D"/>
    <w:rsid w:val="00725AF5"/>
    <w:rsid w:val="00726545"/>
    <w:rsid w:val="00726BF0"/>
    <w:rsid w:val="007277CE"/>
    <w:rsid w:val="00727C1B"/>
    <w:rsid w:val="00727E70"/>
    <w:rsid w:val="007329AC"/>
    <w:rsid w:val="00733320"/>
    <w:rsid w:val="00734C90"/>
    <w:rsid w:val="00734E41"/>
    <w:rsid w:val="0073589A"/>
    <w:rsid w:val="00740F3F"/>
    <w:rsid w:val="007424D6"/>
    <w:rsid w:val="00742653"/>
    <w:rsid w:val="00742D4C"/>
    <w:rsid w:val="007435C4"/>
    <w:rsid w:val="00743E84"/>
    <w:rsid w:val="007454AB"/>
    <w:rsid w:val="007455CE"/>
    <w:rsid w:val="00745A06"/>
    <w:rsid w:val="00745AE4"/>
    <w:rsid w:val="00745F69"/>
    <w:rsid w:val="00747097"/>
    <w:rsid w:val="00751FC2"/>
    <w:rsid w:val="00752392"/>
    <w:rsid w:val="00752FD5"/>
    <w:rsid w:val="007530F1"/>
    <w:rsid w:val="00753A39"/>
    <w:rsid w:val="00754308"/>
    <w:rsid w:val="0075715C"/>
    <w:rsid w:val="00757F87"/>
    <w:rsid w:val="00760F6D"/>
    <w:rsid w:val="0076230A"/>
    <w:rsid w:val="007627F9"/>
    <w:rsid w:val="007636AF"/>
    <w:rsid w:val="00766423"/>
    <w:rsid w:val="00766755"/>
    <w:rsid w:val="007703C8"/>
    <w:rsid w:val="00770FCA"/>
    <w:rsid w:val="00772230"/>
    <w:rsid w:val="00772545"/>
    <w:rsid w:val="00772D7E"/>
    <w:rsid w:val="00773945"/>
    <w:rsid w:val="007747E9"/>
    <w:rsid w:val="00774C04"/>
    <w:rsid w:val="0077540B"/>
    <w:rsid w:val="00776180"/>
    <w:rsid w:val="007762F6"/>
    <w:rsid w:val="00776A05"/>
    <w:rsid w:val="007813B6"/>
    <w:rsid w:val="00782730"/>
    <w:rsid w:val="00783B44"/>
    <w:rsid w:val="00786239"/>
    <w:rsid w:val="00786F8D"/>
    <w:rsid w:val="00786FC6"/>
    <w:rsid w:val="007874D5"/>
    <w:rsid w:val="00790114"/>
    <w:rsid w:val="0079232E"/>
    <w:rsid w:val="007962F8"/>
    <w:rsid w:val="007A0BE5"/>
    <w:rsid w:val="007A0C65"/>
    <w:rsid w:val="007A284E"/>
    <w:rsid w:val="007A48E4"/>
    <w:rsid w:val="007A4EC7"/>
    <w:rsid w:val="007A53D6"/>
    <w:rsid w:val="007B1643"/>
    <w:rsid w:val="007B1D29"/>
    <w:rsid w:val="007B1DD7"/>
    <w:rsid w:val="007B1ECB"/>
    <w:rsid w:val="007B2207"/>
    <w:rsid w:val="007B5310"/>
    <w:rsid w:val="007B5EE3"/>
    <w:rsid w:val="007B725D"/>
    <w:rsid w:val="007B78C5"/>
    <w:rsid w:val="007C00E9"/>
    <w:rsid w:val="007C1166"/>
    <w:rsid w:val="007C11B6"/>
    <w:rsid w:val="007C2800"/>
    <w:rsid w:val="007C3318"/>
    <w:rsid w:val="007C45D9"/>
    <w:rsid w:val="007C7518"/>
    <w:rsid w:val="007C7EAC"/>
    <w:rsid w:val="007D0042"/>
    <w:rsid w:val="007D03BF"/>
    <w:rsid w:val="007D0C27"/>
    <w:rsid w:val="007D11D6"/>
    <w:rsid w:val="007D1E24"/>
    <w:rsid w:val="007D30EA"/>
    <w:rsid w:val="007E276E"/>
    <w:rsid w:val="007E28C6"/>
    <w:rsid w:val="007E3D6E"/>
    <w:rsid w:val="007E3D70"/>
    <w:rsid w:val="007E42B4"/>
    <w:rsid w:val="007E54E9"/>
    <w:rsid w:val="007E746D"/>
    <w:rsid w:val="007F0274"/>
    <w:rsid w:val="007F06C0"/>
    <w:rsid w:val="007F0BB2"/>
    <w:rsid w:val="007F0BDA"/>
    <w:rsid w:val="007F28AB"/>
    <w:rsid w:val="007F3106"/>
    <w:rsid w:val="007F3C4A"/>
    <w:rsid w:val="007F498C"/>
    <w:rsid w:val="007F4BC5"/>
    <w:rsid w:val="007F4CE6"/>
    <w:rsid w:val="00801F0E"/>
    <w:rsid w:val="00802410"/>
    <w:rsid w:val="00802BFB"/>
    <w:rsid w:val="0080346E"/>
    <w:rsid w:val="00806F65"/>
    <w:rsid w:val="0081322D"/>
    <w:rsid w:val="008140CA"/>
    <w:rsid w:val="00814445"/>
    <w:rsid w:val="00815800"/>
    <w:rsid w:val="00817614"/>
    <w:rsid w:val="00817778"/>
    <w:rsid w:val="00817967"/>
    <w:rsid w:val="008203CB"/>
    <w:rsid w:val="00820E4E"/>
    <w:rsid w:val="008220B3"/>
    <w:rsid w:val="00822354"/>
    <w:rsid w:val="00822D19"/>
    <w:rsid w:val="0082668D"/>
    <w:rsid w:val="00830D69"/>
    <w:rsid w:val="0083176C"/>
    <w:rsid w:val="00834D5C"/>
    <w:rsid w:val="00835C1D"/>
    <w:rsid w:val="0083682A"/>
    <w:rsid w:val="008378A1"/>
    <w:rsid w:val="00840571"/>
    <w:rsid w:val="00840A44"/>
    <w:rsid w:val="00843A32"/>
    <w:rsid w:val="00844436"/>
    <w:rsid w:val="008451A5"/>
    <w:rsid w:val="00845C14"/>
    <w:rsid w:val="00846413"/>
    <w:rsid w:val="00847E44"/>
    <w:rsid w:val="0085029B"/>
    <w:rsid w:val="0085039D"/>
    <w:rsid w:val="00850C6C"/>
    <w:rsid w:val="00852E6A"/>
    <w:rsid w:val="008538AD"/>
    <w:rsid w:val="0085654B"/>
    <w:rsid w:val="00856B1C"/>
    <w:rsid w:val="00857641"/>
    <w:rsid w:val="00861D6F"/>
    <w:rsid w:val="00862C77"/>
    <w:rsid w:val="00862D86"/>
    <w:rsid w:val="00863257"/>
    <w:rsid w:val="00863C90"/>
    <w:rsid w:val="008648F7"/>
    <w:rsid w:val="00865712"/>
    <w:rsid w:val="00865839"/>
    <w:rsid w:val="0086698F"/>
    <w:rsid w:val="008729E6"/>
    <w:rsid w:val="00872A34"/>
    <w:rsid w:val="0087369B"/>
    <w:rsid w:val="00875DCD"/>
    <w:rsid w:val="00877820"/>
    <w:rsid w:val="00877D03"/>
    <w:rsid w:val="00877F74"/>
    <w:rsid w:val="0088027A"/>
    <w:rsid w:val="00881F37"/>
    <w:rsid w:val="00884DDA"/>
    <w:rsid w:val="00886837"/>
    <w:rsid w:val="00892797"/>
    <w:rsid w:val="00893BCB"/>
    <w:rsid w:val="00894883"/>
    <w:rsid w:val="008949B5"/>
    <w:rsid w:val="00896AA2"/>
    <w:rsid w:val="008A10F1"/>
    <w:rsid w:val="008A339E"/>
    <w:rsid w:val="008A3408"/>
    <w:rsid w:val="008A3AB3"/>
    <w:rsid w:val="008A625C"/>
    <w:rsid w:val="008A68F7"/>
    <w:rsid w:val="008A6DD2"/>
    <w:rsid w:val="008A789F"/>
    <w:rsid w:val="008B5244"/>
    <w:rsid w:val="008C0E58"/>
    <w:rsid w:val="008C2089"/>
    <w:rsid w:val="008C3528"/>
    <w:rsid w:val="008C4663"/>
    <w:rsid w:val="008C5BBC"/>
    <w:rsid w:val="008C5F98"/>
    <w:rsid w:val="008D0655"/>
    <w:rsid w:val="008D1D36"/>
    <w:rsid w:val="008D1E90"/>
    <w:rsid w:val="008D1F14"/>
    <w:rsid w:val="008D2300"/>
    <w:rsid w:val="008D512C"/>
    <w:rsid w:val="008D5265"/>
    <w:rsid w:val="008D7702"/>
    <w:rsid w:val="008E283B"/>
    <w:rsid w:val="008E37AC"/>
    <w:rsid w:val="008E3E7B"/>
    <w:rsid w:val="008F1ADF"/>
    <w:rsid w:val="008F2187"/>
    <w:rsid w:val="008F244E"/>
    <w:rsid w:val="008F2F7B"/>
    <w:rsid w:val="008F3B2B"/>
    <w:rsid w:val="008F4072"/>
    <w:rsid w:val="008F47E2"/>
    <w:rsid w:val="008F5FD0"/>
    <w:rsid w:val="008F6806"/>
    <w:rsid w:val="008F7933"/>
    <w:rsid w:val="00901C7A"/>
    <w:rsid w:val="00903164"/>
    <w:rsid w:val="009044CD"/>
    <w:rsid w:val="00911F80"/>
    <w:rsid w:val="00913E5A"/>
    <w:rsid w:val="00914764"/>
    <w:rsid w:val="00915638"/>
    <w:rsid w:val="00920167"/>
    <w:rsid w:val="009239A5"/>
    <w:rsid w:val="00926CE7"/>
    <w:rsid w:val="009321D2"/>
    <w:rsid w:val="0093233E"/>
    <w:rsid w:val="009323FF"/>
    <w:rsid w:val="0093294F"/>
    <w:rsid w:val="009350E3"/>
    <w:rsid w:val="0093543D"/>
    <w:rsid w:val="00935E0A"/>
    <w:rsid w:val="00937CBE"/>
    <w:rsid w:val="009400E5"/>
    <w:rsid w:val="00940C1C"/>
    <w:rsid w:val="00941769"/>
    <w:rsid w:val="00942E71"/>
    <w:rsid w:val="009455D3"/>
    <w:rsid w:val="009468E5"/>
    <w:rsid w:val="00950263"/>
    <w:rsid w:val="009534EC"/>
    <w:rsid w:val="0095489F"/>
    <w:rsid w:val="00956100"/>
    <w:rsid w:val="009566AE"/>
    <w:rsid w:val="009603D6"/>
    <w:rsid w:val="0096164F"/>
    <w:rsid w:val="00963425"/>
    <w:rsid w:val="00965335"/>
    <w:rsid w:val="00965E9F"/>
    <w:rsid w:val="00966221"/>
    <w:rsid w:val="00967037"/>
    <w:rsid w:val="00971575"/>
    <w:rsid w:val="009715FA"/>
    <w:rsid w:val="00971770"/>
    <w:rsid w:val="0097275F"/>
    <w:rsid w:val="00975B02"/>
    <w:rsid w:val="00976708"/>
    <w:rsid w:val="009770BC"/>
    <w:rsid w:val="00977F0D"/>
    <w:rsid w:val="00980C1B"/>
    <w:rsid w:val="00984195"/>
    <w:rsid w:val="00986A33"/>
    <w:rsid w:val="00987E8F"/>
    <w:rsid w:val="009912E2"/>
    <w:rsid w:val="009919DB"/>
    <w:rsid w:val="00991EC9"/>
    <w:rsid w:val="009929D5"/>
    <w:rsid w:val="00993038"/>
    <w:rsid w:val="00993FE3"/>
    <w:rsid w:val="0099469A"/>
    <w:rsid w:val="0099578D"/>
    <w:rsid w:val="009A04EC"/>
    <w:rsid w:val="009A0E4A"/>
    <w:rsid w:val="009A47C6"/>
    <w:rsid w:val="009A59D0"/>
    <w:rsid w:val="009A5F6A"/>
    <w:rsid w:val="009A5F9D"/>
    <w:rsid w:val="009A7518"/>
    <w:rsid w:val="009A7871"/>
    <w:rsid w:val="009B0F64"/>
    <w:rsid w:val="009B2AEB"/>
    <w:rsid w:val="009B4B9D"/>
    <w:rsid w:val="009B591D"/>
    <w:rsid w:val="009B66C6"/>
    <w:rsid w:val="009C0A30"/>
    <w:rsid w:val="009C1694"/>
    <w:rsid w:val="009C36DE"/>
    <w:rsid w:val="009C41E2"/>
    <w:rsid w:val="009C51EE"/>
    <w:rsid w:val="009C5ABD"/>
    <w:rsid w:val="009C5D40"/>
    <w:rsid w:val="009C7A15"/>
    <w:rsid w:val="009D0674"/>
    <w:rsid w:val="009D4381"/>
    <w:rsid w:val="009D5421"/>
    <w:rsid w:val="009D5A20"/>
    <w:rsid w:val="009D5D71"/>
    <w:rsid w:val="009E007E"/>
    <w:rsid w:val="009E24AA"/>
    <w:rsid w:val="009E258A"/>
    <w:rsid w:val="009E3502"/>
    <w:rsid w:val="009E41CE"/>
    <w:rsid w:val="009E464C"/>
    <w:rsid w:val="009E7CC6"/>
    <w:rsid w:val="009E7DC6"/>
    <w:rsid w:val="009F0325"/>
    <w:rsid w:val="009F18AA"/>
    <w:rsid w:val="009F215D"/>
    <w:rsid w:val="009F2D15"/>
    <w:rsid w:val="009F32AB"/>
    <w:rsid w:val="009F434E"/>
    <w:rsid w:val="009F6389"/>
    <w:rsid w:val="009F78E3"/>
    <w:rsid w:val="00A00667"/>
    <w:rsid w:val="00A040F0"/>
    <w:rsid w:val="00A0422D"/>
    <w:rsid w:val="00A0582D"/>
    <w:rsid w:val="00A05AE5"/>
    <w:rsid w:val="00A0685F"/>
    <w:rsid w:val="00A10C2C"/>
    <w:rsid w:val="00A11135"/>
    <w:rsid w:val="00A1187E"/>
    <w:rsid w:val="00A12DF2"/>
    <w:rsid w:val="00A168C5"/>
    <w:rsid w:val="00A17306"/>
    <w:rsid w:val="00A1762F"/>
    <w:rsid w:val="00A203FC"/>
    <w:rsid w:val="00A2049F"/>
    <w:rsid w:val="00A22859"/>
    <w:rsid w:val="00A23C67"/>
    <w:rsid w:val="00A23F9B"/>
    <w:rsid w:val="00A244D1"/>
    <w:rsid w:val="00A24F51"/>
    <w:rsid w:val="00A266A9"/>
    <w:rsid w:val="00A27C16"/>
    <w:rsid w:val="00A31FEA"/>
    <w:rsid w:val="00A32C77"/>
    <w:rsid w:val="00A355B5"/>
    <w:rsid w:val="00A35A0C"/>
    <w:rsid w:val="00A367EB"/>
    <w:rsid w:val="00A36E99"/>
    <w:rsid w:val="00A4058E"/>
    <w:rsid w:val="00A4074B"/>
    <w:rsid w:val="00A424C0"/>
    <w:rsid w:val="00A444EC"/>
    <w:rsid w:val="00A44DA6"/>
    <w:rsid w:val="00A47337"/>
    <w:rsid w:val="00A4796F"/>
    <w:rsid w:val="00A51627"/>
    <w:rsid w:val="00A519B4"/>
    <w:rsid w:val="00A51F8A"/>
    <w:rsid w:val="00A52F18"/>
    <w:rsid w:val="00A6284E"/>
    <w:rsid w:val="00A63ABA"/>
    <w:rsid w:val="00A651B9"/>
    <w:rsid w:val="00A65A23"/>
    <w:rsid w:val="00A66616"/>
    <w:rsid w:val="00A7090A"/>
    <w:rsid w:val="00A7182C"/>
    <w:rsid w:val="00A71980"/>
    <w:rsid w:val="00A73198"/>
    <w:rsid w:val="00A73278"/>
    <w:rsid w:val="00A7334B"/>
    <w:rsid w:val="00A7356C"/>
    <w:rsid w:val="00A73F3F"/>
    <w:rsid w:val="00A75FA4"/>
    <w:rsid w:val="00A7610D"/>
    <w:rsid w:val="00A76391"/>
    <w:rsid w:val="00A76931"/>
    <w:rsid w:val="00A77F1D"/>
    <w:rsid w:val="00A812DC"/>
    <w:rsid w:val="00A82CF5"/>
    <w:rsid w:val="00A8326B"/>
    <w:rsid w:val="00A832F2"/>
    <w:rsid w:val="00A86A05"/>
    <w:rsid w:val="00A870DF"/>
    <w:rsid w:val="00A8768F"/>
    <w:rsid w:val="00A91EF2"/>
    <w:rsid w:val="00A93D4F"/>
    <w:rsid w:val="00A94984"/>
    <w:rsid w:val="00A95EBA"/>
    <w:rsid w:val="00A95EF8"/>
    <w:rsid w:val="00A96B72"/>
    <w:rsid w:val="00A970D6"/>
    <w:rsid w:val="00AA0480"/>
    <w:rsid w:val="00AA0CE0"/>
    <w:rsid w:val="00AA1E70"/>
    <w:rsid w:val="00AA2B9D"/>
    <w:rsid w:val="00AA2DEE"/>
    <w:rsid w:val="00AA35EE"/>
    <w:rsid w:val="00AA3970"/>
    <w:rsid w:val="00AA535D"/>
    <w:rsid w:val="00AA6956"/>
    <w:rsid w:val="00AA72A9"/>
    <w:rsid w:val="00AA74EF"/>
    <w:rsid w:val="00AA766E"/>
    <w:rsid w:val="00AA7A47"/>
    <w:rsid w:val="00AB0AC4"/>
    <w:rsid w:val="00AB0B52"/>
    <w:rsid w:val="00AB4321"/>
    <w:rsid w:val="00AB4BB8"/>
    <w:rsid w:val="00AB5CB9"/>
    <w:rsid w:val="00AB7F83"/>
    <w:rsid w:val="00AC1808"/>
    <w:rsid w:val="00AC2872"/>
    <w:rsid w:val="00AC3DDE"/>
    <w:rsid w:val="00AC5F1D"/>
    <w:rsid w:val="00AD00FC"/>
    <w:rsid w:val="00AD0547"/>
    <w:rsid w:val="00AD186A"/>
    <w:rsid w:val="00AD25D1"/>
    <w:rsid w:val="00AD277C"/>
    <w:rsid w:val="00AD38E8"/>
    <w:rsid w:val="00AD4184"/>
    <w:rsid w:val="00AD49D3"/>
    <w:rsid w:val="00AD533E"/>
    <w:rsid w:val="00AD6863"/>
    <w:rsid w:val="00AE115F"/>
    <w:rsid w:val="00AE338B"/>
    <w:rsid w:val="00AE36A3"/>
    <w:rsid w:val="00AE39C4"/>
    <w:rsid w:val="00AE5E44"/>
    <w:rsid w:val="00AE72B1"/>
    <w:rsid w:val="00AF100B"/>
    <w:rsid w:val="00AF1D4D"/>
    <w:rsid w:val="00AF20E2"/>
    <w:rsid w:val="00AF216A"/>
    <w:rsid w:val="00AF236A"/>
    <w:rsid w:val="00AF33ED"/>
    <w:rsid w:val="00AF356C"/>
    <w:rsid w:val="00AF5429"/>
    <w:rsid w:val="00AF556E"/>
    <w:rsid w:val="00B00248"/>
    <w:rsid w:val="00B0206C"/>
    <w:rsid w:val="00B02D14"/>
    <w:rsid w:val="00B045AF"/>
    <w:rsid w:val="00B065D7"/>
    <w:rsid w:val="00B12851"/>
    <w:rsid w:val="00B12E06"/>
    <w:rsid w:val="00B160DD"/>
    <w:rsid w:val="00B200E8"/>
    <w:rsid w:val="00B22F05"/>
    <w:rsid w:val="00B23D84"/>
    <w:rsid w:val="00B243BE"/>
    <w:rsid w:val="00B2490B"/>
    <w:rsid w:val="00B255EE"/>
    <w:rsid w:val="00B26EB9"/>
    <w:rsid w:val="00B2714A"/>
    <w:rsid w:val="00B27C16"/>
    <w:rsid w:val="00B31203"/>
    <w:rsid w:val="00B32467"/>
    <w:rsid w:val="00B3314A"/>
    <w:rsid w:val="00B33ABF"/>
    <w:rsid w:val="00B36822"/>
    <w:rsid w:val="00B3712F"/>
    <w:rsid w:val="00B37D54"/>
    <w:rsid w:val="00B4033F"/>
    <w:rsid w:val="00B4172A"/>
    <w:rsid w:val="00B42E1F"/>
    <w:rsid w:val="00B4505D"/>
    <w:rsid w:val="00B453BC"/>
    <w:rsid w:val="00B46E59"/>
    <w:rsid w:val="00B54153"/>
    <w:rsid w:val="00B548B1"/>
    <w:rsid w:val="00B56D98"/>
    <w:rsid w:val="00B57B91"/>
    <w:rsid w:val="00B57F6B"/>
    <w:rsid w:val="00B60D90"/>
    <w:rsid w:val="00B61031"/>
    <w:rsid w:val="00B62A84"/>
    <w:rsid w:val="00B62DAE"/>
    <w:rsid w:val="00B668AD"/>
    <w:rsid w:val="00B66DEB"/>
    <w:rsid w:val="00B67F5D"/>
    <w:rsid w:val="00B71BB4"/>
    <w:rsid w:val="00B72232"/>
    <w:rsid w:val="00B72976"/>
    <w:rsid w:val="00B72BAF"/>
    <w:rsid w:val="00B7321B"/>
    <w:rsid w:val="00B73671"/>
    <w:rsid w:val="00B75CD4"/>
    <w:rsid w:val="00B76500"/>
    <w:rsid w:val="00B77C34"/>
    <w:rsid w:val="00B80E3F"/>
    <w:rsid w:val="00B82998"/>
    <w:rsid w:val="00B83033"/>
    <w:rsid w:val="00B837E0"/>
    <w:rsid w:val="00B86026"/>
    <w:rsid w:val="00B86F1D"/>
    <w:rsid w:val="00B914D9"/>
    <w:rsid w:val="00B924B5"/>
    <w:rsid w:val="00B9270D"/>
    <w:rsid w:val="00B94831"/>
    <w:rsid w:val="00B94ED3"/>
    <w:rsid w:val="00B96072"/>
    <w:rsid w:val="00B9626A"/>
    <w:rsid w:val="00B96D48"/>
    <w:rsid w:val="00B971F9"/>
    <w:rsid w:val="00B97F68"/>
    <w:rsid w:val="00BA15D6"/>
    <w:rsid w:val="00BA2194"/>
    <w:rsid w:val="00BA2EEF"/>
    <w:rsid w:val="00BA618E"/>
    <w:rsid w:val="00BA6CA3"/>
    <w:rsid w:val="00BA6D2A"/>
    <w:rsid w:val="00BA6DB4"/>
    <w:rsid w:val="00BA7C80"/>
    <w:rsid w:val="00BB25CB"/>
    <w:rsid w:val="00BB3A65"/>
    <w:rsid w:val="00BB3DB7"/>
    <w:rsid w:val="00BB4D36"/>
    <w:rsid w:val="00BB7064"/>
    <w:rsid w:val="00BC0465"/>
    <w:rsid w:val="00BC126B"/>
    <w:rsid w:val="00BC17FD"/>
    <w:rsid w:val="00BC1C90"/>
    <w:rsid w:val="00BC6974"/>
    <w:rsid w:val="00BD20DA"/>
    <w:rsid w:val="00BD2268"/>
    <w:rsid w:val="00BD3694"/>
    <w:rsid w:val="00BD4CD7"/>
    <w:rsid w:val="00BD66D0"/>
    <w:rsid w:val="00BD69B9"/>
    <w:rsid w:val="00BD6F58"/>
    <w:rsid w:val="00BD7044"/>
    <w:rsid w:val="00BE0A71"/>
    <w:rsid w:val="00BE16CD"/>
    <w:rsid w:val="00BE291A"/>
    <w:rsid w:val="00BE2994"/>
    <w:rsid w:val="00BE5240"/>
    <w:rsid w:val="00BE5483"/>
    <w:rsid w:val="00BE666B"/>
    <w:rsid w:val="00BE783E"/>
    <w:rsid w:val="00BF0129"/>
    <w:rsid w:val="00BF0E49"/>
    <w:rsid w:val="00BF3A53"/>
    <w:rsid w:val="00BF4BE2"/>
    <w:rsid w:val="00BF5AB8"/>
    <w:rsid w:val="00BF615B"/>
    <w:rsid w:val="00BF6F58"/>
    <w:rsid w:val="00BF75E4"/>
    <w:rsid w:val="00C002F4"/>
    <w:rsid w:val="00C00DEA"/>
    <w:rsid w:val="00C01E44"/>
    <w:rsid w:val="00C02F34"/>
    <w:rsid w:val="00C03332"/>
    <w:rsid w:val="00C05DD2"/>
    <w:rsid w:val="00C062F5"/>
    <w:rsid w:val="00C064CE"/>
    <w:rsid w:val="00C0657A"/>
    <w:rsid w:val="00C10923"/>
    <w:rsid w:val="00C1243A"/>
    <w:rsid w:val="00C12457"/>
    <w:rsid w:val="00C136C6"/>
    <w:rsid w:val="00C13905"/>
    <w:rsid w:val="00C13F0C"/>
    <w:rsid w:val="00C14143"/>
    <w:rsid w:val="00C1669B"/>
    <w:rsid w:val="00C169DA"/>
    <w:rsid w:val="00C16B6B"/>
    <w:rsid w:val="00C1710D"/>
    <w:rsid w:val="00C17D1D"/>
    <w:rsid w:val="00C234DD"/>
    <w:rsid w:val="00C23779"/>
    <w:rsid w:val="00C23AB6"/>
    <w:rsid w:val="00C248FB"/>
    <w:rsid w:val="00C2597A"/>
    <w:rsid w:val="00C26649"/>
    <w:rsid w:val="00C27A78"/>
    <w:rsid w:val="00C3204C"/>
    <w:rsid w:val="00C35D68"/>
    <w:rsid w:val="00C36C69"/>
    <w:rsid w:val="00C40404"/>
    <w:rsid w:val="00C42B83"/>
    <w:rsid w:val="00C442BA"/>
    <w:rsid w:val="00C44CD6"/>
    <w:rsid w:val="00C47F9C"/>
    <w:rsid w:val="00C517D6"/>
    <w:rsid w:val="00C52368"/>
    <w:rsid w:val="00C524A3"/>
    <w:rsid w:val="00C52796"/>
    <w:rsid w:val="00C55C19"/>
    <w:rsid w:val="00C578E8"/>
    <w:rsid w:val="00C60562"/>
    <w:rsid w:val="00C62877"/>
    <w:rsid w:val="00C62DE2"/>
    <w:rsid w:val="00C63DDB"/>
    <w:rsid w:val="00C6463C"/>
    <w:rsid w:val="00C64C26"/>
    <w:rsid w:val="00C6605B"/>
    <w:rsid w:val="00C673D6"/>
    <w:rsid w:val="00C70927"/>
    <w:rsid w:val="00C71288"/>
    <w:rsid w:val="00C7213E"/>
    <w:rsid w:val="00C72E11"/>
    <w:rsid w:val="00C737DB"/>
    <w:rsid w:val="00C73A33"/>
    <w:rsid w:val="00C73BCF"/>
    <w:rsid w:val="00C74AB8"/>
    <w:rsid w:val="00C75D67"/>
    <w:rsid w:val="00C77BDD"/>
    <w:rsid w:val="00C77CCE"/>
    <w:rsid w:val="00C80E09"/>
    <w:rsid w:val="00C81C4C"/>
    <w:rsid w:val="00C82323"/>
    <w:rsid w:val="00C82A1C"/>
    <w:rsid w:val="00C8434A"/>
    <w:rsid w:val="00C869E0"/>
    <w:rsid w:val="00C8773C"/>
    <w:rsid w:val="00C878BB"/>
    <w:rsid w:val="00C91444"/>
    <w:rsid w:val="00C93475"/>
    <w:rsid w:val="00C94EEC"/>
    <w:rsid w:val="00CA0E3B"/>
    <w:rsid w:val="00CA0FCB"/>
    <w:rsid w:val="00CA4CC4"/>
    <w:rsid w:val="00CA7ABA"/>
    <w:rsid w:val="00CB2C93"/>
    <w:rsid w:val="00CB42A4"/>
    <w:rsid w:val="00CB51F2"/>
    <w:rsid w:val="00CB5365"/>
    <w:rsid w:val="00CB6FDA"/>
    <w:rsid w:val="00CB74F3"/>
    <w:rsid w:val="00CC1D2C"/>
    <w:rsid w:val="00CD0330"/>
    <w:rsid w:val="00CD0A94"/>
    <w:rsid w:val="00CD131C"/>
    <w:rsid w:val="00CD2BD7"/>
    <w:rsid w:val="00CD2FBE"/>
    <w:rsid w:val="00CD42D5"/>
    <w:rsid w:val="00CD44FE"/>
    <w:rsid w:val="00CD4637"/>
    <w:rsid w:val="00CD4DDE"/>
    <w:rsid w:val="00CD5070"/>
    <w:rsid w:val="00CD5CB8"/>
    <w:rsid w:val="00CD60EF"/>
    <w:rsid w:val="00CD7455"/>
    <w:rsid w:val="00CD79C6"/>
    <w:rsid w:val="00CE0C05"/>
    <w:rsid w:val="00CE1D20"/>
    <w:rsid w:val="00CE269E"/>
    <w:rsid w:val="00CE2C33"/>
    <w:rsid w:val="00CE495B"/>
    <w:rsid w:val="00CE6BD4"/>
    <w:rsid w:val="00CE6D07"/>
    <w:rsid w:val="00CF0138"/>
    <w:rsid w:val="00CF0524"/>
    <w:rsid w:val="00CF3580"/>
    <w:rsid w:val="00CF4882"/>
    <w:rsid w:val="00CF55AC"/>
    <w:rsid w:val="00CF7B40"/>
    <w:rsid w:val="00CF7F8A"/>
    <w:rsid w:val="00D009BD"/>
    <w:rsid w:val="00D00BB1"/>
    <w:rsid w:val="00D01897"/>
    <w:rsid w:val="00D018DC"/>
    <w:rsid w:val="00D02B0B"/>
    <w:rsid w:val="00D03460"/>
    <w:rsid w:val="00D03615"/>
    <w:rsid w:val="00D03CCB"/>
    <w:rsid w:val="00D06C40"/>
    <w:rsid w:val="00D1097E"/>
    <w:rsid w:val="00D1375B"/>
    <w:rsid w:val="00D147E3"/>
    <w:rsid w:val="00D1504E"/>
    <w:rsid w:val="00D15E7C"/>
    <w:rsid w:val="00D216EC"/>
    <w:rsid w:val="00D23DAB"/>
    <w:rsid w:val="00D24E80"/>
    <w:rsid w:val="00D251BB"/>
    <w:rsid w:val="00D2578C"/>
    <w:rsid w:val="00D25A1A"/>
    <w:rsid w:val="00D271FA"/>
    <w:rsid w:val="00D2775B"/>
    <w:rsid w:val="00D303EA"/>
    <w:rsid w:val="00D31246"/>
    <w:rsid w:val="00D33BB6"/>
    <w:rsid w:val="00D35DF8"/>
    <w:rsid w:val="00D362E2"/>
    <w:rsid w:val="00D37730"/>
    <w:rsid w:val="00D37DDA"/>
    <w:rsid w:val="00D40313"/>
    <w:rsid w:val="00D404BB"/>
    <w:rsid w:val="00D41B09"/>
    <w:rsid w:val="00D42487"/>
    <w:rsid w:val="00D42842"/>
    <w:rsid w:val="00D438FE"/>
    <w:rsid w:val="00D459AF"/>
    <w:rsid w:val="00D500F7"/>
    <w:rsid w:val="00D50462"/>
    <w:rsid w:val="00D529B7"/>
    <w:rsid w:val="00D538AC"/>
    <w:rsid w:val="00D56236"/>
    <w:rsid w:val="00D56924"/>
    <w:rsid w:val="00D57B97"/>
    <w:rsid w:val="00D60AB6"/>
    <w:rsid w:val="00D61283"/>
    <w:rsid w:val="00D63866"/>
    <w:rsid w:val="00D65D71"/>
    <w:rsid w:val="00D665C7"/>
    <w:rsid w:val="00D668CF"/>
    <w:rsid w:val="00D67524"/>
    <w:rsid w:val="00D70F1E"/>
    <w:rsid w:val="00D72CFA"/>
    <w:rsid w:val="00D7381F"/>
    <w:rsid w:val="00D73B08"/>
    <w:rsid w:val="00D7444E"/>
    <w:rsid w:val="00D8057A"/>
    <w:rsid w:val="00D80EAD"/>
    <w:rsid w:val="00D81E95"/>
    <w:rsid w:val="00D82689"/>
    <w:rsid w:val="00D82CCB"/>
    <w:rsid w:val="00D8432E"/>
    <w:rsid w:val="00D84638"/>
    <w:rsid w:val="00D85CA3"/>
    <w:rsid w:val="00D85E81"/>
    <w:rsid w:val="00D87BE1"/>
    <w:rsid w:val="00D90B52"/>
    <w:rsid w:val="00D9264D"/>
    <w:rsid w:val="00D93DCA"/>
    <w:rsid w:val="00D9544D"/>
    <w:rsid w:val="00D95916"/>
    <w:rsid w:val="00D96827"/>
    <w:rsid w:val="00D97F5B"/>
    <w:rsid w:val="00DA1B46"/>
    <w:rsid w:val="00DA687A"/>
    <w:rsid w:val="00DA7463"/>
    <w:rsid w:val="00DB0B49"/>
    <w:rsid w:val="00DB0F56"/>
    <w:rsid w:val="00DB158B"/>
    <w:rsid w:val="00DB48C4"/>
    <w:rsid w:val="00DB5120"/>
    <w:rsid w:val="00DC51A6"/>
    <w:rsid w:val="00DC5D85"/>
    <w:rsid w:val="00DC652D"/>
    <w:rsid w:val="00DC6599"/>
    <w:rsid w:val="00DC65E4"/>
    <w:rsid w:val="00DC6EC0"/>
    <w:rsid w:val="00DD08A1"/>
    <w:rsid w:val="00DD12C3"/>
    <w:rsid w:val="00DD1A0C"/>
    <w:rsid w:val="00DD1F6B"/>
    <w:rsid w:val="00DD2F02"/>
    <w:rsid w:val="00DD5F49"/>
    <w:rsid w:val="00DE0CEE"/>
    <w:rsid w:val="00DE247E"/>
    <w:rsid w:val="00DE2CC4"/>
    <w:rsid w:val="00DE45A9"/>
    <w:rsid w:val="00DE4DB2"/>
    <w:rsid w:val="00DE6D5D"/>
    <w:rsid w:val="00DE7BD4"/>
    <w:rsid w:val="00DF0AAF"/>
    <w:rsid w:val="00DF16B1"/>
    <w:rsid w:val="00DF1F69"/>
    <w:rsid w:val="00DF37D4"/>
    <w:rsid w:val="00DF468E"/>
    <w:rsid w:val="00DF53BD"/>
    <w:rsid w:val="00DF5EA4"/>
    <w:rsid w:val="00DF6E25"/>
    <w:rsid w:val="00E00F25"/>
    <w:rsid w:val="00E023B3"/>
    <w:rsid w:val="00E03626"/>
    <w:rsid w:val="00E03813"/>
    <w:rsid w:val="00E03A34"/>
    <w:rsid w:val="00E05465"/>
    <w:rsid w:val="00E05B80"/>
    <w:rsid w:val="00E07A61"/>
    <w:rsid w:val="00E07CB0"/>
    <w:rsid w:val="00E13E78"/>
    <w:rsid w:val="00E16C3E"/>
    <w:rsid w:val="00E1735F"/>
    <w:rsid w:val="00E248AB"/>
    <w:rsid w:val="00E262FC"/>
    <w:rsid w:val="00E26C67"/>
    <w:rsid w:val="00E30719"/>
    <w:rsid w:val="00E30B3D"/>
    <w:rsid w:val="00E344B8"/>
    <w:rsid w:val="00E35DC4"/>
    <w:rsid w:val="00E37542"/>
    <w:rsid w:val="00E37A65"/>
    <w:rsid w:val="00E37B76"/>
    <w:rsid w:val="00E40645"/>
    <w:rsid w:val="00E408EC"/>
    <w:rsid w:val="00E410FD"/>
    <w:rsid w:val="00E442DA"/>
    <w:rsid w:val="00E4588A"/>
    <w:rsid w:val="00E515D9"/>
    <w:rsid w:val="00E521E3"/>
    <w:rsid w:val="00E54B4F"/>
    <w:rsid w:val="00E56004"/>
    <w:rsid w:val="00E56CF2"/>
    <w:rsid w:val="00E578B9"/>
    <w:rsid w:val="00E6023C"/>
    <w:rsid w:val="00E61C9D"/>
    <w:rsid w:val="00E66D28"/>
    <w:rsid w:val="00E71CDE"/>
    <w:rsid w:val="00E71DB0"/>
    <w:rsid w:val="00E73280"/>
    <w:rsid w:val="00E74662"/>
    <w:rsid w:val="00E74F37"/>
    <w:rsid w:val="00E7518B"/>
    <w:rsid w:val="00E76634"/>
    <w:rsid w:val="00E80EA6"/>
    <w:rsid w:val="00E830B6"/>
    <w:rsid w:val="00E83EB7"/>
    <w:rsid w:val="00E85D4B"/>
    <w:rsid w:val="00E85F17"/>
    <w:rsid w:val="00E85F85"/>
    <w:rsid w:val="00E8645F"/>
    <w:rsid w:val="00E937CA"/>
    <w:rsid w:val="00E94A75"/>
    <w:rsid w:val="00E95107"/>
    <w:rsid w:val="00E95989"/>
    <w:rsid w:val="00E96F7A"/>
    <w:rsid w:val="00E9738E"/>
    <w:rsid w:val="00E97419"/>
    <w:rsid w:val="00EA0254"/>
    <w:rsid w:val="00EA0B55"/>
    <w:rsid w:val="00EA0D9F"/>
    <w:rsid w:val="00EA3445"/>
    <w:rsid w:val="00EA6CFF"/>
    <w:rsid w:val="00EB091F"/>
    <w:rsid w:val="00EB0F87"/>
    <w:rsid w:val="00EB2242"/>
    <w:rsid w:val="00EB2584"/>
    <w:rsid w:val="00EB3DD5"/>
    <w:rsid w:val="00EB5230"/>
    <w:rsid w:val="00EB55F6"/>
    <w:rsid w:val="00EB65A0"/>
    <w:rsid w:val="00EB687C"/>
    <w:rsid w:val="00EB78B2"/>
    <w:rsid w:val="00EC06A7"/>
    <w:rsid w:val="00EC2AFA"/>
    <w:rsid w:val="00EC2C54"/>
    <w:rsid w:val="00EC5DED"/>
    <w:rsid w:val="00EC6433"/>
    <w:rsid w:val="00EC700D"/>
    <w:rsid w:val="00ED14AB"/>
    <w:rsid w:val="00ED1DDD"/>
    <w:rsid w:val="00ED5B45"/>
    <w:rsid w:val="00ED5F3C"/>
    <w:rsid w:val="00ED6D6F"/>
    <w:rsid w:val="00ED7AA2"/>
    <w:rsid w:val="00ED7D1D"/>
    <w:rsid w:val="00EE037A"/>
    <w:rsid w:val="00EE16B6"/>
    <w:rsid w:val="00EE52E6"/>
    <w:rsid w:val="00EE5573"/>
    <w:rsid w:val="00EE7480"/>
    <w:rsid w:val="00EE7DD4"/>
    <w:rsid w:val="00EF06FD"/>
    <w:rsid w:val="00EF1222"/>
    <w:rsid w:val="00EF12A8"/>
    <w:rsid w:val="00EF35FD"/>
    <w:rsid w:val="00EF41D5"/>
    <w:rsid w:val="00EF420E"/>
    <w:rsid w:val="00EF4F9E"/>
    <w:rsid w:val="00EF5BAC"/>
    <w:rsid w:val="00EF6887"/>
    <w:rsid w:val="00EF6F0C"/>
    <w:rsid w:val="00EF7930"/>
    <w:rsid w:val="00EF7996"/>
    <w:rsid w:val="00F00506"/>
    <w:rsid w:val="00F02594"/>
    <w:rsid w:val="00F030AB"/>
    <w:rsid w:val="00F0336F"/>
    <w:rsid w:val="00F03843"/>
    <w:rsid w:val="00F05A17"/>
    <w:rsid w:val="00F07333"/>
    <w:rsid w:val="00F102DF"/>
    <w:rsid w:val="00F10907"/>
    <w:rsid w:val="00F14858"/>
    <w:rsid w:val="00F1487A"/>
    <w:rsid w:val="00F16A34"/>
    <w:rsid w:val="00F17E64"/>
    <w:rsid w:val="00F20F9A"/>
    <w:rsid w:val="00F252A6"/>
    <w:rsid w:val="00F2619C"/>
    <w:rsid w:val="00F26479"/>
    <w:rsid w:val="00F27E17"/>
    <w:rsid w:val="00F3047C"/>
    <w:rsid w:val="00F30B59"/>
    <w:rsid w:val="00F31AC0"/>
    <w:rsid w:val="00F325C2"/>
    <w:rsid w:val="00F32DFC"/>
    <w:rsid w:val="00F34DAA"/>
    <w:rsid w:val="00F35D06"/>
    <w:rsid w:val="00F36461"/>
    <w:rsid w:val="00F367C8"/>
    <w:rsid w:val="00F37F62"/>
    <w:rsid w:val="00F4427C"/>
    <w:rsid w:val="00F4439A"/>
    <w:rsid w:val="00F44454"/>
    <w:rsid w:val="00F4512C"/>
    <w:rsid w:val="00F47AE3"/>
    <w:rsid w:val="00F53A9A"/>
    <w:rsid w:val="00F55F82"/>
    <w:rsid w:val="00F56ACD"/>
    <w:rsid w:val="00F57856"/>
    <w:rsid w:val="00F64ED9"/>
    <w:rsid w:val="00F666DF"/>
    <w:rsid w:val="00F67486"/>
    <w:rsid w:val="00F67D6E"/>
    <w:rsid w:val="00F70B39"/>
    <w:rsid w:val="00F71090"/>
    <w:rsid w:val="00F71436"/>
    <w:rsid w:val="00F7180F"/>
    <w:rsid w:val="00F73EC9"/>
    <w:rsid w:val="00F7406C"/>
    <w:rsid w:val="00F749C0"/>
    <w:rsid w:val="00F757C8"/>
    <w:rsid w:val="00F76BFB"/>
    <w:rsid w:val="00F76C22"/>
    <w:rsid w:val="00F8098A"/>
    <w:rsid w:val="00F81399"/>
    <w:rsid w:val="00F82985"/>
    <w:rsid w:val="00F82ADE"/>
    <w:rsid w:val="00F833C0"/>
    <w:rsid w:val="00F83AFD"/>
    <w:rsid w:val="00F84F35"/>
    <w:rsid w:val="00F85D78"/>
    <w:rsid w:val="00F868FE"/>
    <w:rsid w:val="00F87D11"/>
    <w:rsid w:val="00F87D5C"/>
    <w:rsid w:val="00F90155"/>
    <w:rsid w:val="00F90AD1"/>
    <w:rsid w:val="00F9143D"/>
    <w:rsid w:val="00F94D59"/>
    <w:rsid w:val="00F97981"/>
    <w:rsid w:val="00FA010E"/>
    <w:rsid w:val="00FA1BD6"/>
    <w:rsid w:val="00FA235C"/>
    <w:rsid w:val="00FA2D88"/>
    <w:rsid w:val="00FA47D5"/>
    <w:rsid w:val="00FA4FDB"/>
    <w:rsid w:val="00FA5F62"/>
    <w:rsid w:val="00FA78BA"/>
    <w:rsid w:val="00FB101F"/>
    <w:rsid w:val="00FB1598"/>
    <w:rsid w:val="00FB2607"/>
    <w:rsid w:val="00FB377C"/>
    <w:rsid w:val="00FB3834"/>
    <w:rsid w:val="00FB4309"/>
    <w:rsid w:val="00FB4D85"/>
    <w:rsid w:val="00FB619C"/>
    <w:rsid w:val="00FC04BE"/>
    <w:rsid w:val="00FC4512"/>
    <w:rsid w:val="00FC5CBC"/>
    <w:rsid w:val="00FD273F"/>
    <w:rsid w:val="00FD5005"/>
    <w:rsid w:val="00FD6B8F"/>
    <w:rsid w:val="00FE0980"/>
    <w:rsid w:val="00FE0BB1"/>
    <w:rsid w:val="00FE1A11"/>
    <w:rsid w:val="00FE2156"/>
    <w:rsid w:val="00FE2AC2"/>
    <w:rsid w:val="00FE2E9B"/>
    <w:rsid w:val="00FE3F6C"/>
    <w:rsid w:val="00FE3FC3"/>
    <w:rsid w:val="00FE5263"/>
    <w:rsid w:val="00FE6451"/>
    <w:rsid w:val="00FF02F9"/>
    <w:rsid w:val="00FF04A0"/>
    <w:rsid w:val="00FF4605"/>
    <w:rsid w:val="00FF482C"/>
    <w:rsid w:val="00FF5111"/>
    <w:rsid w:val="00FF6308"/>
    <w:rsid w:val="00FF72B6"/>
    <w:rsid w:val="00FF7EEA"/>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s-CR" w:eastAsia="en-US"/>
    </w:rPr>
  </w:style>
  <w:style w:type="paragraph" w:styleId="Ttulo1">
    <w:name w:val="heading 1"/>
    <w:basedOn w:val="Normal"/>
    <w:next w:val="Normal"/>
    <w:link w:val="Ttulo1Car"/>
    <w:uiPriority w:val="9"/>
    <w:qFormat/>
    <w:rsid w:val="00D82689"/>
    <w:pPr>
      <w:keepNext/>
      <w:keepLines/>
      <w:spacing w:before="480" w:after="0"/>
      <w:outlineLvl w:val="0"/>
    </w:pPr>
    <w:rPr>
      <w:rFonts w:ascii="Cambria" w:eastAsia="MS Gothic" w:hAnsi="Cambria"/>
      <w:b/>
      <w:bCs/>
      <w:color w:val="365F91"/>
      <w:sz w:val="28"/>
      <w:szCs w:val="2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FA Fu?notente,C,ft"/>
    <w:basedOn w:val="Normal"/>
    <w:link w:val="TextonotapieCar"/>
    <w:unhideWhenUsed/>
    <w:qFormat/>
    <w:rsid w:val="005A1B3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C Car"/>
    <w:link w:val="Textonotapie"/>
    <w:rsid w:val="005A1B3D"/>
    <w:rPr>
      <w:sz w:val="20"/>
      <w:szCs w:val="20"/>
    </w:rPr>
  </w:style>
  <w:style w:type="character" w:styleId="Refdenotaalpie">
    <w:name w:val="footnote reference"/>
    <w:aliases w:val="Texto de nota al pie,Footnotes refss,Appel note de bas de page,Footnote number,referencia nota al pie,BVI fnr,f,4_G,16 Point,Superscript 6 Point,Texto nota al pie,Footnote Reference Char3,Footnote Reference Char1 Char,Ref. de nota al"/>
    <w:uiPriority w:val="99"/>
    <w:unhideWhenUsed/>
    <w:qFormat/>
    <w:rsid w:val="005A1B3D"/>
    <w:rPr>
      <w:vertAlign w:val="superscript"/>
    </w:rPr>
  </w:style>
  <w:style w:type="character" w:styleId="Hipervnculo">
    <w:name w:val="Hyperlink"/>
    <w:uiPriority w:val="99"/>
    <w:unhideWhenUsed/>
    <w:rsid w:val="00D665C7"/>
    <w:rPr>
      <w:color w:val="0000FF"/>
      <w:u w:val="single"/>
    </w:rPr>
  </w:style>
  <w:style w:type="paragraph" w:styleId="Listamedia2-nfasis4">
    <w:name w:val="Medium List 2 Accent 4"/>
    <w:aliases w:val="Footnote,Párrafo de lista1"/>
    <w:basedOn w:val="Normal"/>
    <w:link w:val="Listamedia2-nfasis4Car"/>
    <w:uiPriority w:val="99"/>
    <w:qFormat/>
    <w:rsid w:val="00D665C7"/>
    <w:pPr>
      <w:ind w:left="720"/>
      <w:contextualSpacing/>
    </w:pPr>
  </w:style>
  <w:style w:type="character" w:customStyle="1" w:styleId="Listamedia2-nfasis4Car">
    <w:name w:val="Lista media 2 - Énfasis 4 Car"/>
    <w:aliases w:val="Footnote Car,Párrafo de lista1 Car"/>
    <w:link w:val="Listamedia2-nfasis4"/>
    <w:uiPriority w:val="34"/>
    <w:locked/>
    <w:rsid w:val="008F5FD0"/>
  </w:style>
  <w:style w:type="table" w:styleId="Tablaconcuadrcula">
    <w:name w:val="Table Grid"/>
    <w:basedOn w:val="Tablanormal"/>
    <w:uiPriority w:val="59"/>
    <w:rsid w:val="00F35D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Fuentedeprrafopredeter"/>
    <w:rsid w:val="00F0336F"/>
  </w:style>
  <w:style w:type="character" w:customStyle="1" w:styleId="apple-converted-space">
    <w:name w:val="apple-converted-space"/>
    <w:basedOn w:val="Fuentedeprrafopredeter"/>
    <w:rsid w:val="001C0DED"/>
  </w:style>
  <w:style w:type="paragraph" w:styleId="Encabezado">
    <w:name w:val="header"/>
    <w:basedOn w:val="Normal"/>
    <w:link w:val="EncabezadoCar"/>
    <w:uiPriority w:val="99"/>
    <w:unhideWhenUsed/>
    <w:rsid w:val="00F56ACD"/>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56ACD"/>
  </w:style>
  <w:style w:type="paragraph" w:styleId="Piedepgina">
    <w:name w:val="footer"/>
    <w:basedOn w:val="Normal"/>
    <w:link w:val="PiedepginaCar"/>
    <w:uiPriority w:val="99"/>
    <w:unhideWhenUsed/>
    <w:rsid w:val="00F56A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56ACD"/>
  </w:style>
  <w:style w:type="paragraph" w:styleId="Textodeglobo">
    <w:name w:val="Balloon Text"/>
    <w:basedOn w:val="Normal"/>
    <w:link w:val="TextodegloboCar"/>
    <w:uiPriority w:val="99"/>
    <w:semiHidden/>
    <w:unhideWhenUsed/>
    <w:rsid w:val="00F56AC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F56ACD"/>
    <w:rPr>
      <w:rFonts w:ascii="Tahoma" w:hAnsi="Tahoma" w:cs="Tahoma"/>
      <w:sz w:val="16"/>
      <w:szCs w:val="16"/>
    </w:rPr>
  </w:style>
  <w:style w:type="character" w:styleId="Textoennegrita">
    <w:name w:val="Strong"/>
    <w:uiPriority w:val="22"/>
    <w:qFormat/>
    <w:rsid w:val="005A2E32"/>
    <w:rPr>
      <w:b/>
      <w:bCs/>
    </w:rPr>
  </w:style>
  <w:style w:type="paragraph" w:styleId="Textoindependiente">
    <w:name w:val="Body Text"/>
    <w:basedOn w:val="Normal"/>
    <w:link w:val="TextoindependienteCar"/>
    <w:uiPriority w:val="99"/>
    <w:unhideWhenUsed/>
    <w:rsid w:val="009F78E3"/>
    <w:pPr>
      <w:spacing w:after="120"/>
    </w:pPr>
  </w:style>
  <w:style w:type="character" w:customStyle="1" w:styleId="TextoindependienteCar">
    <w:name w:val="Texto independiente Car"/>
    <w:link w:val="Textoindependiente"/>
    <w:uiPriority w:val="99"/>
    <w:rsid w:val="009F78E3"/>
    <w:rPr>
      <w:rFonts w:ascii="Calibri" w:eastAsia="Calibri" w:hAnsi="Calibri" w:cs="Times New Roman"/>
    </w:rPr>
  </w:style>
  <w:style w:type="character" w:styleId="Refdecomentario">
    <w:name w:val="annotation reference"/>
    <w:uiPriority w:val="99"/>
    <w:semiHidden/>
    <w:unhideWhenUsed/>
    <w:rsid w:val="005B4A61"/>
    <w:rPr>
      <w:sz w:val="16"/>
      <w:szCs w:val="16"/>
    </w:rPr>
  </w:style>
  <w:style w:type="paragraph" w:styleId="Textocomentario">
    <w:name w:val="annotation text"/>
    <w:basedOn w:val="Normal"/>
    <w:link w:val="TextocomentarioCar"/>
    <w:uiPriority w:val="99"/>
    <w:unhideWhenUsed/>
    <w:rsid w:val="005B4A61"/>
    <w:pPr>
      <w:spacing w:line="240" w:lineRule="auto"/>
    </w:pPr>
    <w:rPr>
      <w:sz w:val="20"/>
      <w:szCs w:val="20"/>
    </w:rPr>
  </w:style>
  <w:style w:type="character" w:customStyle="1" w:styleId="TextocomentarioCar">
    <w:name w:val="Texto comentario Car"/>
    <w:link w:val="Textocomentario"/>
    <w:uiPriority w:val="99"/>
    <w:rsid w:val="005B4A61"/>
    <w:rPr>
      <w:sz w:val="20"/>
      <w:szCs w:val="20"/>
    </w:rPr>
  </w:style>
  <w:style w:type="paragraph" w:styleId="Asuntodelcomentario">
    <w:name w:val="annotation subject"/>
    <w:basedOn w:val="Textocomentario"/>
    <w:next w:val="Textocomentario"/>
    <w:link w:val="AsuntodelcomentarioCar"/>
    <w:uiPriority w:val="99"/>
    <w:semiHidden/>
    <w:unhideWhenUsed/>
    <w:rsid w:val="005B4A61"/>
    <w:rPr>
      <w:b/>
      <w:bCs/>
    </w:rPr>
  </w:style>
  <w:style w:type="character" w:customStyle="1" w:styleId="AsuntodelcomentarioCar">
    <w:name w:val="Asunto del comentario Car"/>
    <w:link w:val="Asuntodelcomentario"/>
    <w:uiPriority w:val="99"/>
    <w:semiHidden/>
    <w:rsid w:val="005B4A61"/>
    <w:rPr>
      <w:b/>
      <w:bCs/>
      <w:sz w:val="20"/>
      <w:szCs w:val="20"/>
    </w:rPr>
  </w:style>
  <w:style w:type="character" w:styleId="Nmerodelnea">
    <w:name w:val="line number"/>
    <w:basedOn w:val="Fuentedeprrafopredeter"/>
    <w:uiPriority w:val="99"/>
    <w:semiHidden/>
    <w:unhideWhenUsed/>
    <w:rsid w:val="00AE338B"/>
  </w:style>
  <w:style w:type="paragraph" w:styleId="Listamedia1-nfasis4">
    <w:name w:val="Medium List 1 Accent 4"/>
    <w:hidden/>
    <w:uiPriority w:val="99"/>
    <w:semiHidden/>
    <w:rsid w:val="00790114"/>
    <w:rPr>
      <w:sz w:val="22"/>
      <w:szCs w:val="22"/>
      <w:lang w:val="en-US" w:eastAsia="en-US"/>
    </w:rPr>
  </w:style>
  <w:style w:type="paragraph" w:styleId="TDC1">
    <w:name w:val="toc 1"/>
    <w:basedOn w:val="Normal"/>
    <w:next w:val="Normal"/>
    <w:autoRedefine/>
    <w:uiPriority w:val="39"/>
    <w:unhideWhenUsed/>
    <w:qFormat/>
    <w:rsid w:val="00202E30"/>
    <w:pPr>
      <w:tabs>
        <w:tab w:val="left" w:pos="709"/>
        <w:tab w:val="left" w:pos="8505"/>
      </w:tabs>
      <w:spacing w:after="100"/>
      <w:ind w:left="284" w:right="996"/>
      <w:jc w:val="both"/>
    </w:pPr>
  </w:style>
  <w:style w:type="character" w:customStyle="1" w:styleId="Ttulo1Car">
    <w:name w:val="Título 1 Car"/>
    <w:link w:val="Ttulo1"/>
    <w:uiPriority w:val="9"/>
    <w:rsid w:val="00D82689"/>
    <w:rPr>
      <w:rFonts w:ascii="Cambria" w:eastAsia="MS Gothic" w:hAnsi="Cambria" w:cs="Times New Roman"/>
      <w:b/>
      <w:bCs/>
      <w:color w:val="365F91"/>
      <w:sz w:val="28"/>
      <w:szCs w:val="28"/>
    </w:rPr>
  </w:style>
  <w:style w:type="paragraph" w:customStyle="1" w:styleId="TOCHeading1">
    <w:name w:val="TOC Heading1"/>
    <w:basedOn w:val="Ttulo1"/>
    <w:next w:val="Normal"/>
    <w:uiPriority w:val="39"/>
    <w:semiHidden/>
    <w:unhideWhenUsed/>
    <w:qFormat/>
    <w:rsid w:val="00D82689"/>
    <w:pPr>
      <w:outlineLvl w:val="9"/>
    </w:pPr>
    <w:rPr>
      <w:lang w:eastAsia="es-CR"/>
    </w:rPr>
  </w:style>
  <w:style w:type="paragraph" w:styleId="TDC2">
    <w:name w:val="toc 2"/>
    <w:basedOn w:val="Normal"/>
    <w:next w:val="Normal"/>
    <w:autoRedefine/>
    <w:uiPriority w:val="39"/>
    <w:semiHidden/>
    <w:unhideWhenUsed/>
    <w:qFormat/>
    <w:rsid w:val="00D82689"/>
    <w:pPr>
      <w:spacing w:after="100"/>
      <w:ind w:left="220"/>
    </w:pPr>
    <w:rPr>
      <w:rFonts w:eastAsia="MS Mincho"/>
      <w:lang w:eastAsia="es-CR"/>
    </w:rPr>
  </w:style>
  <w:style w:type="paragraph" w:styleId="TDC3">
    <w:name w:val="toc 3"/>
    <w:basedOn w:val="Normal"/>
    <w:next w:val="Normal"/>
    <w:autoRedefine/>
    <w:uiPriority w:val="39"/>
    <w:semiHidden/>
    <w:unhideWhenUsed/>
    <w:qFormat/>
    <w:rsid w:val="00D82689"/>
    <w:pPr>
      <w:spacing w:after="100"/>
      <w:ind w:left="440"/>
    </w:pPr>
    <w:rPr>
      <w:rFonts w:eastAsia="MS Mincho"/>
      <w:lang w:eastAsia="es-CR"/>
    </w:rPr>
  </w:style>
  <w:style w:type="character" w:styleId="Hipervnculovisitado">
    <w:name w:val="FollowedHyperlink"/>
    <w:uiPriority w:val="99"/>
    <w:semiHidden/>
    <w:unhideWhenUsed/>
    <w:rsid w:val="00334EF7"/>
    <w:rPr>
      <w:color w:val="800080"/>
      <w:u w:val="single"/>
    </w:rPr>
  </w:style>
  <w:style w:type="paragraph" w:customStyle="1" w:styleId="Default">
    <w:name w:val="Default"/>
    <w:rsid w:val="00685C67"/>
    <w:pPr>
      <w:autoSpaceDE w:val="0"/>
      <w:autoSpaceDN w:val="0"/>
      <w:adjustRightInd w:val="0"/>
    </w:pPr>
    <w:rPr>
      <w:rFonts w:ascii="Verdana" w:hAnsi="Verdana" w:cs="Verdana"/>
      <w:color w:val="000000"/>
      <w:sz w:val="24"/>
      <w:szCs w:val="24"/>
      <w:lang w:val="en-US" w:eastAsia="en-US"/>
    </w:rPr>
  </w:style>
  <w:style w:type="paragraph" w:styleId="Sombreadovistoso-nfasis3">
    <w:name w:val="Colorful Shading Accent 3"/>
    <w:aliases w:val="List Paragraph1,Colorful List - Accent 11"/>
    <w:basedOn w:val="Normal"/>
    <w:uiPriority w:val="34"/>
    <w:qFormat/>
    <w:rsid w:val="00745A06"/>
    <w:pPr>
      <w:ind w:left="708"/>
    </w:pPr>
  </w:style>
  <w:style w:type="paragraph" w:customStyle="1" w:styleId="Prrafodelista2">
    <w:name w:val="Párrafo de lista2"/>
    <w:basedOn w:val="Normal"/>
    <w:uiPriority w:val="99"/>
    <w:rsid w:val="00745A06"/>
    <w:pPr>
      <w:spacing w:after="0" w:line="240" w:lineRule="auto"/>
      <w:ind w:left="720"/>
    </w:pPr>
    <w:rPr>
      <w:rFonts w:ascii="Verdana" w:eastAsia="MS Mincho" w:hAnsi="Verdana" w:cs="Verdana"/>
      <w:sz w:val="20"/>
      <w:szCs w:val="20"/>
      <w:lang w:val="es-ES_tradnl"/>
    </w:rPr>
  </w:style>
  <w:style w:type="character" w:customStyle="1" w:styleId="FootnoteTextChar1">
    <w:name w:val="Footnote Text Char1"/>
    <w:aliases w:val="Footnote Text Char Char Char Char Char Char1,Footnote Text Char Char Char Char Char2,Footnote reference Char1,FA Fu Char1,Footnote Text Char Char Char Char2,Footnote Text Cha Char1,FA Fußnotentext Char1,FA Fuﬂnotentext Char1,Ca Char1"/>
    <w:uiPriority w:val="99"/>
    <w:semiHidden/>
    <w:locked/>
    <w:rsid w:val="00A76931"/>
    <w:rPr>
      <w:rFonts w:ascii="Verdana" w:eastAsia="Times" w:hAnsi="Verdana"/>
      <w:sz w:val="16"/>
      <w:lang w:val="en-US"/>
    </w:rPr>
  </w:style>
  <w:style w:type="paragraph" w:styleId="Textonotaalfinal">
    <w:name w:val="endnote text"/>
    <w:basedOn w:val="Normal"/>
    <w:link w:val="TextonotaalfinalCar"/>
    <w:uiPriority w:val="99"/>
    <w:unhideWhenUsed/>
    <w:rsid w:val="00752392"/>
    <w:rPr>
      <w:sz w:val="24"/>
      <w:szCs w:val="24"/>
    </w:rPr>
  </w:style>
  <w:style w:type="character" w:customStyle="1" w:styleId="TextonotaalfinalCar">
    <w:name w:val="Texto nota al final Car"/>
    <w:link w:val="Textonotaalfinal"/>
    <w:uiPriority w:val="99"/>
    <w:rsid w:val="00752392"/>
    <w:rPr>
      <w:sz w:val="24"/>
      <w:szCs w:val="24"/>
      <w:lang w:val="es-CR"/>
    </w:rPr>
  </w:style>
  <w:style w:type="character" w:styleId="Refdenotaalfinal">
    <w:name w:val="endnote reference"/>
    <w:uiPriority w:val="99"/>
    <w:unhideWhenUsed/>
    <w:rsid w:val="00752392"/>
    <w:rPr>
      <w:vertAlign w:val="superscript"/>
    </w:rPr>
  </w:style>
  <w:style w:type="paragraph" w:styleId="Listaoscura-nfasis3">
    <w:name w:val="Dark List Accent 3"/>
    <w:hidden/>
    <w:uiPriority w:val="71"/>
    <w:rsid w:val="00C55C19"/>
    <w:rPr>
      <w:sz w:val="22"/>
      <w:szCs w:val="22"/>
      <w:lang w:val="es-CR" w:eastAsia="en-US"/>
    </w:rPr>
  </w:style>
  <w:style w:type="paragraph" w:styleId="Cuadrculaclara-nfasis3">
    <w:name w:val="Light Grid Accent 3"/>
    <w:basedOn w:val="Normal"/>
    <w:uiPriority w:val="34"/>
    <w:qFormat/>
    <w:rsid w:val="00F90155"/>
    <w:pPr>
      <w:ind w:left="708"/>
    </w:pPr>
  </w:style>
  <w:style w:type="paragraph" w:styleId="Listaclara-nfasis3">
    <w:name w:val="Light List Accent 3"/>
    <w:hidden/>
    <w:uiPriority w:val="71"/>
    <w:rsid w:val="006E511A"/>
    <w:rPr>
      <w:sz w:val="22"/>
      <w:szCs w:val="22"/>
      <w:lang w:val="es-CR" w:eastAsia="en-US"/>
    </w:rPr>
  </w:style>
  <w:style w:type="paragraph" w:styleId="Listamedia2-nfasis2">
    <w:name w:val="Medium List 2 Accent 2"/>
    <w:hidden/>
    <w:uiPriority w:val="99"/>
    <w:semiHidden/>
    <w:rsid w:val="00564B1E"/>
    <w:rPr>
      <w:sz w:val="22"/>
      <w:szCs w:val="22"/>
      <w:lang w:val="es-CR" w:eastAsia="en-US"/>
    </w:rPr>
  </w:style>
  <w:style w:type="paragraph" w:styleId="NormalWeb">
    <w:name w:val="Normal (Web)"/>
    <w:basedOn w:val="Normal"/>
    <w:uiPriority w:val="99"/>
    <w:semiHidden/>
    <w:unhideWhenUsed/>
    <w:rsid w:val="00BA6DB4"/>
    <w:pPr>
      <w:spacing w:before="100" w:beforeAutospacing="1" w:after="100" w:afterAutospacing="1" w:line="240" w:lineRule="auto"/>
    </w:pPr>
    <w:rPr>
      <w:rFonts w:ascii="Times" w:hAnsi="Time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15190">
      <w:bodyDiv w:val="1"/>
      <w:marLeft w:val="0"/>
      <w:marRight w:val="0"/>
      <w:marTop w:val="0"/>
      <w:marBottom w:val="0"/>
      <w:divBdr>
        <w:top w:val="none" w:sz="0" w:space="0" w:color="auto"/>
        <w:left w:val="none" w:sz="0" w:space="0" w:color="auto"/>
        <w:bottom w:val="none" w:sz="0" w:space="0" w:color="auto"/>
        <w:right w:val="none" w:sz="0" w:space="0" w:color="auto"/>
      </w:divBdr>
    </w:div>
    <w:div w:id="100881424">
      <w:bodyDiv w:val="1"/>
      <w:marLeft w:val="0"/>
      <w:marRight w:val="0"/>
      <w:marTop w:val="0"/>
      <w:marBottom w:val="0"/>
      <w:divBdr>
        <w:top w:val="none" w:sz="0" w:space="0" w:color="auto"/>
        <w:left w:val="none" w:sz="0" w:space="0" w:color="auto"/>
        <w:bottom w:val="none" w:sz="0" w:space="0" w:color="auto"/>
        <w:right w:val="none" w:sz="0" w:space="0" w:color="auto"/>
      </w:divBdr>
    </w:div>
    <w:div w:id="138964624">
      <w:bodyDiv w:val="1"/>
      <w:marLeft w:val="0"/>
      <w:marRight w:val="0"/>
      <w:marTop w:val="0"/>
      <w:marBottom w:val="0"/>
      <w:divBdr>
        <w:top w:val="none" w:sz="0" w:space="0" w:color="auto"/>
        <w:left w:val="none" w:sz="0" w:space="0" w:color="auto"/>
        <w:bottom w:val="none" w:sz="0" w:space="0" w:color="auto"/>
        <w:right w:val="none" w:sz="0" w:space="0" w:color="auto"/>
      </w:divBdr>
      <w:divsChild>
        <w:div w:id="1930232932">
          <w:marLeft w:val="0"/>
          <w:marRight w:val="0"/>
          <w:marTop w:val="0"/>
          <w:marBottom w:val="0"/>
          <w:divBdr>
            <w:top w:val="none" w:sz="0" w:space="0" w:color="auto"/>
            <w:left w:val="none" w:sz="0" w:space="0" w:color="auto"/>
            <w:bottom w:val="none" w:sz="0" w:space="0" w:color="auto"/>
            <w:right w:val="none" w:sz="0" w:space="0" w:color="auto"/>
          </w:divBdr>
          <w:divsChild>
            <w:div w:id="248151102">
              <w:marLeft w:val="0"/>
              <w:marRight w:val="0"/>
              <w:marTop w:val="0"/>
              <w:marBottom w:val="0"/>
              <w:divBdr>
                <w:top w:val="none" w:sz="0" w:space="0" w:color="auto"/>
                <w:left w:val="none" w:sz="0" w:space="0" w:color="auto"/>
                <w:bottom w:val="none" w:sz="0" w:space="0" w:color="auto"/>
                <w:right w:val="none" w:sz="0" w:space="0" w:color="auto"/>
              </w:divBdr>
              <w:divsChild>
                <w:div w:id="37180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266349">
      <w:bodyDiv w:val="1"/>
      <w:marLeft w:val="0"/>
      <w:marRight w:val="0"/>
      <w:marTop w:val="0"/>
      <w:marBottom w:val="0"/>
      <w:divBdr>
        <w:top w:val="none" w:sz="0" w:space="0" w:color="auto"/>
        <w:left w:val="none" w:sz="0" w:space="0" w:color="auto"/>
        <w:bottom w:val="none" w:sz="0" w:space="0" w:color="auto"/>
        <w:right w:val="none" w:sz="0" w:space="0" w:color="auto"/>
      </w:divBdr>
    </w:div>
    <w:div w:id="244799737">
      <w:bodyDiv w:val="1"/>
      <w:marLeft w:val="0"/>
      <w:marRight w:val="0"/>
      <w:marTop w:val="0"/>
      <w:marBottom w:val="0"/>
      <w:divBdr>
        <w:top w:val="none" w:sz="0" w:space="0" w:color="auto"/>
        <w:left w:val="none" w:sz="0" w:space="0" w:color="auto"/>
        <w:bottom w:val="none" w:sz="0" w:space="0" w:color="auto"/>
        <w:right w:val="none" w:sz="0" w:space="0" w:color="auto"/>
      </w:divBdr>
    </w:div>
    <w:div w:id="355347833">
      <w:bodyDiv w:val="1"/>
      <w:marLeft w:val="0"/>
      <w:marRight w:val="0"/>
      <w:marTop w:val="0"/>
      <w:marBottom w:val="0"/>
      <w:divBdr>
        <w:top w:val="none" w:sz="0" w:space="0" w:color="auto"/>
        <w:left w:val="none" w:sz="0" w:space="0" w:color="auto"/>
        <w:bottom w:val="none" w:sz="0" w:space="0" w:color="auto"/>
        <w:right w:val="none" w:sz="0" w:space="0" w:color="auto"/>
      </w:divBdr>
      <w:divsChild>
        <w:div w:id="1806506807">
          <w:marLeft w:val="0"/>
          <w:marRight w:val="0"/>
          <w:marTop w:val="0"/>
          <w:marBottom w:val="0"/>
          <w:divBdr>
            <w:top w:val="none" w:sz="0" w:space="0" w:color="auto"/>
            <w:left w:val="none" w:sz="0" w:space="0" w:color="auto"/>
            <w:bottom w:val="none" w:sz="0" w:space="0" w:color="auto"/>
            <w:right w:val="none" w:sz="0" w:space="0" w:color="auto"/>
          </w:divBdr>
          <w:divsChild>
            <w:div w:id="1754400861">
              <w:marLeft w:val="0"/>
              <w:marRight w:val="0"/>
              <w:marTop w:val="0"/>
              <w:marBottom w:val="0"/>
              <w:divBdr>
                <w:top w:val="none" w:sz="0" w:space="0" w:color="auto"/>
                <w:left w:val="none" w:sz="0" w:space="0" w:color="auto"/>
                <w:bottom w:val="none" w:sz="0" w:space="0" w:color="auto"/>
                <w:right w:val="none" w:sz="0" w:space="0" w:color="auto"/>
              </w:divBdr>
              <w:divsChild>
                <w:div w:id="28863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281715">
      <w:bodyDiv w:val="1"/>
      <w:marLeft w:val="0"/>
      <w:marRight w:val="0"/>
      <w:marTop w:val="0"/>
      <w:marBottom w:val="0"/>
      <w:divBdr>
        <w:top w:val="none" w:sz="0" w:space="0" w:color="auto"/>
        <w:left w:val="none" w:sz="0" w:space="0" w:color="auto"/>
        <w:bottom w:val="none" w:sz="0" w:space="0" w:color="auto"/>
        <w:right w:val="none" w:sz="0" w:space="0" w:color="auto"/>
      </w:divBdr>
    </w:div>
    <w:div w:id="564687189">
      <w:bodyDiv w:val="1"/>
      <w:marLeft w:val="0"/>
      <w:marRight w:val="0"/>
      <w:marTop w:val="0"/>
      <w:marBottom w:val="0"/>
      <w:divBdr>
        <w:top w:val="none" w:sz="0" w:space="0" w:color="auto"/>
        <w:left w:val="none" w:sz="0" w:space="0" w:color="auto"/>
        <w:bottom w:val="none" w:sz="0" w:space="0" w:color="auto"/>
        <w:right w:val="none" w:sz="0" w:space="0" w:color="auto"/>
      </w:divBdr>
    </w:div>
    <w:div w:id="586966052">
      <w:bodyDiv w:val="1"/>
      <w:marLeft w:val="0"/>
      <w:marRight w:val="0"/>
      <w:marTop w:val="0"/>
      <w:marBottom w:val="0"/>
      <w:divBdr>
        <w:top w:val="none" w:sz="0" w:space="0" w:color="auto"/>
        <w:left w:val="none" w:sz="0" w:space="0" w:color="auto"/>
        <w:bottom w:val="none" w:sz="0" w:space="0" w:color="auto"/>
        <w:right w:val="none" w:sz="0" w:space="0" w:color="auto"/>
      </w:divBdr>
    </w:div>
    <w:div w:id="675154332">
      <w:bodyDiv w:val="1"/>
      <w:marLeft w:val="0"/>
      <w:marRight w:val="0"/>
      <w:marTop w:val="0"/>
      <w:marBottom w:val="0"/>
      <w:divBdr>
        <w:top w:val="none" w:sz="0" w:space="0" w:color="auto"/>
        <w:left w:val="none" w:sz="0" w:space="0" w:color="auto"/>
        <w:bottom w:val="none" w:sz="0" w:space="0" w:color="auto"/>
        <w:right w:val="none" w:sz="0" w:space="0" w:color="auto"/>
      </w:divBdr>
    </w:div>
    <w:div w:id="685450939">
      <w:bodyDiv w:val="1"/>
      <w:marLeft w:val="0"/>
      <w:marRight w:val="0"/>
      <w:marTop w:val="0"/>
      <w:marBottom w:val="0"/>
      <w:divBdr>
        <w:top w:val="none" w:sz="0" w:space="0" w:color="auto"/>
        <w:left w:val="none" w:sz="0" w:space="0" w:color="auto"/>
        <w:bottom w:val="none" w:sz="0" w:space="0" w:color="auto"/>
        <w:right w:val="none" w:sz="0" w:space="0" w:color="auto"/>
      </w:divBdr>
    </w:div>
    <w:div w:id="1231620823">
      <w:bodyDiv w:val="1"/>
      <w:marLeft w:val="0"/>
      <w:marRight w:val="0"/>
      <w:marTop w:val="0"/>
      <w:marBottom w:val="0"/>
      <w:divBdr>
        <w:top w:val="none" w:sz="0" w:space="0" w:color="auto"/>
        <w:left w:val="none" w:sz="0" w:space="0" w:color="auto"/>
        <w:bottom w:val="none" w:sz="0" w:space="0" w:color="auto"/>
        <w:right w:val="none" w:sz="0" w:space="0" w:color="auto"/>
      </w:divBdr>
    </w:div>
    <w:div w:id="1332609849">
      <w:bodyDiv w:val="1"/>
      <w:marLeft w:val="0"/>
      <w:marRight w:val="0"/>
      <w:marTop w:val="0"/>
      <w:marBottom w:val="0"/>
      <w:divBdr>
        <w:top w:val="none" w:sz="0" w:space="0" w:color="auto"/>
        <w:left w:val="none" w:sz="0" w:space="0" w:color="auto"/>
        <w:bottom w:val="none" w:sz="0" w:space="0" w:color="auto"/>
        <w:right w:val="none" w:sz="0" w:space="0" w:color="auto"/>
      </w:divBdr>
    </w:div>
    <w:div w:id="1348941403">
      <w:bodyDiv w:val="1"/>
      <w:marLeft w:val="0"/>
      <w:marRight w:val="0"/>
      <w:marTop w:val="0"/>
      <w:marBottom w:val="0"/>
      <w:divBdr>
        <w:top w:val="none" w:sz="0" w:space="0" w:color="auto"/>
        <w:left w:val="none" w:sz="0" w:space="0" w:color="auto"/>
        <w:bottom w:val="none" w:sz="0" w:space="0" w:color="auto"/>
        <w:right w:val="none" w:sz="0" w:space="0" w:color="auto"/>
      </w:divBdr>
    </w:div>
    <w:div w:id="1467972950">
      <w:bodyDiv w:val="1"/>
      <w:marLeft w:val="0"/>
      <w:marRight w:val="0"/>
      <w:marTop w:val="0"/>
      <w:marBottom w:val="0"/>
      <w:divBdr>
        <w:top w:val="none" w:sz="0" w:space="0" w:color="auto"/>
        <w:left w:val="none" w:sz="0" w:space="0" w:color="auto"/>
        <w:bottom w:val="none" w:sz="0" w:space="0" w:color="auto"/>
        <w:right w:val="none" w:sz="0" w:space="0" w:color="auto"/>
      </w:divBdr>
    </w:div>
    <w:div w:id="1579510645">
      <w:bodyDiv w:val="1"/>
      <w:marLeft w:val="0"/>
      <w:marRight w:val="0"/>
      <w:marTop w:val="0"/>
      <w:marBottom w:val="0"/>
      <w:divBdr>
        <w:top w:val="none" w:sz="0" w:space="0" w:color="auto"/>
        <w:left w:val="none" w:sz="0" w:space="0" w:color="auto"/>
        <w:bottom w:val="none" w:sz="0" w:space="0" w:color="auto"/>
        <w:right w:val="none" w:sz="0" w:space="0" w:color="auto"/>
      </w:divBdr>
    </w:div>
    <w:div w:id="1586261030">
      <w:bodyDiv w:val="1"/>
      <w:marLeft w:val="0"/>
      <w:marRight w:val="0"/>
      <w:marTop w:val="0"/>
      <w:marBottom w:val="0"/>
      <w:divBdr>
        <w:top w:val="none" w:sz="0" w:space="0" w:color="auto"/>
        <w:left w:val="none" w:sz="0" w:space="0" w:color="auto"/>
        <w:bottom w:val="none" w:sz="0" w:space="0" w:color="auto"/>
        <w:right w:val="none" w:sz="0" w:space="0" w:color="auto"/>
      </w:divBdr>
    </w:div>
    <w:div w:id="1590191029">
      <w:bodyDiv w:val="1"/>
      <w:marLeft w:val="0"/>
      <w:marRight w:val="0"/>
      <w:marTop w:val="0"/>
      <w:marBottom w:val="0"/>
      <w:divBdr>
        <w:top w:val="none" w:sz="0" w:space="0" w:color="auto"/>
        <w:left w:val="none" w:sz="0" w:space="0" w:color="auto"/>
        <w:bottom w:val="none" w:sz="0" w:space="0" w:color="auto"/>
        <w:right w:val="none" w:sz="0" w:space="0" w:color="auto"/>
      </w:divBdr>
    </w:div>
    <w:div w:id="1683818735">
      <w:bodyDiv w:val="1"/>
      <w:marLeft w:val="0"/>
      <w:marRight w:val="0"/>
      <w:marTop w:val="0"/>
      <w:marBottom w:val="0"/>
      <w:divBdr>
        <w:top w:val="none" w:sz="0" w:space="0" w:color="auto"/>
        <w:left w:val="none" w:sz="0" w:space="0" w:color="auto"/>
        <w:bottom w:val="none" w:sz="0" w:space="0" w:color="auto"/>
        <w:right w:val="none" w:sz="0" w:space="0" w:color="auto"/>
      </w:divBdr>
      <w:divsChild>
        <w:div w:id="388651974">
          <w:marLeft w:val="0"/>
          <w:marRight w:val="0"/>
          <w:marTop w:val="0"/>
          <w:marBottom w:val="0"/>
          <w:divBdr>
            <w:top w:val="none" w:sz="0" w:space="0" w:color="auto"/>
            <w:left w:val="none" w:sz="0" w:space="0" w:color="auto"/>
            <w:bottom w:val="none" w:sz="0" w:space="0" w:color="auto"/>
            <w:right w:val="none" w:sz="0" w:space="0" w:color="auto"/>
          </w:divBdr>
          <w:divsChild>
            <w:div w:id="1504590065">
              <w:marLeft w:val="0"/>
              <w:marRight w:val="0"/>
              <w:marTop w:val="0"/>
              <w:marBottom w:val="0"/>
              <w:divBdr>
                <w:top w:val="none" w:sz="0" w:space="0" w:color="auto"/>
                <w:left w:val="none" w:sz="0" w:space="0" w:color="auto"/>
                <w:bottom w:val="none" w:sz="0" w:space="0" w:color="auto"/>
                <w:right w:val="none" w:sz="0" w:space="0" w:color="auto"/>
              </w:divBdr>
              <w:divsChild>
                <w:div w:id="70498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551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www.corteidh.or.cr/docs/casos/articulos/seriec_287_esp.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0FA9D7-9C7E-400E-B223-190174D5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5609</Words>
  <Characters>30850</Characters>
  <Application>Microsoft Office Word</Application>
  <DocSecurity>0</DocSecurity>
  <Lines>257</Lines>
  <Paragraphs>72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36387</CharactersWithSpaces>
  <SharedDoc>false</SharedDoc>
  <HLinks>
    <vt:vector size="6" baseType="variant">
      <vt:variant>
        <vt:i4>5767249</vt:i4>
      </vt:variant>
      <vt:variant>
        <vt:i4>0</vt:i4>
      </vt:variant>
      <vt:variant>
        <vt:i4>0</vt:i4>
      </vt:variant>
      <vt:variant>
        <vt:i4>5</vt:i4>
      </vt:variant>
      <vt:variant>
        <vt:lpwstr>http://www.corteidh.or.cr/docs/casos/articulos/seriec_287_esp.pdf</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2017-08-01T15:51:00Z</cp:lastPrinted>
  <dcterms:created xsi:type="dcterms:W3CDTF">2017-08-01T15:51:00Z</dcterms:created>
  <dcterms:modified xsi:type="dcterms:W3CDTF">2017-08-01T15:51:00Z</dcterms:modified>
</cp:coreProperties>
</file>