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0EF" w:rsidRDefault="00D570EF" w:rsidP="00A43BA7">
      <w:pPr>
        <w:pStyle w:val="Ttulo"/>
        <w:jc w:val="left"/>
        <w:rPr>
          <w:rFonts w:cs="Times New Roman"/>
          <w:lang w:val="es-ES_tradnl"/>
        </w:rPr>
      </w:pPr>
      <w:bookmarkStart w:id="0" w:name="_GoBack"/>
      <w:bookmarkEnd w:id="0"/>
    </w:p>
    <w:p w:rsidR="00731126" w:rsidRDefault="00731126" w:rsidP="00A43BA7">
      <w:pPr>
        <w:pStyle w:val="Ttulo"/>
        <w:jc w:val="left"/>
        <w:rPr>
          <w:rFonts w:cs="Times New Roman"/>
          <w:lang w:val="es-ES_tradnl"/>
        </w:rPr>
      </w:pPr>
    </w:p>
    <w:p w:rsidR="00236466" w:rsidRPr="004D1DBF" w:rsidRDefault="00236466" w:rsidP="00A43BA7">
      <w:pPr>
        <w:pStyle w:val="Ttulo"/>
        <w:rPr>
          <w:lang w:val="es-ES_tradnl"/>
        </w:rPr>
      </w:pPr>
      <w:r w:rsidRPr="004D1DBF">
        <w:rPr>
          <w:lang w:val="es-ES_tradnl"/>
        </w:rPr>
        <w:t>RESOLUCIÓN DEL PRESIDENTE DE LA</w:t>
      </w:r>
    </w:p>
    <w:p w:rsidR="00236466" w:rsidRPr="004D1DBF" w:rsidRDefault="00236466" w:rsidP="00A43BA7">
      <w:pPr>
        <w:jc w:val="center"/>
        <w:rPr>
          <w:rFonts w:ascii="Verdana" w:hAnsi="Verdana" w:cs="Verdana"/>
          <w:sz w:val="20"/>
          <w:szCs w:val="20"/>
          <w:lang w:val="es-ES_tradnl"/>
        </w:rPr>
      </w:pPr>
      <w:r w:rsidRPr="004D1DBF">
        <w:rPr>
          <w:rFonts w:ascii="Verdana" w:hAnsi="Verdana" w:cs="Verdana"/>
          <w:b/>
          <w:bCs/>
          <w:smallCaps/>
          <w:sz w:val="20"/>
          <w:szCs w:val="20"/>
          <w:lang w:val="es-ES_tradnl"/>
        </w:rPr>
        <w:t>CORTE INTERAMERICANA DE DERECHOS HUMANOS</w:t>
      </w:r>
    </w:p>
    <w:p w:rsidR="00236466" w:rsidRPr="004D1DBF" w:rsidRDefault="00236466" w:rsidP="00A43BA7">
      <w:pPr>
        <w:rPr>
          <w:rFonts w:ascii="Verdana" w:hAnsi="Verdana" w:cs="Verdana"/>
          <w:b/>
          <w:bCs/>
          <w:smallCaps/>
          <w:sz w:val="20"/>
          <w:szCs w:val="20"/>
          <w:lang w:val="es-ES_tradnl"/>
        </w:rPr>
      </w:pPr>
    </w:p>
    <w:p w:rsidR="00236466" w:rsidRPr="004D1DBF" w:rsidRDefault="000457B1" w:rsidP="00A43BA7">
      <w:pPr>
        <w:jc w:val="center"/>
        <w:rPr>
          <w:rFonts w:ascii="Verdana" w:hAnsi="Verdana" w:cs="Verdana"/>
          <w:b/>
          <w:bCs/>
          <w:smallCaps/>
          <w:sz w:val="20"/>
          <w:szCs w:val="20"/>
          <w:lang w:val="es-ES_tradnl"/>
        </w:rPr>
      </w:pPr>
      <w:r>
        <w:rPr>
          <w:rFonts w:ascii="Verdana" w:hAnsi="Verdana" w:cs="Verdana"/>
          <w:b/>
          <w:bCs/>
          <w:smallCaps/>
          <w:sz w:val="20"/>
          <w:szCs w:val="20"/>
          <w:lang w:val="es-ES_tradnl"/>
        </w:rPr>
        <w:t xml:space="preserve">DE </w:t>
      </w:r>
      <w:r w:rsidR="00753A60">
        <w:rPr>
          <w:rFonts w:ascii="Verdana" w:hAnsi="Verdana" w:cs="Verdana"/>
          <w:b/>
          <w:bCs/>
          <w:smallCaps/>
          <w:sz w:val="20"/>
          <w:szCs w:val="20"/>
          <w:lang w:val="es-ES_tradnl"/>
        </w:rPr>
        <w:t>1</w:t>
      </w:r>
      <w:r w:rsidR="00954BE1">
        <w:rPr>
          <w:rFonts w:ascii="Verdana" w:hAnsi="Verdana" w:cs="Verdana"/>
          <w:b/>
          <w:bCs/>
          <w:smallCaps/>
          <w:sz w:val="20"/>
          <w:szCs w:val="20"/>
          <w:lang w:val="es-ES_tradnl"/>
        </w:rPr>
        <w:t>4</w:t>
      </w:r>
      <w:r w:rsidR="00236466" w:rsidRPr="004D1DBF">
        <w:rPr>
          <w:rFonts w:ascii="Verdana" w:hAnsi="Verdana" w:cs="Verdana"/>
          <w:b/>
          <w:bCs/>
          <w:smallCaps/>
          <w:sz w:val="20"/>
          <w:szCs w:val="20"/>
          <w:lang w:val="es-ES_tradnl"/>
        </w:rPr>
        <w:t xml:space="preserve"> DE </w:t>
      </w:r>
      <w:r w:rsidR="00BA78E7">
        <w:rPr>
          <w:rFonts w:ascii="Verdana" w:hAnsi="Verdana" w:cs="Verdana"/>
          <w:b/>
          <w:bCs/>
          <w:smallCaps/>
          <w:sz w:val="20"/>
          <w:szCs w:val="20"/>
          <w:lang w:val="es-ES_tradnl"/>
        </w:rPr>
        <w:t>ABRIL</w:t>
      </w:r>
      <w:r w:rsidR="00236466" w:rsidRPr="004D1DBF">
        <w:rPr>
          <w:rFonts w:ascii="Verdana" w:hAnsi="Verdana" w:cs="Verdana"/>
          <w:b/>
          <w:bCs/>
          <w:smallCaps/>
          <w:sz w:val="20"/>
          <w:szCs w:val="20"/>
          <w:lang w:val="es-ES_tradnl"/>
        </w:rPr>
        <w:t xml:space="preserve"> </w:t>
      </w:r>
      <w:r w:rsidR="00BA78E7">
        <w:rPr>
          <w:rFonts w:ascii="Verdana" w:hAnsi="Verdana" w:cs="Verdana"/>
          <w:b/>
          <w:bCs/>
          <w:smallCaps/>
          <w:sz w:val="20"/>
          <w:szCs w:val="20"/>
          <w:lang w:val="es-ES_tradnl"/>
        </w:rPr>
        <w:t>DE 2014</w:t>
      </w:r>
    </w:p>
    <w:p w:rsidR="00731126" w:rsidRPr="004D1DBF" w:rsidRDefault="00731126" w:rsidP="00A43BA7">
      <w:pPr>
        <w:rPr>
          <w:rFonts w:ascii="Verdana" w:hAnsi="Verdana" w:cs="Verdana"/>
          <w:b/>
          <w:bCs/>
          <w:smallCaps/>
          <w:sz w:val="20"/>
          <w:szCs w:val="20"/>
          <w:lang w:val="es-ES_tradnl"/>
        </w:rPr>
      </w:pPr>
    </w:p>
    <w:p w:rsidR="00236466" w:rsidRPr="004D1DBF" w:rsidRDefault="00236466" w:rsidP="00A43BA7">
      <w:pPr>
        <w:jc w:val="center"/>
        <w:rPr>
          <w:rFonts w:ascii="Verdana" w:hAnsi="Verdana" w:cs="Verdana"/>
          <w:b/>
          <w:bCs/>
          <w:caps/>
          <w:sz w:val="20"/>
          <w:szCs w:val="20"/>
        </w:rPr>
      </w:pPr>
      <w:r w:rsidRPr="004D1DBF">
        <w:rPr>
          <w:rFonts w:ascii="Verdana" w:hAnsi="Verdana" w:cs="Verdana"/>
          <w:b/>
          <w:bCs/>
          <w:caps/>
          <w:sz w:val="20"/>
          <w:szCs w:val="20"/>
          <w:lang w:val="es-ES_tradnl"/>
        </w:rPr>
        <w:t xml:space="preserve">CASO </w:t>
      </w:r>
      <w:r w:rsidR="00BA78E7">
        <w:rPr>
          <w:rFonts w:ascii="Verdana" w:hAnsi="Verdana" w:cs="Verdana"/>
          <w:b/>
          <w:bCs/>
          <w:caps/>
          <w:sz w:val="20"/>
          <w:szCs w:val="20"/>
        </w:rPr>
        <w:t>GRANIER Y OTROS (RADIO CARACAS TELEVISIÓN)</w:t>
      </w:r>
      <w:r>
        <w:rPr>
          <w:i/>
          <w:iCs/>
        </w:rPr>
        <w:t xml:space="preserve"> </w:t>
      </w:r>
      <w:r w:rsidR="00BE12BC">
        <w:rPr>
          <w:rFonts w:ascii="Verdana" w:hAnsi="Verdana" w:cs="Verdana"/>
          <w:b/>
          <w:bCs/>
          <w:caps/>
          <w:sz w:val="20"/>
          <w:szCs w:val="20"/>
        </w:rPr>
        <w:t>VS. VENEZUELA</w:t>
      </w:r>
    </w:p>
    <w:p w:rsidR="00236466" w:rsidRDefault="00236466" w:rsidP="00A43BA7">
      <w:pPr>
        <w:rPr>
          <w:rFonts w:ascii="Verdana" w:hAnsi="Verdana" w:cs="Verdana"/>
          <w:sz w:val="20"/>
          <w:szCs w:val="20"/>
        </w:rPr>
      </w:pPr>
    </w:p>
    <w:p w:rsidR="00236466" w:rsidRPr="004D1DBF" w:rsidRDefault="00236466" w:rsidP="00A43BA7">
      <w:pPr>
        <w:rPr>
          <w:rFonts w:ascii="Verdana" w:hAnsi="Verdana" w:cs="Verdana"/>
          <w:sz w:val="20"/>
          <w:szCs w:val="20"/>
        </w:rPr>
      </w:pPr>
    </w:p>
    <w:p w:rsidR="00236466" w:rsidRPr="004D1DBF" w:rsidRDefault="00236466" w:rsidP="00A43BA7">
      <w:pPr>
        <w:rPr>
          <w:rFonts w:ascii="Verdana" w:hAnsi="Verdana" w:cs="Verdana"/>
          <w:b/>
          <w:bCs/>
          <w:sz w:val="20"/>
          <w:szCs w:val="20"/>
          <w:lang w:val="es-ES_tradnl"/>
        </w:rPr>
      </w:pPr>
      <w:r w:rsidRPr="004D1DBF">
        <w:rPr>
          <w:rFonts w:ascii="Verdana" w:hAnsi="Verdana" w:cs="Verdana"/>
          <w:b/>
          <w:bCs/>
          <w:sz w:val="20"/>
          <w:szCs w:val="20"/>
          <w:lang w:val="es-ES_tradnl"/>
        </w:rPr>
        <w:t>VISTO:</w:t>
      </w:r>
    </w:p>
    <w:p w:rsidR="00236466" w:rsidRDefault="00236466" w:rsidP="00A43BA7">
      <w:pPr>
        <w:rPr>
          <w:rFonts w:ascii="Verdana" w:hAnsi="Verdana" w:cs="Verdana"/>
          <w:sz w:val="20"/>
          <w:szCs w:val="20"/>
        </w:rPr>
      </w:pPr>
    </w:p>
    <w:p w:rsidR="000B02B2" w:rsidRPr="000B02B2" w:rsidRDefault="000B02B2" w:rsidP="00A43BA7">
      <w:pPr>
        <w:rPr>
          <w:rFonts w:ascii="Verdana" w:hAnsi="Verdana" w:cs="Verdana"/>
          <w:b/>
          <w:bCs/>
          <w:caps/>
          <w:sz w:val="20"/>
          <w:szCs w:val="20"/>
        </w:rPr>
      </w:pPr>
    </w:p>
    <w:p w:rsidR="000B02B2"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bookmarkStart w:id="1" w:name="_Ref314691210"/>
      <w:r w:rsidRPr="001D1D21">
        <w:rPr>
          <w:rFonts w:ascii="Verdana" w:hAnsi="Verdana" w:cs="Verdana"/>
          <w:sz w:val="20"/>
          <w:szCs w:val="20"/>
        </w:rPr>
        <w:t xml:space="preserve">El escrito de sometimiento del caso contra </w:t>
      </w:r>
      <w:r w:rsidR="00AC13E7" w:rsidRPr="001D1D21">
        <w:rPr>
          <w:rFonts w:ascii="Verdana" w:hAnsi="Verdana" w:cs="Verdana"/>
          <w:sz w:val="20"/>
          <w:szCs w:val="20"/>
        </w:rPr>
        <w:t>la Repú</w:t>
      </w:r>
      <w:r w:rsidRPr="001D1D21">
        <w:rPr>
          <w:rFonts w:ascii="Verdana" w:hAnsi="Verdana" w:cs="Verdana"/>
          <w:sz w:val="20"/>
          <w:szCs w:val="20"/>
        </w:rPr>
        <w:t xml:space="preserve">blica Bolivariana de Venezuela (en adelante “el Estado” o “Venezuela”) presentado el </w:t>
      </w:r>
      <w:r w:rsidR="00BA78E7" w:rsidRPr="001D1D21">
        <w:rPr>
          <w:rFonts w:ascii="Verdana" w:hAnsi="Verdana" w:cs="Verdana"/>
          <w:sz w:val="20"/>
          <w:szCs w:val="20"/>
          <w:lang w:val="es-ES_tradnl"/>
        </w:rPr>
        <w:t>18</w:t>
      </w:r>
      <w:r w:rsidRPr="001D1D21">
        <w:rPr>
          <w:rFonts w:ascii="Verdana" w:hAnsi="Verdana" w:cs="Verdana"/>
          <w:sz w:val="20"/>
          <w:szCs w:val="20"/>
          <w:lang w:val="es-ES_tradnl"/>
        </w:rPr>
        <w:t xml:space="preserve"> de marzo de 201</w:t>
      </w:r>
      <w:r w:rsidR="00BA78E7" w:rsidRPr="001D1D21">
        <w:rPr>
          <w:rFonts w:ascii="Verdana" w:hAnsi="Verdana" w:cs="Verdana"/>
          <w:sz w:val="20"/>
          <w:szCs w:val="20"/>
          <w:lang w:val="es-ES_tradnl"/>
        </w:rPr>
        <w:t xml:space="preserve">3 </w:t>
      </w:r>
      <w:r w:rsidRPr="001D1D21">
        <w:rPr>
          <w:rFonts w:ascii="Verdana" w:hAnsi="Verdana" w:cs="Verdana"/>
          <w:sz w:val="20"/>
          <w:szCs w:val="20"/>
        </w:rPr>
        <w:t xml:space="preserve">por la Comisión Interamericana de Derechos Humanos (en adelante “la Comisión Interamericana” o “la Comisión”) ante la Corte Interamericana de Derechos Humanos (en adelante “la Corte Interamericana”, “la Corte” o “el Tribunal”), mediante el cual remitió </w:t>
      </w:r>
      <w:r w:rsidRPr="001D1D21">
        <w:rPr>
          <w:rFonts w:ascii="Verdana" w:hAnsi="Verdana" w:cs="Verdana"/>
          <w:sz w:val="20"/>
          <w:szCs w:val="20"/>
          <w:lang w:val="es-ES_tradnl"/>
        </w:rPr>
        <w:t>el Informe de Fondo No. 1</w:t>
      </w:r>
      <w:r w:rsidR="00BA78E7" w:rsidRPr="001D1D21">
        <w:rPr>
          <w:rFonts w:ascii="Verdana" w:hAnsi="Verdana" w:cs="Verdana"/>
          <w:sz w:val="20"/>
          <w:szCs w:val="20"/>
          <w:lang w:val="es-ES_tradnl"/>
        </w:rPr>
        <w:t>12</w:t>
      </w:r>
      <w:r w:rsidRPr="001D1D21">
        <w:rPr>
          <w:rFonts w:ascii="Verdana" w:hAnsi="Verdana" w:cs="Verdana"/>
          <w:sz w:val="20"/>
          <w:szCs w:val="20"/>
          <w:lang w:val="es-ES_tradnl"/>
        </w:rPr>
        <w:t>/1</w:t>
      </w:r>
      <w:r w:rsidR="00BA78E7" w:rsidRPr="001D1D21">
        <w:rPr>
          <w:rFonts w:ascii="Verdana" w:hAnsi="Verdana" w:cs="Verdana"/>
          <w:sz w:val="20"/>
          <w:szCs w:val="20"/>
          <w:lang w:val="es-ES_tradnl"/>
        </w:rPr>
        <w:t>2</w:t>
      </w:r>
      <w:r w:rsidRPr="001D1D21">
        <w:rPr>
          <w:rFonts w:ascii="Verdana" w:hAnsi="Verdana" w:cs="Verdana"/>
          <w:sz w:val="20"/>
          <w:szCs w:val="20"/>
        </w:rPr>
        <w:t xml:space="preserve"> y ofreció </w:t>
      </w:r>
      <w:r w:rsidR="00BA78E7" w:rsidRPr="001D1D21">
        <w:rPr>
          <w:rFonts w:ascii="Verdana" w:hAnsi="Verdana" w:cs="Verdana"/>
          <w:sz w:val="20"/>
          <w:szCs w:val="20"/>
        </w:rPr>
        <w:t>dos</w:t>
      </w:r>
      <w:r w:rsidRPr="001D1D21">
        <w:rPr>
          <w:rFonts w:ascii="Verdana" w:hAnsi="Verdana" w:cs="Verdana"/>
          <w:sz w:val="20"/>
          <w:szCs w:val="20"/>
        </w:rPr>
        <w:t xml:space="preserve"> peritaje</w:t>
      </w:r>
      <w:r w:rsidR="00BA78E7" w:rsidRPr="001D1D21">
        <w:rPr>
          <w:rFonts w:ascii="Verdana" w:hAnsi="Verdana" w:cs="Verdana"/>
          <w:sz w:val="20"/>
          <w:szCs w:val="20"/>
        </w:rPr>
        <w:t>s</w:t>
      </w:r>
      <w:r w:rsidRPr="001D1D21">
        <w:rPr>
          <w:rFonts w:ascii="Verdana" w:hAnsi="Verdana" w:cs="Verdana"/>
          <w:sz w:val="20"/>
          <w:szCs w:val="20"/>
        </w:rPr>
        <w:t xml:space="preserve">. </w:t>
      </w:r>
      <w:bookmarkEnd w:id="1"/>
    </w:p>
    <w:p w:rsidR="000C50BF" w:rsidRPr="001D1D21" w:rsidRDefault="000C50BF" w:rsidP="000C50BF">
      <w:pPr>
        <w:autoSpaceDE w:val="0"/>
        <w:autoSpaceDN w:val="0"/>
        <w:adjustRightInd w:val="0"/>
        <w:jc w:val="both"/>
        <w:rPr>
          <w:rFonts w:ascii="Verdana" w:hAnsi="Verdana" w:cs="Verdana"/>
          <w:sz w:val="20"/>
          <w:szCs w:val="20"/>
        </w:rPr>
      </w:pPr>
    </w:p>
    <w:p w:rsidR="000B02B2"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0B02B2">
        <w:rPr>
          <w:rFonts w:ascii="Verdana" w:hAnsi="Verdana" w:cs="Verdana"/>
          <w:sz w:val="20"/>
          <w:szCs w:val="20"/>
          <w:lang w:val="es-CR"/>
        </w:rPr>
        <w:t xml:space="preserve">El </w:t>
      </w:r>
      <w:r w:rsidR="00BA78E7" w:rsidRPr="000B02B2">
        <w:rPr>
          <w:rFonts w:ascii="Verdana" w:hAnsi="Verdana"/>
          <w:sz w:val="20"/>
          <w:szCs w:val="20"/>
          <w:lang w:val="es-CL" w:eastAsia="en-US"/>
        </w:rPr>
        <w:t xml:space="preserve">escrito de solicitudes, argumentos y pruebas y sus anexos (en adelante el “escrito de solicitudes y </w:t>
      </w:r>
      <w:r w:rsidR="00BA78E7" w:rsidRPr="000B02B2">
        <w:rPr>
          <w:rFonts w:ascii="Verdana" w:hAnsi="Verdana"/>
          <w:sz w:val="20"/>
          <w:szCs w:val="20"/>
        </w:rPr>
        <w:t>argumentos</w:t>
      </w:r>
      <w:r w:rsidR="00BA78E7" w:rsidRPr="000B02B2">
        <w:rPr>
          <w:rFonts w:ascii="Verdana" w:hAnsi="Verdana"/>
          <w:sz w:val="20"/>
          <w:szCs w:val="20"/>
          <w:lang w:val="es-CL" w:eastAsia="en-US"/>
        </w:rPr>
        <w:t xml:space="preserve">”) presentado el </w:t>
      </w:r>
      <w:r w:rsidR="00ED2DB7" w:rsidRPr="000B02B2">
        <w:rPr>
          <w:rFonts w:ascii="Verdana" w:hAnsi="Verdana"/>
          <w:sz w:val="20"/>
          <w:szCs w:val="20"/>
          <w:lang w:val="es-CL" w:eastAsia="en-US"/>
        </w:rPr>
        <w:t xml:space="preserve">12 de agosto de 2013 </w:t>
      </w:r>
      <w:r w:rsidR="00BA78E7" w:rsidRPr="000B02B2">
        <w:rPr>
          <w:rFonts w:ascii="Verdana" w:hAnsi="Verdana"/>
          <w:sz w:val="20"/>
          <w:szCs w:val="20"/>
          <w:lang w:val="es-CL" w:eastAsia="en-US"/>
        </w:rPr>
        <w:t>por los representantes de las presuntas víctimas</w:t>
      </w:r>
      <w:r w:rsidRPr="00BA78E7">
        <w:rPr>
          <w:rStyle w:val="Refdenotaalpie"/>
          <w:rFonts w:ascii="Verdana" w:hAnsi="Verdana" w:cs="Verdana"/>
          <w:sz w:val="20"/>
          <w:szCs w:val="20"/>
          <w:lang w:val="es-CR"/>
        </w:rPr>
        <w:footnoteReference w:id="1"/>
      </w:r>
      <w:r w:rsidRPr="000B02B2">
        <w:rPr>
          <w:rFonts w:ascii="Verdana" w:hAnsi="Verdana" w:cs="Verdana"/>
          <w:sz w:val="20"/>
          <w:szCs w:val="20"/>
        </w:rPr>
        <w:t xml:space="preserve">, mediante el cual ofrecieron la declaración de </w:t>
      </w:r>
      <w:r w:rsidR="00D13ABB" w:rsidRPr="000B02B2">
        <w:rPr>
          <w:rFonts w:ascii="Verdana" w:hAnsi="Verdana" w:cs="Verdana"/>
          <w:sz w:val="20"/>
          <w:szCs w:val="20"/>
        </w:rPr>
        <w:t>ocho</w:t>
      </w:r>
      <w:r w:rsidRPr="000B02B2">
        <w:rPr>
          <w:rFonts w:ascii="Verdana" w:hAnsi="Verdana" w:cs="Verdana"/>
          <w:sz w:val="20"/>
          <w:szCs w:val="20"/>
        </w:rPr>
        <w:t xml:space="preserve"> presunta</w:t>
      </w:r>
      <w:r w:rsidR="00D13ABB" w:rsidRPr="000B02B2">
        <w:rPr>
          <w:rFonts w:ascii="Verdana" w:hAnsi="Verdana" w:cs="Verdana"/>
          <w:sz w:val="20"/>
          <w:szCs w:val="20"/>
        </w:rPr>
        <w:t>s</w:t>
      </w:r>
      <w:r w:rsidRPr="000B02B2">
        <w:rPr>
          <w:rFonts w:ascii="Verdana" w:hAnsi="Verdana" w:cs="Verdana"/>
          <w:sz w:val="20"/>
          <w:szCs w:val="20"/>
        </w:rPr>
        <w:t xml:space="preserve"> víctima</w:t>
      </w:r>
      <w:r w:rsidR="00D13ABB" w:rsidRPr="000B02B2">
        <w:rPr>
          <w:rFonts w:ascii="Verdana" w:hAnsi="Verdana" w:cs="Verdana"/>
          <w:sz w:val="20"/>
          <w:szCs w:val="20"/>
        </w:rPr>
        <w:t>s</w:t>
      </w:r>
      <w:r w:rsidRPr="000B02B2">
        <w:rPr>
          <w:rFonts w:ascii="Verdana" w:hAnsi="Verdana" w:cs="Verdana"/>
          <w:sz w:val="20"/>
          <w:szCs w:val="20"/>
        </w:rPr>
        <w:t xml:space="preserve">, </w:t>
      </w:r>
      <w:r w:rsidR="00D13ABB" w:rsidRPr="000B02B2">
        <w:rPr>
          <w:rFonts w:ascii="Verdana" w:hAnsi="Verdana" w:cs="Verdana"/>
          <w:sz w:val="20"/>
          <w:szCs w:val="20"/>
        </w:rPr>
        <w:t>seis</w:t>
      </w:r>
      <w:r w:rsidRPr="000B02B2">
        <w:rPr>
          <w:rFonts w:ascii="Verdana" w:hAnsi="Verdana" w:cs="Verdana"/>
          <w:sz w:val="20"/>
          <w:szCs w:val="20"/>
        </w:rPr>
        <w:t xml:space="preserve"> testimonios y cinco peritajes.</w:t>
      </w:r>
      <w:r w:rsidR="000B02B2">
        <w:rPr>
          <w:rFonts w:ascii="Verdana" w:hAnsi="Verdana" w:cs="Verdana"/>
          <w:sz w:val="20"/>
          <w:szCs w:val="20"/>
        </w:rPr>
        <w:t xml:space="preserve"> Asimismo, los representantes solicitaron el traslado de dos peritajes rendidos en el caso </w:t>
      </w:r>
      <w:r w:rsidR="000B02B2" w:rsidRPr="001D1D21">
        <w:rPr>
          <w:rFonts w:ascii="Verdana" w:hAnsi="Verdana" w:cs="Verdana"/>
          <w:i/>
          <w:sz w:val="20"/>
          <w:szCs w:val="20"/>
        </w:rPr>
        <w:t>Ríos y otros Vs. Venezuela</w:t>
      </w:r>
      <w:r w:rsidR="000B02B2">
        <w:rPr>
          <w:rFonts w:ascii="Verdana" w:hAnsi="Verdana" w:cs="Verdana"/>
          <w:sz w:val="20"/>
          <w:szCs w:val="20"/>
        </w:rPr>
        <w:t>.</w:t>
      </w:r>
      <w:r w:rsidR="00D00018">
        <w:rPr>
          <w:rFonts w:ascii="Verdana" w:hAnsi="Verdana" w:cs="Verdana"/>
          <w:sz w:val="20"/>
          <w:szCs w:val="20"/>
        </w:rPr>
        <w:t xml:space="preserve"> </w:t>
      </w:r>
    </w:p>
    <w:p w:rsidR="000B02B2" w:rsidRDefault="000B02B2" w:rsidP="00A43BA7">
      <w:pPr>
        <w:pStyle w:val="Prrafodelista"/>
        <w:rPr>
          <w:rFonts w:ascii="Verdana" w:hAnsi="Verdana" w:cs="Verdana"/>
          <w:sz w:val="20"/>
          <w:szCs w:val="20"/>
        </w:rPr>
      </w:pPr>
    </w:p>
    <w:p w:rsidR="001C6F1F"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0B02B2">
        <w:rPr>
          <w:rFonts w:ascii="Verdana" w:hAnsi="Verdana" w:cs="Verdana"/>
          <w:sz w:val="20"/>
          <w:szCs w:val="20"/>
        </w:rPr>
        <w:t xml:space="preserve">El </w:t>
      </w:r>
      <w:bookmarkStart w:id="2" w:name="_Ref315167281"/>
      <w:bookmarkStart w:id="3" w:name="_Ref314685952"/>
      <w:r w:rsidRPr="000B02B2">
        <w:rPr>
          <w:rFonts w:ascii="Verdana" w:hAnsi="Verdana" w:cs="Verdana"/>
          <w:sz w:val="20"/>
          <w:szCs w:val="20"/>
        </w:rPr>
        <w:t xml:space="preserve">escrito de </w:t>
      </w:r>
      <w:r w:rsidR="000105F4">
        <w:rPr>
          <w:rFonts w:ascii="Verdana" w:hAnsi="Verdana" w:cs="Verdana"/>
          <w:sz w:val="20"/>
          <w:szCs w:val="20"/>
        </w:rPr>
        <w:t>2</w:t>
      </w:r>
      <w:r w:rsidRPr="000B02B2">
        <w:rPr>
          <w:rFonts w:ascii="Verdana" w:hAnsi="Verdana" w:cs="Verdana"/>
          <w:sz w:val="20"/>
          <w:szCs w:val="20"/>
        </w:rPr>
        <w:t>2 de noviembre de 201</w:t>
      </w:r>
      <w:r w:rsidR="000105F4">
        <w:rPr>
          <w:rFonts w:ascii="Verdana" w:hAnsi="Verdana" w:cs="Verdana"/>
          <w:sz w:val="20"/>
          <w:szCs w:val="20"/>
        </w:rPr>
        <w:t>3</w:t>
      </w:r>
      <w:r w:rsidRPr="000B02B2">
        <w:rPr>
          <w:rFonts w:ascii="Verdana" w:hAnsi="Verdana" w:cs="Verdana"/>
          <w:sz w:val="20"/>
          <w:szCs w:val="20"/>
        </w:rPr>
        <w:t xml:space="preserve">, mediante el cual Venezuela interpuso “excepciones preliminares”, contestó el sometimiento del caso y presentó sus observaciones al escrito de solicitudes, argumentos y pruebas (en adelante “escrito de contestación”). En el referido escrito, el Estado ofreció </w:t>
      </w:r>
      <w:bookmarkEnd w:id="2"/>
      <w:bookmarkEnd w:id="3"/>
      <w:r w:rsidR="000105F4">
        <w:rPr>
          <w:rFonts w:ascii="Verdana" w:hAnsi="Verdana" w:cs="Verdana"/>
          <w:sz w:val="20"/>
          <w:szCs w:val="20"/>
          <w:lang w:val="es-CR"/>
        </w:rPr>
        <w:t>tres</w:t>
      </w:r>
      <w:r w:rsidRPr="000B02B2">
        <w:rPr>
          <w:rFonts w:ascii="Verdana" w:hAnsi="Verdana" w:cs="Verdana"/>
          <w:sz w:val="20"/>
          <w:szCs w:val="20"/>
          <w:lang w:val="es-CR"/>
        </w:rPr>
        <w:t xml:space="preserve"> peritaje</w:t>
      </w:r>
      <w:r w:rsidR="000105F4">
        <w:rPr>
          <w:rFonts w:ascii="Verdana" w:hAnsi="Verdana" w:cs="Verdana"/>
          <w:sz w:val="20"/>
          <w:szCs w:val="20"/>
          <w:lang w:val="es-CR"/>
        </w:rPr>
        <w:t xml:space="preserve">s y </w:t>
      </w:r>
      <w:r w:rsidR="00D00018">
        <w:rPr>
          <w:rFonts w:ascii="Verdana" w:hAnsi="Verdana" w:cs="Verdana"/>
          <w:sz w:val="20"/>
          <w:szCs w:val="20"/>
          <w:lang w:val="es-CR"/>
        </w:rPr>
        <w:t>dos</w:t>
      </w:r>
      <w:r w:rsidRPr="000B02B2">
        <w:rPr>
          <w:rFonts w:ascii="Verdana" w:hAnsi="Verdana" w:cs="Verdana"/>
          <w:sz w:val="20"/>
          <w:szCs w:val="20"/>
          <w:lang w:val="es-CR"/>
        </w:rPr>
        <w:t xml:space="preserve"> declaraciones testimoniales. </w:t>
      </w:r>
    </w:p>
    <w:p w:rsidR="001C6F1F" w:rsidRDefault="001C6F1F" w:rsidP="00A43BA7">
      <w:pPr>
        <w:pStyle w:val="Prrafodelista"/>
        <w:rPr>
          <w:rFonts w:ascii="Verdana" w:hAnsi="Verdana" w:cs="Verdana"/>
          <w:sz w:val="20"/>
          <w:szCs w:val="20"/>
          <w:lang w:val="es-CR"/>
        </w:rPr>
      </w:pPr>
    </w:p>
    <w:p w:rsidR="000E5D80"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1C6F1F">
        <w:rPr>
          <w:rFonts w:ascii="Verdana" w:hAnsi="Verdana" w:cs="Verdana"/>
          <w:sz w:val="20"/>
          <w:szCs w:val="20"/>
          <w:lang w:val="es-CR"/>
        </w:rPr>
        <w:t xml:space="preserve">La Resolución </w:t>
      </w:r>
      <w:r w:rsidR="007F04CA" w:rsidRPr="001C6F1F">
        <w:rPr>
          <w:rFonts w:ascii="Verdana" w:hAnsi="Verdana" w:cs="Verdana"/>
          <w:sz w:val="20"/>
          <w:szCs w:val="20"/>
          <w:lang w:val="es-CR"/>
        </w:rPr>
        <w:t xml:space="preserve">de la Corte </w:t>
      </w:r>
      <w:r w:rsidR="001C6F1F">
        <w:rPr>
          <w:rFonts w:ascii="Verdana" w:hAnsi="Verdana" w:cs="Verdana"/>
          <w:sz w:val="20"/>
          <w:szCs w:val="20"/>
          <w:lang w:val="es-CR"/>
        </w:rPr>
        <w:t>Interamericana</w:t>
      </w:r>
      <w:r w:rsidRPr="001C6F1F">
        <w:rPr>
          <w:rFonts w:ascii="Verdana" w:hAnsi="Verdana" w:cs="Verdana"/>
          <w:sz w:val="20"/>
          <w:szCs w:val="20"/>
          <w:lang w:val="es-CR"/>
        </w:rPr>
        <w:t xml:space="preserve"> de </w:t>
      </w:r>
      <w:r w:rsidR="001C6F1F">
        <w:rPr>
          <w:rFonts w:ascii="Verdana" w:hAnsi="Verdana" w:cs="Verdana"/>
          <w:sz w:val="20"/>
          <w:szCs w:val="20"/>
          <w:lang w:val="es-CR"/>
        </w:rPr>
        <w:t>6</w:t>
      </w:r>
      <w:r w:rsidRPr="001C6F1F">
        <w:rPr>
          <w:rFonts w:ascii="Verdana" w:hAnsi="Verdana" w:cs="Verdana"/>
          <w:sz w:val="20"/>
          <w:szCs w:val="20"/>
          <w:lang w:val="es-CR"/>
        </w:rPr>
        <w:t xml:space="preserve"> de </w:t>
      </w:r>
      <w:r w:rsidR="001C6F1F">
        <w:rPr>
          <w:rFonts w:ascii="Verdana" w:hAnsi="Verdana" w:cs="Verdana"/>
          <w:sz w:val="20"/>
          <w:szCs w:val="20"/>
          <w:lang w:val="es-CR"/>
        </w:rPr>
        <w:t>febrero de 2014</w:t>
      </w:r>
      <w:r w:rsidRPr="001C6F1F">
        <w:rPr>
          <w:rFonts w:ascii="Verdana" w:hAnsi="Verdana" w:cs="Verdana"/>
          <w:sz w:val="20"/>
          <w:szCs w:val="20"/>
          <w:lang w:val="es-CR"/>
        </w:rPr>
        <w:t xml:space="preserve">, mediante la cual resolvió, </w:t>
      </w:r>
      <w:r w:rsidRPr="001C6F1F">
        <w:rPr>
          <w:rFonts w:ascii="Verdana" w:hAnsi="Verdana" w:cs="Verdana"/>
          <w:i/>
          <w:iCs/>
          <w:sz w:val="20"/>
          <w:szCs w:val="20"/>
          <w:lang w:val="es-CR"/>
        </w:rPr>
        <w:t xml:space="preserve">inter </w:t>
      </w:r>
      <w:proofErr w:type="spellStart"/>
      <w:r w:rsidRPr="001C6F1F">
        <w:rPr>
          <w:rFonts w:ascii="Verdana" w:hAnsi="Verdana" w:cs="Verdana"/>
          <w:i/>
          <w:iCs/>
          <w:sz w:val="20"/>
          <w:szCs w:val="20"/>
          <w:lang w:val="es-CR"/>
        </w:rPr>
        <w:t>alia</w:t>
      </w:r>
      <w:proofErr w:type="spellEnd"/>
      <w:r w:rsidRPr="001C6F1F">
        <w:rPr>
          <w:rFonts w:ascii="Verdana" w:hAnsi="Verdana" w:cs="Verdana"/>
          <w:sz w:val="20"/>
          <w:szCs w:val="20"/>
          <w:lang w:val="es-CR"/>
        </w:rPr>
        <w:t>, que las alegaciones interpuestas por Venezuela en su escrito</w:t>
      </w:r>
      <w:r w:rsidR="008A56CF" w:rsidRPr="001C6F1F">
        <w:rPr>
          <w:rFonts w:ascii="Verdana" w:hAnsi="Verdana" w:cs="Verdana"/>
          <w:sz w:val="20"/>
          <w:szCs w:val="20"/>
          <w:lang w:val="es-CR"/>
        </w:rPr>
        <w:t xml:space="preserve"> de contestación sobre </w:t>
      </w:r>
      <w:r w:rsidR="00972E80">
        <w:rPr>
          <w:rFonts w:ascii="Verdana" w:hAnsi="Verdana" w:cs="Verdana"/>
          <w:sz w:val="20"/>
          <w:szCs w:val="20"/>
          <w:lang w:val="es-CR"/>
        </w:rPr>
        <w:t xml:space="preserve">la </w:t>
      </w:r>
      <w:r w:rsidR="008A56CF" w:rsidRPr="001C6F1F">
        <w:rPr>
          <w:rFonts w:ascii="Verdana" w:hAnsi="Verdana" w:cs="Verdana"/>
          <w:sz w:val="20"/>
          <w:szCs w:val="20"/>
          <w:lang w:val="es-CR"/>
        </w:rPr>
        <w:t xml:space="preserve">alegada </w:t>
      </w:r>
      <w:r w:rsidRPr="001C6F1F">
        <w:rPr>
          <w:rFonts w:ascii="Verdana" w:hAnsi="Verdana" w:cs="Verdana"/>
          <w:sz w:val="20"/>
          <w:szCs w:val="20"/>
          <w:lang w:val="es-CR"/>
        </w:rPr>
        <w:t xml:space="preserve">falta de imparcialidad de </w:t>
      </w:r>
      <w:r w:rsidR="001C6F1F">
        <w:rPr>
          <w:rFonts w:ascii="Verdana" w:hAnsi="Verdana" w:cs="Verdana"/>
          <w:sz w:val="20"/>
          <w:szCs w:val="20"/>
          <w:lang w:val="es-CR"/>
        </w:rPr>
        <w:t>dos</w:t>
      </w:r>
      <w:r w:rsidRPr="001C6F1F">
        <w:rPr>
          <w:rFonts w:ascii="Verdana" w:hAnsi="Verdana" w:cs="Verdana"/>
          <w:sz w:val="20"/>
          <w:szCs w:val="20"/>
          <w:lang w:val="es-CR"/>
        </w:rPr>
        <w:t xml:space="preserve"> Jueces y del Secretario de la Corte no tenían el carácter de una excepción preliminar</w:t>
      </w:r>
      <w:r>
        <w:rPr>
          <w:rStyle w:val="Refdenotaalpie"/>
          <w:rFonts w:ascii="Verdana" w:hAnsi="Verdana" w:cs="Verdana"/>
          <w:sz w:val="20"/>
          <w:szCs w:val="20"/>
          <w:lang w:val="es-CR"/>
        </w:rPr>
        <w:footnoteReference w:id="2"/>
      </w:r>
      <w:r w:rsidRPr="001C6F1F">
        <w:rPr>
          <w:rFonts w:ascii="Verdana" w:hAnsi="Verdana" w:cs="Verdana"/>
          <w:sz w:val="20"/>
          <w:szCs w:val="20"/>
          <w:lang w:val="es-CR"/>
        </w:rPr>
        <w:t xml:space="preserve"> y que eran infundada</w:t>
      </w:r>
      <w:r w:rsidR="00AC13E7" w:rsidRPr="001C6F1F">
        <w:rPr>
          <w:rFonts w:ascii="Verdana" w:hAnsi="Verdana" w:cs="Verdana"/>
          <w:sz w:val="20"/>
          <w:szCs w:val="20"/>
          <w:lang w:val="es-CR"/>
        </w:rPr>
        <w:t>s, así como que la composición í</w:t>
      </w:r>
      <w:r w:rsidRPr="001C6F1F">
        <w:rPr>
          <w:rFonts w:ascii="Verdana" w:hAnsi="Verdana" w:cs="Verdana"/>
          <w:sz w:val="20"/>
          <w:szCs w:val="20"/>
          <w:lang w:val="es-CR"/>
        </w:rPr>
        <w:t xml:space="preserve">ntegra de la Corte continuaría conociendo del presente caso. </w:t>
      </w:r>
    </w:p>
    <w:p w:rsidR="000E5D80" w:rsidRDefault="000E5D80" w:rsidP="00A43BA7">
      <w:pPr>
        <w:pStyle w:val="Prrafodelista"/>
        <w:rPr>
          <w:rFonts w:ascii="Verdana" w:hAnsi="Verdana"/>
          <w:sz w:val="20"/>
          <w:szCs w:val="20"/>
          <w:lang w:val="es-CR" w:eastAsia="en-US"/>
        </w:rPr>
      </w:pPr>
    </w:p>
    <w:p w:rsidR="0085565A" w:rsidRPr="0085565A" w:rsidRDefault="0085565A"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412481">
        <w:rPr>
          <w:rFonts w:ascii="Verdana" w:hAnsi="Verdana" w:cs="Verdana"/>
          <w:sz w:val="20"/>
          <w:szCs w:val="20"/>
        </w:rPr>
        <w:t>Las</w:t>
      </w:r>
      <w:r w:rsidRPr="006C0606">
        <w:rPr>
          <w:rFonts w:ascii="Verdana" w:hAnsi="Verdana" w:cs="Verdana"/>
          <w:sz w:val="20"/>
          <w:szCs w:val="20"/>
        </w:rPr>
        <w:t xml:space="preserve"> notas de la Secretaría de </w:t>
      </w:r>
      <w:r>
        <w:rPr>
          <w:rFonts w:ascii="Verdana" w:hAnsi="Verdana" w:cs="Verdana"/>
          <w:sz w:val="20"/>
          <w:szCs w:val="20"/>
        </w:rPr>
        <w:t>19</w:t>
      </w:r>
      <w:r w:rsidRPr="006C0606">
        <w:rPr>
          <w:rFonts w:ascii="Verdana" w:hAnsi="Verdana" w:cs="Verdana"/>
          <w:sz w:val="20"/>
          <w:szCs w:val="20"/>
        </w:rPr>
        <w:t xml:space="preserve"> de </w:t>
      </w:r>
      <w:r>
        <w:rPr>
          <w:rFonts w:ascii="Verdana" w:hAnsi="Verdana" w:cs="Verdana"/>
          <w:sz w:val="20"/>
          <w:szCs w:val="20"/>
        </w:rPr>
        <w:t xml:space="preserve">febrero </w:t>
      </w:r>
      <w:r w:rsidRPr="006C0606">
        <w:rPr>
          <w:rFonts w:ascii="Verdana" w:hAnsi="Verdana" w:cs="Verdana"/>
          <w:sz w:val="20"/>
          <w:szCs w:val="20"/>
        </w:rPr>
        <w:t>de 201</w:t>
      </w:r>
      <w:r>
        <w:rPr>
          <w:rFonts w:ascii="Verdana" w:hAnsi="Verdana" w:cs="Verdana"/>
          <w:sz w:val="20"/>
          <w:szCs w:val="20"/>
        </w:rPr>
        <w:t>4</w:t>
      </w:r>
      <w:r w:rsidRPr="006C0606">
        <w:rPr>
          <w:rFonts w:ascii="Verdana" w:hAnsi="Verdana" w:cs="Verdana"/>
          <w:sz w:val="20"/>
          <w:szCs w:val="20"/>
        </w:rPr>
        <w:t>, mediante las cuales</w:t>
      </w:r>
      <w:r>
        <w:rPr>
          <w:rFonts w:ascii="Verdana" w:hAnsi="Verdana" w:cs="Verdana"/>
          <w:sz w:val="20"/>
          <w:szCs w:val="20"/>
        </w:rPr>
        <w:t xml:space="preserve"> se informó que la Corte tenía programado realizar la audiencia pública en el presente caso durante su 103 Período Ordinario de Sesiones que celebraría del 12 al 30 de mayo de 2014 y</w:t>
      </w:r>
      <w:r w:rsidRPr="006C0606">
        <w:rPr>
          <w:rFonts w:ascii="Verdana" w:hAnsi="Verdana" w:cs="Verdana"/>
          <w:sz w:val="20"/>
          <w:szCs w:val="20"/>
        </w:rPr>
        <w:t xml:space="preserve">, de conformidad con el artículo 46.1 del Reglamento del Tribunal, se solicitó </w:t>
      </w:r>
      <w:r>
        <w:rPr>
          <w:rFonts w:ascii="Verdana" w:hAnsi="Verdana" w:cs="Verdana"/>
          <w:sz w:val="20"/>
          <w:szCs w:val="20"/>
        </w:rPr>
        <w:t>a las partes y</w:t>
      </w:r>
      <w:r w:rsidRPr="006C0606">
        <w:rPr>
          <w:rFonts w:ascii="Verdana" w:hAnsi="Verdana" w:cs="Verdana"/>
          <w:sz w:val="20"/>
          <w:szCs w:val="20"/>
        </w:rPr>
        <w:t xml:space="preserve"> </w:t>
      </w:r>
      <w:r>
        <w:rPr>
          <w:rFonts w:ascii="Verdana" w:hAnsi="Verdana" w:cs="Verdana"/>
          <w:sz w:val="20"/>
          <w:szCs w:val="20"/>
        </w:rPr>
        <w:t xml:space="preserve">a </w:t>
      </w:r>
      <w:r w:rsidRPr="006C0606">
        <w:rPr>
          <w:rFonts w:ascii="Verdana" w:hAnsi="Verdana" w:cs="Verdana"/>
          <w:sz w:val="20"/>
          <w:szCs w:val="20"/>
        </w:rPr>
        <w:t xml:space="preserve">la Comisión Interamericana que remitieran, a más tardar el </w:t>
      </w:r>
      <w:r>
        <w:rPr>
          <w:rFonts w:ascii="Verdana" w:hAnsi="Verdana" w:cs="Verdana"/>
          <w:sz w:val="20"/>
          <w:szCs w:val="20"/>
        </w:rPr>
        <w:t>28</w:t>
      </w:r>
      <w:r w:rsidRPr="006C0606">
        <w:rPr>
          <w:rFonts w:ascii="Verdana" w:hAnsi="Verdana" w:cs="Verdana"/>
          <w:sz w:val="20"/>
          <w:szCs w:val="20"/>
        </w:rPr>
        <w:t xml:space="preserve"> de </w:t>
      </w:r>
      <w:r>
        <w:rPr>
          <w:rFonts w:ascii="Verdana" w:hAnsi="Verdana" w:cs="Verdana"/>
          <w:sz w:val="20"/>
          <w:szCs w:val="20"/>
        </w:rPr>
        <w:t>febrero de 2014</w:t>
      </w:r>
      <w:r w:rsidRPr="006C0606">
        <w:rPr>
          <w:rFonts w:ascii="Verdana" w:hAnsi="Verdana" w:cs="Verdana"/>
          <w:sz w:val="20"/>
          <w:szCs w:val="20"/>
        </w:rPr>
        <w:t xml:space="preserve">, sus respectivas listas definitivas de declarantes (en adelante “listas definitivas”) y que, por razones de economía procesal y en aplicación del referido </w:t>
      </w:r>
      <w:r w:rsidRPr="008321B4">
        <w:rPr>
          <w:rFonts w:ascii="Verdana" w:hAnsi="Verdana" w:cs="Verdana"/>
          <w:sz w:val="20"/>
          <w:szCs w:val="20"/>
        </w:rPr>
        <w:t>artículo, indicaran quiénes podían rendir su declaración ante fedatario público (</w:t>
      </w:r>
      <w:r w:rsidRPr="008321B4">
        <w:rPr>
          <w:rFonts w:ascii="Verdana" w:hAnsi="Verdana" w:cs="Verdana"/>
          <w:i/>
          <w:iCs/>
          <w:sz w:val="20"/>
          <w:szCs w:val="20"/>
        </w:rPr>
        <w:t>affidávit</w:t>
      </w:r>
      <w:r w:rsidRPr="008321B4">
        <w:rPr>
          <w:rFonts w:ascii="Verdana" w:hAnsi="Verdana" w:cs="Verdana"/>
          <w:sz w:val="20"/>
          <w:szCs w:val="20"/>
        </w:rPr>
        <w:t xml:space="preserve">) y quiénes </w:t>
      </w:r>
      <w:r w:rsidRPr="008321B4">
        <w:rPr>
          <w:rFonts w:ascii="Verdana" w:hAnsi="Verdana" w:cs="Verdana"/>
          <w:sz w:val="20"/>
          <w:szCs w:val="20"/>
        </w:rPr>
        <w:lastRenderedPageBreak/>
        <w:t>consideraban que debían ser llamados a declarar en audiencia pública</w:t>
      </w:r>
      <w:r>
        <w:rPr>
          <w:rFonts w:ascii="Verdana" w:hAnsi="Verdana" w:cs="Verdana"/>
          <w:sz w:val="20"/>
          <w:szCs w:val="20"/>
        </w:rPr>
        <w:t xml:space="preserve"> en orden de prioridad</w:t>
      </w:r>
      <w:r w:rsidRPr="008321B4">
        <w:rPr>
          <w:rFonts w:ascii="Verdana" w:hAnsi="Verdana" w:cs="Verdana"/>
          <w:sz w:val="20"/>
          <w:szCs w:val="20"/>
        </w:rPr>
        <w:t>.</w:t>
      </w:r>
      <w:r w:rsidR="004112DF">
        <w:rPr>
          <w:rFonts w:ascii="Verdana" w:hAnsi="Verdana" w:cs="Verdana"/>
          <w:sz w:val="20"/>
          <w:szCs w:val="20"/>
        </w:rPr>
        <w:t xml:space="preserve"> </w:t>
      </w:r>
    </w:p>
    <w:p w:rsidR="00E86810" w:rsidRDefault="00E86810" w:rsidP="00A43BA7">
      <w:pPr>
        <w:pStyle w:val="Prrafodelista"/>
        <w:rPr>
          <w:rFonts w:ascii="Verdana" w:hAnsi="Verdana" w:cs="Verdana"/>
          <w:sz w:val="20"/>
          <w:szCs w:val="20"/>
        </w:rPr>
      </w:pPr>
      <w:bookmarkStart w:id="4" w:name="_Ref326586448"/>
    </w:p>
    <w:p w:rsidR="00835C4E"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E86810">
        <w:rPr>
          <w:rFonts w:ascii="Verdana" w:hAnsi="Verdana" w:cs="Verdana"/>
          <w:sz w:val="20"/>
          <w:szCs w:val="20"/>
        </w:rPr>
        <w:t xml:space="preserve">Los escritos de </w:t>
      </w:r>
      <w:r w:rsidR="00E86810">
        <w:rPr>
          <w:rFonts w:ascii="Verdana" w:hAnsi="Verdana" w:cs="Verdana"/>
          <w:sz w:val="20"/>
          <w:szCs w:val="20"/>
        </w:rPr>
        <w:t>25</w:t>
      </w:r>
      <w:r w:rsidRPr="00E86810">
        <w:rPr>
          <w:rFonts w:ascii="Verdana" w:hAnsi="Verdana" w:cs="Verdana"/>
          <w:sz w:val="20"/>
          <w:szCs w:val="20"/>
        </w:rPr>
        <w:t xml:space="preserve"> </w:t>
      </w:r>
      <w:r w:rsidR="00E86810">
        <w:rPr>
          <w:rFonts w:ascii="Verdana" w:hAnsi="Verdana" w:cs="Verdana"/>
          <w:sz w:val="20"/>
          <w:szCs w:val="20"/>
        </w:rPr>
        <w:t xml:space="preserve">y 28 </w:t>
      </w:r>
      <w:r w:rsidRPr="00E86810">
        <w:rPr>
          <w:rFonts w:ascii="Verdana" w:hAnsi="Verdana" w:cs="Verdana"/>
          <w:sz w:val="20"/>
          <w:szCs w:val="20"/>
        </w:rPr>
        <w:t xml:space="preserve">de </w:t>
      </w:r>
      <w:r w:rsidR="00E86810">
        <w:rPr>
          <w:rFonts w:ascii="Verdana" w:hAnsi="Verdana" w:cs="Verdana"/>
          <w:sz w:val="20"/>
          <w:szCs w:val="20"/>
        </w:rPr>
        <w:t>febrero</w:t>
      </w:r>
      <w:r w:rsidRPr="00E86810">
        <w:rPr>
          <w:rFonts w:ascii="Verdana" w:hAnsi="Verdana" w:cs="Verdana"/>
          <w:sz w:val="20"/>
          <w:szCs w:val="20"/>
        </w:rPr>
        <w:t xml:space="preserve"> de 201</w:t>
      </w:r>
      <w:r w:rsidR="00E86810">
        <w:rPr>
          <w:rFonts w:ascii="Verdana" w:hAnsi="Verdana" w:cs="Verdana"/>
          <w:sz w:val="20"/>
          <w:szCs w:val="20"/>
        </w:rPr>
        <w:t>4</w:t>
      </w:r>
      <w:r w:rsidRPr="00E86810">
        <w:rPr>
          <w:rFonts w:ascii="Verdana" w:hAnsi="Verdana" w:cs="Verdana"/>
          <w:sz w:val="20"/>
          <w:szCs w:val="20"/>
        </w:rPr>
        <w:t xml:space="preserve">, mediante los cuales los representantes y la Comisión presentaron </w:t>
      </w:r>
      <w:r w:rsidR="00E86810">
        <w:rPr>
          <w:rFonts w:ascii="Verdana" w:hAnsi="Verdana" w:cs="Verdana"/>
          <w:sz w:val="20"/>
          <w:szCs w:val="20"/>
        </w:rPr>
        <w:t>sus</w:t>
      </w:r>
      <w:r w:rsidRPr="00E86810">
        <w:rPr>
          <w:rFonts w:ascii="Verdana" w:hAnsi="Verdana" w:cs="Verdana"/>
          <w:sz w:val="20"/>
          <w:szCs w:val="20"/>
        </w:rPr>
        <w:t xml:space="preserve"> listas definitivas de declarantes. </w:t>
      </w:r>
      <w:bookmarkEnd w:id="4"/>
      <w:r w:rsidR="00835C4E">
        <w:rPr>
          <w:rFonts w:ascii="Verdana" w:hAnsi="Verdana" w:cs="Verdana"/>
          <w:sz w:val="20"/>
          <w:szCs w:val="20"/>
        </w:rPr>
        <w:t xml:space="preserve">Los representantes confirmaron el ofrecimiento de la </w:t>
      </w:r>
      <w:r w:rsidR="00835C4E" w:rsidRPr="000B02B2">
        <w:rPr>
          <w:rFonts w:ascii="Verdana" w:hAnsi="Verdana" w:cs="Verdana"/>
          <w:sz w:val="20"/>
          <w:szCs w:val="20"/>
        </w:rPr>
        <w:t>declaración de ocho presuntas víctimas, seis testimonios y cinco peritajes</w:t>
      </w:r>
      <w:r w:rsidR="00835C4E">
        <w:rPr>
          <w:rFonts w:ascii="Verdana" w:hAnsi="Verdana" w:cs="Verdana"/>
          <w:sz w:val="20"/>
          <w:szCs w:val="20"/>
        </w:rPr>
        <w:t xml:space="preserve"> e indicaron que proponían para la audiencia pública la declaración de tres presuntas víctimas y dos peritos</w:t>
      </w:r>
      <w:r w:rsidR="00835C4E" w:rsidRPr="000B02B2">
        <w:rPr>
          <w:rFonts w:ascii="Verdana" w:hAnsi="Verdana" w:cs="Verdana"/>
          <w:sz w:val="20"/>
          <w:szCs w:val="20"/>
        </w:rPr>
        <w:t>.</w:t>
      </w:r>
      <w:r w:rsidR="00835C4E">
        <w:rPr>
          <w:rFonts w:ascii="Verdana" w:hAnsi="Verdana" w:cs="Verdana"/>
          <w:sz w:val="20"/>
          <w:szCs w:val="20"/>
        </w:rPr>
        <w:t xml:space="preserve"> La Comisión</w:t>
      </w:r>
      <w:r w:rsidR="00045C03">
        <w:rPr>
          <w:rFonts w:ascii="Verdana" w:hAnsi="Verdana" w:cs="Verdana"/>
          <w:sz w:val="20"/>
          <w:szCs w:val="20"/>
        </w:rPr>
        <w:t xml:space="preserve"> reiteró el ofrecimiento de los dos peritos propuestos y solicitó que los dos sean escuchados en la audiencia. </w:t>
      </w:r>
    </w:p>
    <w:p w:rsidR="00835C4E" w:rsidRDefault="00835C4E" w:rsidP="00A43BA7">
      <w:pPr>
        <w:pStyle w:val="Prrafodelista"/>
        <w:rPr>
          <w:rFonts w:ascii="Verdana" w:hAnsi="Verdana" w:cs="Verdana"/>
          <w:sz w:val="20"/>
          <w:szCs w:val="20"/>
        </w:rPr>
      </w:pPr>
    </w:p>
    <w:p w:rsidR="00236466" w:rsidRPr="00972E80" w:rsidRDefault="00236466" w:rsidP="00972E80">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835C4E">
        <w:rPr>
          <w:rFonts w:ascii="Verdana" w:hAnsi="Verdana" w:cs="Verdana"/>
          <w:sz w:val="20"/>
          <w:szCs w:val="20"/>
        </w:rPr>
        <w:t xml:space="preserve">Las notas de la Secretaría de </w:t>
      </w:r>
      <w:r w:rsidR="00E86810" w:rsidRPr="00835C4E">
        <w:rPr>
          <w:rFonts w:ascii="Verdana" w:hAnsi="Verdana" w:cs="Verdana"/>
          <w:sz w:val="20"/>
          <w:szCs w:val="20"/>
        </w:rPr>
        <w:t>6</w:t>
      </w:r>
      <w:r w:rsidRPr="00835C4E">
        <w:rPr>
          <w:rFonts w:ascii="Verdana" w:hAnsi="Verdana" w:cs="Verdana"/>
          <w:sz w:val="20"/>
          <w:szCs w:val="20"/>
        </w:rPr>
        <w:t xml:space="preserve"> de </w:t>
      </w:r>
      <w:r w:rsidR="00E86810" w:rsidRPr="00835C4E">
        <w:rPr>
          <w:rFonts w:ascii="Verdana" w:hAnsi="Verdana" w:cs="Verdana"/>
          <w:sz w:val="20"/>
          <w:szCs w:val="20"/>
        </w:rPr>
        <w:t>marzo</w:t>
      </w:r>
      <w:r w:rsidRPr="00835C4E">
        <w:rPr>
          <w:rFonts w:ascii="Verdana" w:hAnsi="Verdana" w:cs="Verdana"/>
          <w:sz w:val="20"/>
          <w:szCs w:val="20"/>
        </w:rPr>
        <w:t xml:space="preserve"> d</w:t>
      </w:r>
      <w:r w:rsidR="00E86810" w:rsidRPr="00835C4E">
        <w:rPr>
          <w:rFonts w:ascii="Verdana" w:hAnsi="Verdana" w:cs="Verdana"/>
          <w:sz w:val="20"/>
          <w:szCs w:val="20"/>
        </w:rPr>
        <w:t>e 2014</w:t>
      </w:r>
      <w:r w:rsidRPr="00835C4E">
        <w:rPr>
          <w:rFonts w:ascii="Verdana" w:hAnsi="Verdana" w:cs="Verdana"/>
          <w:sz w:val="20"/>
          <w:szCs w:val="20"/>
        </w:rPr>
        <w:t>, mediante la</w:t>
      </w:r>
      <w:r w:rsidR="00B4741B" w:rsidRPr="00835C4E">
        <w:rPr>
          <w:rFonts w:ascii="Verdana" w:hAnsi="Verdana" w:cs="Verdana"/>
          <w:sz w:val="20"/>
          <w:szCs w:val="20"/>
        </w:rPr>
        <w:t>s</w:t>
      </w:r>
      <w:r w:rsidRPr="00835C4E">
        <w:rPr>
          <w:rFonts w:ascii="Verdana" w:hAnsi="Verdana" w:cs="Verdana"/>
          <w:sz w:val="20"/>
          <w:szCs w:val="20"/>
        </w:rPr>
        <w:t xml:space="preserve"> cual</w:t>
      </w:r>
      <w:r w:rsidR="00B4741B" w:rsidRPr="00835C4E">
        <w:rPr>
          <w:rFonts w:ascii="Verdana" w:hAnsi="Verdana" w:cs="Verdana"/>
          <w:sz w:val="20"/>
          <w:szCs w:val="20"/>
        </w:rPr>
        <w:t>es</w:t>
      </w:r>
      <w:r w:rsidRPr="00835C4E">
        <w:rPr>
          <w:rFonts w:ascii="Verdana" w:hAnsi="Verdana" w:cs="Verdana"/>
          <w:sz w:val="20"/>
          <w:szCs w:val="20"/>
        </w:rPr>
        <w:t xml:space="preserve"> se acusó recibo </w:t>
      </w:r>
      <w:r w:rsidR="00552D76" w:rsidRPr="00835C4E">
        <w:rPr>
          <w:rFonts w:ascii="Verdana" w:hAnsi="Verdana" w:cs="Verdana"/>
          <w:sz w:val="20"/>
          <w:szCs w:val="20"/>
          <w:lang w:val="es-CL" w:eastAsia="en-US"/>
        </w:rPr>
        <w:t xml:space="preserve">y se </w:t>
      </w:r>
      <w:r w:rsidR="00552D76" w:rsidRPr="00972E80">
        <w:rPr>
          <w:rFonts w:ascii="Verdana" w:hAnsi="Verdana" w:cs="Verdana"/>
          <w:sz w:val="20"/>
          <w:szCs w:val="20"/>
          <w:lang w:val="es-CL" w:eastAsia="en-US"/>
        </w:rPr>
        <w:t xml:space="preserve">informó a las partes que, en los términos del artículo 46 del Reglamento y siguiendo instrucciones del Presidente, contaban con un plazo de 10 días para presentar las observaciones que estimaren pertinentes. Asimismo, se hizo notar que </w:t>
      </w:r>
      <w:r w:rsidR="00552D76" w:rsidRPr="00972E80">
        <w:rPr>
          <w:rFonts w:ascii="Verdana" w:hAnsi="Verdana"/>
          <w:sz w:val="20"/>
          <w:szCs w:val="20"/>
        </w:rPr>
        <w:t>Estado de Venezuela no remitió la lista definitiva de sus declarantes propuestos y que se tomara</w:t>
      </w:r>
      <w:r w:rsidR="00552D76" w:rsidRPr="00972E80">
        <w:rPr>
          <w:rFonts w:ascii="Verdana" w:hAnsi="Verdana"/>
          <w:sz w:val="20"/>
          <w:szCs w:val="20"/>
          <w:lang w:val="es-PR"/>
        </w:rPr>
        <w:t xml:space="preserve"> en cuenta el ofrecimiento de prueba realizado por el Estado en su contestación.</w:t>
      </w:r>
      <w:r w:rsidR="000F4FFA" w:rsidRPr="00972E80">
        <w:rPr>
          <w:rFonts w:ascii="Verdana" w:hAnsi="Verdana"/>
          <w:sz w:val="20"/>
          <w:szCs w:val="20"/>
          <w:lang w:val="es-PR"/>
        </w:rPr>
        <w:t xml:space="preserve"> </w:t>
      </w:r>
    </w:p>
    <w:p w:rsidR="00236466" w:rsidRDefault="00236466" w:rsidP="00A43BA7">
      <w:pPr>
        <w:jc w:val="both"/>
        <w:rPr>
          <w:rFonts w:ascii="Verdana" w:hAnsi="Verdana" w:cs="Verdana"/>
          <w:sz w:val="20"/>
          <w:szCs w:val="20"/>
        </w:rPr>
      </w:pPr>
    </w:p>
    <w:p w:rsidR="00BA6D7C" w:rsidRDefault="00835C4E"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E86810">
        <w:rPr>
          <w:rFonts w:ascii="Verdana" w:hAnsi="Verdana"/>
          <w:sz w:val="20"/>
          <w:szCs w:val="20"/>
          <w:lang w:val="es-CR" w:eastAsia="en-US"/>
        </w:rPr>
        <w:t>Los escritos de 4 y 7 de marzo de 2014, mediante los cuales la Comisión y los representantes</w:t>
      </w:r>
      <w:r w:rsidR="00972E80">
        <w:rPr>
          <w:rFonts w:ascii="Verdana" w:hAnsi="Verdana"/>
          <w:sz w:val="20"/>
          <w:szCs w:val="20"/>
          <w:lang w:val="es-CR" w:eastAsia="en-US"/>
        </w:rPr>
        <w:t xml:space="preserve"> presentaron</w:t>
      </w:r>
      <w:r w:rsidRPr="00E86810">
        <w:rPr>
          <w:rFonts w:ascii="Verdana" w:hAnsi="Verdana"/>
          <w:sz w:val="20"/>
          <w:szCs w:val="20"/>
          <w:lang w:val="es-CR" w:eastAsia="en-US"/>
        </w:rPr>
        <w:t>, respectivamente, sus observaciones a las excepciones preliminares interpuestas por el Est</w:t>
      </w:r>
      <w:r w:rsidRPr="00552D76">
        <w:rPr>
          <w:rFonts w:ascii="Verdana" w:hAnsi="Verdana"/>
          <w:sz w:val="20"/>
          <w:szCs w:val="20"/>
          <w:lang w:val="es-CR" w:eastAsia="en-US"/>
        </w:rPr>
        <w:t>ado de Venezuela (</w:t>
      </w:r>
      <w:r w:rsidRPr="00552D76">
        <w:rPr>
          <w:rFonts w:ascii="Verdana" w:hAnsi="Verdana"/>
          <w:i/>
          <w:sz w:val="20"/>
          <w:szCs w:val="20"/>
          <w:lang w:val="es-CR" w:eastAsia="en-US"/>
        </w:rPr>
        <w:t>supra</w:t>
      </w:r>
      <w:r w:rsidRPr="00552D76">
        <w:rPr>
          <w:rFonts w:ascii="Verdana" w:hAnsi="Verdana"/>
          <w:sz w:val="20"/>
          <w:szCs w:val="20"/>
          <w:lang w:val="es-CR" w:eastAsia="en-US"/>
        </w:rPr>
        <w:t xml:space="preserve"> Vistos 3 y 4)</w:t>
      </w:r>
      <w:r w:rsidRPr="00552D76">
        <w:rPr>
          <w:rFonts w:ascii="Verdana" w:hAnsi="Verdana" w:cs="Verdana"/>
          <w:sz w:val="20"/>
          <w:szCs w:val="20"/>
          <w:lang w:val="es-CR"/>
        </w:rPr>
        <w:t xml:space="preserve">. </w:t>
      </w:r>
    </w:p>
    <w:p w:rsidR="00BA6D7C" w:rsidRDefault="00BA6D7C" w:rsidP="00A43BA7">
      <w:pPr>
        <w:pStyle w:val="Prrafodelista"/>
        <w:rPr>
          <w:rFonts w:ascii="Verdana" w:hAnsi="Verdana" w:cs="Verdana"/>
          <w:sz w:val="20"/>
          <w:szCs w:val="20"/>
        </w:rPr>
      </w:pPr>
    </w:p>
    <w:p w:rsidR="00236466" w:rsidRPr="00C93C37"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C93C37">
        <w:rPr>
          <w:rFonts w:ascii="Verdana" w:hAnsi="Verdana" w:cs="Verdana"/>
          <w:sz w:val="20"/>
          <w:szCs w:val="20"/>
        </w:rPr>
        <w:t xml:space="preserve">El escrito de </w:t>
      </w:r>
      <w:r w:rsidR="00B73A4A" w:rsidRPr="00C93C37">
        <w:rPr>
          <w:rFonts w:ascii="Verdana" w:hAnsi="Verdana" w:cs="Verdana"/>
          <w:sz w:val="20"/>
          <w:szCs w:val="20"/>
        </w:rPr>
        <w:t>14</w:t>
      </w:r>
      <w:r w:rsidRPr="00C93C37">
        <w:rPr>
          <w:rFonts w:ascii="Verdana" w:hAnsi="Verdana" w:cs="Verdana"/>
          <w:sz w:val="20"/>
          <w:szCs w:val="20"/>
        </w:rPr>
        <w:t xml:space="preserve"> de </w:t>
      </w:r>
      <w:r w:rsidR="00B73A4A" w:rsidRPr="00C93C37">
        <w:rPr>
          <w:rFonts w:ascii="Verdana" w:hAnsi="Verdana" w:cs="Verdana"/>
          <w:sz w:val="20"/>
          <w:szCs w:val="20"/>
        </w:rPr>
        <w:t>marzo de 2014</w:t>
      </w:r>
      <w:r w:rsidRPr="00C93C37">
        <w:rPr>
          <w:rFonts w:ascii="Verdana" w:hAnsi="Verdana" w:cs="Verdana"/>
          <w:sz w:val="20"/>
          <w:szCs w:val="20"/>
        </w:rPr>
        <w:t xml:space="preserve">, mediante </w:t>
      </w:r>
      <w:r w:rsidR="00B73A4A" w:rsidRPr="00C93C37">
        <w:rPr>
          <w:rFonts w:ascii="Verdana" w:hAnsi="Verdana" w:cs="Verdana"/>
          <w:sz w:val="20"/>
          <w:szCs w:val="20"/>
        </w:rPr>
        <w:t>el cual</w:t>
      </w:r>
      <w:r w:rsidR="00792AE9" w:rsidRPr="00C93C37">
        <w:rPr>
          <w:rFonts w:ascii="Verdana" w:hAnsi="Verdana" w:cs="Verdana"/>
          <w:sz w:val="20"/>
          <w:szCs w:val="20"/>
        </w:rPr>
        <w:t xml:space="preserve"> los representantes remitie</w:t>
      </w:r>
      <w:r w:rsidRPr="00C93C37">
        <w:rPr>
          <w:rFonts w:ascii="Verdana" w:hAnsi="Verdana" w:cs="Verdana"/>
          <w:sz w:val="20"/>
          <w:szCs w:val="20"/>
        </w:rPr>
        <w:t xml:space="preserve">ron observaciones a la lista definitiva del Estado, objetaron las declaraciones de </w:t>
      </w:r>
      <w:r w:rsidR="00B73A4A" w:rsidRPr="00C93C37">
        <w:rPr>
          <w:rFonts w:ascii="Verdana" w:hAnsi="Verdana" w:cs="Verdana"/>
          <w:sz w:val="20"/>
          <w:szCs w:val="20"/>
        </w:rPr>
        <w:t>dos</w:t>
      </w:r>
      <w:r w:rsidR="00B4741B" w:rsidRPr="00C93C37">
        <w:rPr>
          <w:rFonts w:ascii="Verdana" w:hAnsi="Verdana" w:cs="Verdana"/>
          <w:sz w:val="20"/>
          <w:szCs w:val="20"/>
        </w:rPr>
        <w:t xml:space="preserve"> testigos y recusaron </w:t>
      </w:r>
      <w:r w:rsidR="00B73A4A" w:rsidRPr="00C93C37">
        <w:rPr>
          <w:rFonts w:ascii="Verdana" w:hAnsi="Verdana" w:cs="Verdana"/>
          <w:sz w:val="20"/>
          <w:szCs w:val="20"/>
        </w:rPr>
        <w:t>a tres peritos</w:t>
      </w:r>
      <w:r w:rsidRPr="00C93C37">
        <w:rPr>
          <w:rFonts w:ascii="Verdana" w:hAnsi="Verdana" w:cs="Verdana"/>
          <w:sz w:val="20"/>
          <w:szCs w:val="20"/>
        </w:rPr>
        <w:t>.</w:t>
      </w:r>
      <w:r w:rsidR="00EB64A8" w:rsidRPr="00C93C37">
        <w:rPr>
          <w:rFonts w:ascii="Verdana" w:hAnsi="Verdana" w:cs="Verdana"/>
          <w:sz w:val="20"/>
          <w:szCs w:val="20"/>
        </w:rPr>
        <w:t xml:space="preserve"> </w:t>
      </w:r>
    </w:p>
    <w:p w:rsidR="00B73A4A" w:rsidRPr="00C93C37" w:rsidRDefault="00B73A4A" w:rsidP="00A43BA7">
      <w:pPr>
        <w:pStyle w:val="Prrafodelista"/>
        <w:rPr>
          <w:rFonts w:ascii="Verdana" w:hAnsi="Verdana" w:cs="Verdana"/>
          <w:sz w:val="20"/>
          <w:szCs w:val="20"/>
        </w:rPr>
      </w:pPr>
    </w:p>
    <w:p w:rsidR="00EB64A8" w:rsidRPr="00C93C37" w:rsidRDefault="00B73A4A"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C93C37">
        <w:rPr>
          <w:rFonts w:ascii="Verdana" w:hAnsi="Verdana" w:cs="Verdana"/>
          <w:sz w:val="20"/>
          <w:szCs w:val="20"/>
        </w:rPr>
        <w:t>El escrito de 14 de marzo de 2014, mediante el cual el Estado presentó sus  observaciones a la lista definitiva de los representantes, ob</w:t>
      </w:r>
      <w:r w:rsidR="00753A60">
        <w:rPr>
          <w:rFonts w:ascii="Verdana" w:hAnsi="Verdana" w:cs="Verdana"/>
          <w:sz w:val="20"/>
          <w:szCs w:val="20"/>
        </w:rPr>
        <w:t>jetó las declaraciones de alguna</w:t>
      </w:r>
      <w:r w:rsidRPr="00C93C37">
        <w:rPr>
          <w:rFonts w:ascii="Verdana" w:hAnsi="Verdana" w:cs="Verdana"/>
          <w:sz w:val="20"/>
          <w:szCs w:val="20"/>
        </w:rPr>
        <w:t>s</w:t>
      </w:r>
      <w:r w:rsidR="00753A60">
        <w:rPr>
          <w:rFonts w:ascii="Verdana" w:hAnsi="Verdana" w:cs="Verdana"/>
          <w:sz w:val="20"/>
          <w:szCs w:val="20"/>
        </w:rPr>
        <w:t xml:space="preserve"> presuntas víctimas y</w:t>
      </w:r>
      <w:r w:rsidRPr="00C93C37">
        <w:rPr>
          <w:rFonts w:ascii="Verdana" w:hAnsi="Verdana" w:cs="Verdana"/>
          <w:sz w:val="20"/>
          <w:szCs w:val="20"/>
        </w:rPr>
        <w:t xml:space="preserve"> </w:t>
      </w:r>
      <w:r w:rsidRPr="00753A60">
        <w:rPr>
          <w:rFonts w:ascii="Verdana" w:hAnsi="Verdana" w:cs="Verdana"/>
          <w:sz w:val="20"/>
          <w:szCs w:val="20"/>
        </w:rPr>
        <w:t>testigos y a un perito propuesto por los representantes.</w:t>
      </w:r>
      <w:r w:rsidR="00EB64A8" w:rsidRPr="00C93C37">
        <w:rPr>
          <w:rFonts w:ascii="Verdana" w:hAnsi="Verdana" w:cs="Verdana"/>
          <w:sz w:val="20"/>
          <w:szCs w:val="20"/>
        </w:rPr>
        <w:t xml:space="preserve"> Asimismo, el Estado se opuso a </w:t>
      </w:r>
      <w:r w:rsidR="00EB64A8" w:rsidRPr="00C93C37">
        <w:rPr>
          <w:rFonts w:ascii="Verdana" w:hAnsi="Verdana"/>
          <w:sz w:val="20"/>
          <w:szCs w:val="20"/>
        </w:rPr>
        <w:t xml:space="preserve">la solicitud presentada por los representantes de trasladar las declaraciones periciales del </w:t>
      </w:r>
      <w:r w:rsidR="00972E80">
        <w:rPr>
          <w:rFonts w:ascii="Verdana" w:hAnsi="Verdana"/>
          <w:sz w:val="20"/>
          <w:szCs w:val="20"/>
        </w:rPr>
        <w:t xml:space="preserve">caso </w:t>
      </w:r>
      <w:r w:rsidR="00972E80" w:rsidRPr="000C50BF">
        <w:rPr>
          <w:rFonts w:ascii="Verdana" w:hAnsi="Verdana"/>
          <w:i/>
          <w:sz w:val="20"/>
          <w:szCs w:val="20"/>
        </w:rPr>
        <w:t>Ríos y otros Vs. Venezuela</w:t>
      </w:r>
      <w:r w:rsidR="00EB64A8" w:rsidRPr="00C93C37">
        <w:rPr>
          <w:rFonts w:ascii="Verdana" w:hAnsi="Verdana"/>
          <w:sz w:val="20"/>
          <w:szCs w:val="20"/>
        </w:rPr>
        <w:t xml:space="preserve">. </w:t>
      </w:r>
    </w:p>
    <w:p w:rsidR="00C93C37" w:rsidRPr="00105E5B" w:rsidRDefault="00C93C37" w:rsidP="00A43BA7">
      <w:pPr>
        <w:pStyle w:val="Prrafodelista"/>
        <w:rPr>
          <w:rFonts w:ascii="Verdana" w:hAnsi="Verdana" w:cs="Verdana"/>
          <w:sz w:val="20"/>
          <w:szCs w:val="20"/>
        </w:rPr>
      </w:pPr>
    </w:p>
    <w:p w:rsidR="00C93C37" w:rsidRPr="00105E5B" w:rsidRDefault="00C93C37"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105E5B">
        <w:rPr>
          <w:rFonts w:ascii="Verdana" w:hAnsi="Verdana"/>
          <w:sz w:val="20"/>
          <w:szCs w:val="20"/>
        </w:rPr>
        <w:t>La Comisión Interamericana no presentó observaciones a las listas definitivas de declarantes remitidas por las partes.</w:t>
      </w:r>
    </w:p>
    <w:p w:rsidR="00105E5B" w:rsidRPr="00105E5B" w:rsidRDefault="00105E5B" w:rsidP="00A43BA7">
      <w:pPr>
        <w:pStyle w:val="Prrafodelista"/>
        <w:rPr>
          <w:rFonts w:ascii="Verdana" w:hAnsi="Verdana" w:cs="Verdana"/>
          <w:sz w:val="20"/>
          <w:szCs w:val="20"/>
        </w:rPr>
      </w:pPr>
    </w:p>
    <w:p w:rsidR="00E319C0" w:rsidRDefault="00105E5B"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105E5B">
        <w:rPr>
          <w:rFonts w:ascii="Verdana" w:hAnsi="Verdana" w:cs="Verdana"/>
          <w:sz w:val="20"/>
          <w:szCs w:val="20"/>
        </w:rPr>
        <w:t xml:space="preserve">El </w:t>
      </w:r>
      <w:r w:rsidRPr="00105E5B">
        <w:rPr>
          <w:rFonts w:ascii="Verdana" w:hAnsi="Verdana"/>
          <w:sz w:val="20"/>
          <w:szCs w:val="20"/>
        </w:rPr>
        <w:t>escrito de 17 de marzo de 2014, mediante el cual los representantes de las presuntas víctimas formularon “ligeras enmiendas” a su lista definitiva de declarantes.</w:t>
      </w:r>
    </w:p>
    <w:p w:rsidR="00E319C0" w:rsidRDefault="00E319C0" w:rsidP="00A43BA7">
      <w:pPr>
        <w:pStyle w:val="Prrafodelista"/>
        <w:rPr>
          <w:rFonts w:ascii="Verdana" w:hAnsi="Verdana" w:cs="Verdana"/>
          <w:sz w:val="20"/>
          <w:szCs w:val="20"/>
        </w:rPr>
      </w:pPr>
    </w:p>
    <w:p w:rsidR="0084291C" w:rsidRPr="009762B7"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E319C0">
        <w:rPr>
          <w:rFonts w:ascii="Verdana" w:hAnsi="Verdana" w:cs="Verdana"/>
          <w:sz w:val="20"/>
          <w:szCs w:val="20"/>
        </w:rPr>
        <w:t xml:space="preserve">Las notas de la Secretaría de </w:t>
      </w:r>
      <w:r w:rsidR="00E319C0">
        <w:rPr>
          <w:rFonts w:ascii="Verdana" w:hAnsi="Verdana" w:cs="Verdana"/>
          <w:sz w:val="20"/>
          <w:szCs w:val="20"/>
        </w:rPr>
        <w:t>19</w:t>
      </w:r>
      <w:r w:rsidRPr="00E319C0">
        <w:rPr>
          <w:rFonts w:ascii="Verdana" w:hAnsi="Verdana" w:cs="Verdana"/>
          <w:sz w:val="20"/>
          <w:szCs w:val="20"/>
        </w:rPr>
        <w:t xml:space="preserve"> de </w:t>
      </w:r>
      <w:r w:rsidR="00E319C0">
        <w:rPr>
          <w:rFonts w:ascii="Verdana" w:hAnsi="Verdana" w:cs="Verdana"/>
          <w:sz w:val="20"/>
          <w:szCs w:val="20"/>
        </w:rPr>
        <w:t>marzo de 2014</w:t>
      </w:r>
      <w:r w:rsidRPr="00E319C0">
        <w:rPr>
          <w:rFonts w:ascii="Verdana" w:hAnsi="Verdana" w:cs="Verdana"/>
          <w:sz w:val="20"/>
          <w:szCs w:val="20"/>
        </w:rPr>
        <w:t xml:space="preserve">, mediante las cuales, siguiendo instrucciones del Presidente, se transmitieron los referidos escritos de </w:t>
      </w:r>
      <w:r w:rsidR="00B4741B" w:rsidRPr="00E319C0">
        <w:rPr>
          <w:rFonts w:ascii="Verdana" w:hAnsi="Verdana" w:cs="Verdana"/>
          <w:sz w:val="20"/>
          <w:szCs w:val="20"/>
        </w:rPr>
        <w:t xml:space="preserve">observaciones de </w:t>
      </w:r>
      <w:r w:rsidRPr="00E319C0">
        <w:rPr>
          <w:rFonts w:ascii="Verdana" w:hAnsi="Verdana" w:cs="Verdana"/>
          <w:sz w:val="20"/>
          <w:szCs w:val="20"/>
        </w:rPr>
        <w:t xml:space="preserve">los representantes y del Estado </w:t>
      </w:r>
      <w:r w:rsidR="00B4741B" w:rsidRPr="00E319C0">
        <w:rPr>
          <w:rFonts w:ascii="Verdana" w:hAnsi="Verdana" w:cs="Verdana"/>
          <w:sz w:val="20"/>
          <w:szCs w:val="20"/>
        </w:rPr>
        <w:t>(</w:t>
      </w:r>
      <w:r w:rsidR="00B4741B" w:rsidRPr="00E319C0">
        <w:rPr>
          <w:rFonts w:ascii="Verdana" w:hAnsi="Verdana" w:cs="Verdana"/>
          <w:i/>
          <w:sz w:val="20"/>
          <w:szCs w:val="20"/>
        </w:rPr>
        <w:t>supra</w:t>
      </w:r>
      <w:r w:rsidR="00B4741B" w:rsidRPr="00E319C0">
        <w:rPr>
          <w:rFonts w:ascii="Verdana" w:hAnsi="Verdana" w:cs="Verdana"/>
          <w:sz w:val="20"/>
          <w:szCs w:val="20"/>
        </w:rPr>
        <w:t xml:space="preserve"> Vistos </w:t>
      </w:r>
      <w:r w:rsidR="00E319C0">
        <w:rPr>
          <w:rFonts w:ascii="Verdana" w:hAnsi="Verdana" w:cs="Verdana"/>
          <w:sz w:val="20"/>
          <w:szCs w:val="20"/>
        </w:rPr>
        <w:t>9</w:t>
      </w:r>
      <w:r w:rsidR="00B4741B" w:rsidRPr="00E319C0">
        <w:rPr>
          <w:rFonts w:ascii="Verdana" w:hAnsi="Verdana" w:cs="Verdana"/>
          <w:sz w:val="20"/>
          <w:szCs w:val="20"/>
        </w:rPr>
        <w:t xml:space="preserve"> y </w:t>
      </w:r>
      <w:r w:rsidR="00E319C0">
        <w:rPr>
          <w:rFonts w:ascii="Verdana" w:hAnsi="Verdana" w:cs="Verdana"/>
          <w:sz w:val="20"/>
          <w:szCs w:val="20"/>
        </w:rPr>
        <w:t>10</w:t>
      </w:r>
      <w:r w:rsidR="00B4741B" w:rsidRPr="00E319C0">
        <w:rPr>
          <w:rFonts w:ascii="Verdana" w:hAnsi="Verdana" w:cs="Verdana"/>
          <w:sz w:val="20"/>
          <w:szCs w:val="20"/>
        </w:rPr>
        <w:t xml:space="preserve">) </w:t>
      </w:r>
      <w:r w:rsidRPr="00E319C0">
        <w:rPr>
          <w:rFonts w:ascii="Verdana" w:hAnsi="Verdana" w:cs="Verdana"/>
          <w:sz w:val="20"/>
          <w:szCs w:val="20"/>
        </w:rPr>
        <w:t xml:space="preserve">a los peritos recusados, y se les otorgó un plazo hasta el </w:t>
      </w:r>
      <w:r w:rsidR="00E319C0">
        <w:rPr>
          <w:rFonts w:ascii="Verdana" w:hAnsi="Verdana" w:cs="Verdana"/>
          <w:sz w:val="20"/>
          <w:szCs w:val="20"/>
        </w:rPr>
        <w:t>26</w:t>
      </w:r>
      <w:r w:rsidRPr="00E319C0">
        <w:rPr>
          <w:rFonts w:ascii="Verdana" w:hAnsi="Verdana" w:cs="Verdana"/>
          <w:sz w:val="20"/>
          <w:szCs w:val="20"/>
        </w:rPr>
        <w:t xml:space="preserve"> de </w:t>
      </w:r>
      <w:r w:rsidR="00E319C0">
        <w:rPr>
          <w:rFonts w:ascii="Verdana" w:hAnsi="Verdana" w:cs="Verdana"/>
          <w:sz w:val="20"/>
          <w:szCs w:val="20"/>
        </w:rPr>
        <w:t>marzo de 2014</w:t>
      </w:r>
      <w:r w:rsidRPr="00E319C0">
        <w:rPr>
          <w:rFonts w:ascii="Verdana" w:hAnsi="Verdana" w:cs="Verdana"/>
          <w:sz w:val="20"/>
          <w:szCs w:val="20"/>
        </w:rPr>
        <w:t xml:space="preserve"> para que presentaran sus </w:t>
      </w:r>
      <w:r w:rsidRPr="009762B7">
        <w:rPr>
          <w:rFonts w:ascii="Verdana" w:hAnsi="Verdana" w:cs="Verdana"/>
          <w:sz w:val="20"/>
          <w:szCs w:val="20"/>
        </w:rPr>
        <w:t xml:space="preserve">observaciones respecto a las respectivas recusaciones en su contra. </w:t>
      </w:r>
    </w:p>
    <w:p w:rsidR="0084291C" w:rsidRPr="009762B7" w:rsidRDefault="0084291C" w:rsidP="00A43BA7">
      <w:pPr>
        <w:pStyle w:val="Prrafodelista"/>
        <w:rPr>
          <w:rFonts w:ascii="Verdana" w:hAnsi="Verdana" w:cs="Verdana"/>
          <w:sz w:val="20"/>
          <w:szCs w:val="20"/>
        </w:rPr>
      </w:pPr>
    </w:p>
    <w:p w:rsidR="00236466" w:rsidRPr="009762B7" w:rsidRDefault="00236466" w:rsidP="00A43BA7">
      <w:pPr>
        <w:numPr>
          <w:ilvl w:val="0"/>
          <w:numId w:val="29"/>
        </w:numPr>
        <w:tabs>
          <w:tab w:val="clear" w:pos="360"/>
          <w:tab w:val="num" w:pos="720"/>
        </w:tabs>
        <w:autoSpaceDE w:val="0"/>
        <w:autoSpaceDN w:val="0"/>
        <w:adjustRightInd w:val="0"/>
        <w:ind w:left="0" w:firstLine="0"/>
        <w:jc w:val="both"/>
        <w:rPr>
          <w:rFonts w:ascii="Verdana" w:hAnsi="Verdana" w:cs="Verdana"/>
          <w:sz w:val="20"/>
          <w:szCs w:val="20"/>
        </w:rPr>
      </w:pPr>
      <w:r w:rsidRPr="009762B7">
        <w:rPr>
          <w:rFonts w:ascii="Verdana" w:hAnsi="Verdana" w:cs="Verdana"/>
          <w:sz w:val="20"/>
          <w:szCs w:val="20"/>
        </w:rPr>
        <w:t xml:space="preserve">Los escritos presentados los días </w:t>
      </w:r>
      <w:r w:rsidR="009762B7" w:rsidRPr="009762B7">
        <w:rPr>
          <w:rFonts w:ascii="Verdana" w:hAnsi="Verdana" w:cs="Verdana"/>
          <w:sz w:val="20"/>
          <w:szCs w:val="20"/>
        </w:rPr>
        <w:t>24 y 26</w:t>
      </w:r>
      <w:r w:rsidRPr="009762B7">
        <w:rPr>
          <w:rFonts w:ascii="Verdana" w:hAnsi="Verdana" w:cs="Verdana"/>
          <w:sz w:val="20"/>
          <w:szCs w:val="20"/>
        </w:rPr>
        <w:t xml:space="preserve"> de </w:t>
      </w:r>
      <w:r w:rsidR="009762B7" w:rsidRPr="009762B7">
        <w:rPr>
          <w:rFonts w:ascii="Verdana" w:hAnsi="Verdana" w:cs="Verdana"/>
          <w:sz w:val="20"/>
          <w:szCs w:val="20"/>
        </w:rPr>
        <w:t>marzo</w:t>
      </w:r>
      <w:r w:rsidRPr="009762B7">
        <w:rPr>
          <w:rFonts w:ascii="Verdana" w:hAnsi="Verdana" w:cs="Verdana"/>
          <w:sz w:val="20"/>
          <w:szCs w:val="20"/>
        </w:rPr>
        <w:t xml:space="preserve"> de 201</w:t>
      </w:r>
      <w:r w:rsidR="009762B7" w:rsidRPr="009762B7">
        <w:rPr>
          <w:rFonts w:ascii="Verdana" w:hAnsi="Verdana" w:cs="Verdana"/>
          <w:sz w:val="20"/>
          <w:szCs w:val="20"/>
        </w:rPr>
        <w:t>4</w:t>
      </w:r>
      <w:r w:rsidRPr="009762B7">
        <w:rPr>
          <w:rFonts w:ascii="Verdana" w:hAnsi="Verdana" w:cs="Verdana"/>
          <w:sz w:val="20"/>
          <w:szCs w:val="20"/>
        </w:rPr>
        <w:t xml:space="preserve">, mediante los cuales </w:t>
      </w:r>
      <w:r w:rsidR="009762B7" w:rsidRPr="009762B7">
        <w:rPr>
          <w:rFonts w:ascii="Verdana" w:hAnsi="Verdana" w:cs="Verdana"/>
          <w:sz w:val="20"/>
          <w:szCs w:val="20"/>
        </w:rPr>
        <w:t>los</w:t>
      </w:r>
      <w:r w:rsidRPr="009762B7">
        <w:rPr>
          <w:rFonts w:ascii="Verdana" w:hAnsi="Verdana" w:cs="Verdana"/>
          <w:sz w:val="20"/>
          <w:szCs w:val="20"/>
        </w:rPr>
        <w:t xml:space="preserve"> perito</w:t>
      </w:r>
      <w:r w:rsidR="009762B7" w:rsidRPr="009762B7">
        <w:rPr>
          <w:rFonts w:ascii="Verdana" w:hAnsi="Verdana" w:cs="Verdana"/>
          <w:sz w:val="20"/>
          <w:szCs w:val="20"/>
        </w:rPr>
        <w:t>s ofrecidos</w:t>
      </w:r>
      <w:r w:rsidRPr="009762B7">
        <w:rPr>
          <w:rFonts w:ascii="Verdana" w:hAnsi="Verdana" w:cs="Verdana"/>
          <w:sz w:val="20"/>
          <w:szCs w:val="20"/>
        </w:rPr>
        <w:t xml:space="preserve"> por e</w:t>
      </w:r>
      <w:r w:rsidR="009762B7" w:rsidRPr="009762B7">
        <w:rPr>
          <w:rFonts w:ascii="Verdana" w:hAnsi="Verdana" w:cs="Verdana"/>
          <w:sz w:val="20"/>
          <w:szCs w:val="20"/>
        </w:rPr>
        <w:t>l Estado y el perito presentado</w:t>
      </w:r>
      <w:r w:rsidR="00972E80">
        <w:rPr>
          <w:rFonts w:ascii="Verdana" w:hAnsi="Verdana" w:cs="Verdana"/>
          <w:sz w:val="20"/>
          <w:szCs w:val="20"/>
        </w:rPr>
        <w:t xml:space="preserve"> por los representantes</w:t>
      </w:r>
      <w:r w:rsidRPr="009762B7">
        <w:rPr>
          <w:rFonts w:ascii="Verdana" w:hAnsi="Verdana" w:cs="Verdana"/>
          <w:sz w:val="20"/>
          <w:szCs w:val="20"/>
        </w:rPr>
        <w:t xml:space="preserve"> presentaron sus observaciones a las respectivas recusaciones en su contra. </w:t>
      </w:r>
    </w:p>
    <w:p w:rsidR="00731126" w:rsidRPr="00B14A4E" w:rsidRDefault="00731126" w:rsidP="00A43BA7">
      <w:pPr>
        <w:jc w:val="both"/>
        <w:rPr>
          <w:rFonts w:ascii="Verdana" w:hAnsi="Verdana" w:cs="Verdana"/>
          <w:sz w:val="20"/>
          <w:szCs w:val="20"/>
          <w:lang w:val="es-CR"/>
        </w:rPr>
      </w:pPr>
    </w:p>
    <w:p w:rsidR="00236466" w:rsidRPr="009F2ACA" w:rsidRDefault="00236466" w:rsidP="00A43BA7">
      <w:pPr>
        <w:tabs>
          <w:tab w:val="left" w:pos="680"/>
        </w:tabs>
        <w:jc w:val="both"/>
        <w:rPr>
          <w:rFonts w:ascii="Verdana" w:hAnsi="Verdana" w:cs="Verdana"/>
          <w:sz w:val="20"/>
          <w:szCs w:val="20"/>
          <w:lang w:val="es-ES_tradnl"/>
        </w:rPr>
      </w:pPr>
      <w:r w:rsidRPr="009F2ACA">
        <w:rPr>
          <w:rFonts w:ascii="Verdana" w:hAnsi="Verdana" w:cs="Verdana"/>
          <w:b/>
          <w:bCs/>
          <w:sz w:val="20"/>
          <w:szCs w:val="20"/>
          <w:lang w:val="es-ES_tradnl"/>
        </w:rPr>
        <w:t>CONSIDERANDO QUE:</w:t>
      </w:r>
    </w:p>
    <w:p w:rsidR="009F2ACA" w:rsidRPr="009F2ACA" w:rsidRDefault="009F2ACA" w:rsidP="00A43BA7">
      <w:pPr>
        <w:autoSpaceDE w:val="0"/>
        <w:autoSpaceDN w:val="0"/>
        <w:adjustRightInd w:val="0"/>
        <w:rPr>
          <w:rFonts w:ascii="Verdana" w:hAnsi="Verdana" w:cs="Verdana"/>
          <w:b/>
          <w:bCs/>
          <w:sz w:val="20"/>
          <w:szCs w:val="20"/>
          <w:lang w:val="es-CL" w:eastAsia="en-US"/>
        </w:rPr>
      </w:pPr>
    </w:p>
    <w:p w:rsidR="009F2ACA" w:rsidRDefault="00236466" w:rsidP="00A43BA7">
      <w:pPr>
        <w:numPr>
          <w:ilvl w:val="0"/>
          <w:numId w:val="30"/>
        </w:numPr>
        <w:tabs>
          <w:tab w:val="clear" w:pos="720"/>
        </w:tabs>
        <w:autoSpaceDE w:val="0"/>
        <w:autoSpaceDN w:val="0"/>
        <w:adjustRightInd w:val="0"/>
        <w:jc w:val="both"/>
        <w:rPr>
          <w:rFonts w:ascii="Verdana" w:hAnsi="Verdana" w:cs="Verdana"/>
          <w:sz w:val="20"/>
          <w:szCs w:val="20"/>
          <w:lang w:val="es-CR"/>
        </w:rPr>
      </w:pPr>
      <w:r w:rsidRPr="009F2ACA">
        <w:rPr>
          <w:rFonts w:ascii="Verdana" w:hAnsi="Verdana" w:cs="Verdana"/>
          <w:sz w:val="20"/>
          <w:szCs w:val="20"/>
          <w:lang w:val="es-CR"/>
        </w:rPr>
        <w:t xml:space="preserve">El ofrecimiento y la admisión de la prueba, así como la citación de presuntas víctimas, testigos y peritos se encuentran regulados, </w:t>
      </w:r>
      <w:r w:rsidRPr="009F2ACA">
        <w:rPr>
          <w:rFonts w:ascii="Verdana" w:hAnsi="Verdana" w:cs="Verdana"/>
          <w:i/>
          <w:iCs/>
          <w:sz w:val="20"/>
          <w:szCs w:val="20"/>
          <w:lang w:val="es-CR"/>
        </w:rPr>
        <w:t xml:space="preserve">inter </w:t>
      </w:r>
      <w:proofErr w:type="spellStart"/>
      <w:r w:rsidRPr="009F2ACA">
        <w:rPr>
          <w:rFonts w:ascii="Verdana" w:hAnsi="Verdana" w:cs="Verdana"/>
          <w:i/>
          <w:iCs/>
          <w:sz w:val="20"/>
          <w:szCs w:val="20"/>
          <w:lang w:val="es-CR"/>
        </w:rPr>
        <w:t>alia</w:t>
      </w:r>
      <w:proofErr w:type="spellEnd"/>
      <w:r w:rsidRPr="009F2ACA">
        <w:rPr>
          <w:rFonts w:ascii="Verdana" w:hAnsi="Verdana" w:cs="Verdana"/>
          <w:sz w:val="20"/>
          <w:szCs w:val="20"/>
          <w:lang w:val="es-CR"/>
        </w:rPr>
        <w:t xml:space="preserve">, en los artículos 35.1.f, 40.2.c, 41.1.c, 46, 47, 48, 49, 50, 52.3, 57 y 58 del Reglamento del Tribunal. </w:t>
      </w:r>
    </w:p>
    <w:p w:rsidR="009F2ACA" w:rsidRDefault="009F2ACA" w:rsidP="00A43BA7">
      <w:pPr>
        <w:autoSpaceDE w:val="0"/>
        <w:autoSpaceDN w:val="0"/>
        <w:adjustRightInd w:val="0"/>
        <w:jc w:val="both"/>
        <w:rPr>
          <w:rFonts w:ascii="Verdana" w:hAnsi="Verdana" w:cs="Verdana"/>
          <w:sz w:val="20"/>
          <w:szCs w:val="20"/>
          <w:lang w:val="es-CR"/>
        </w:rPr>
      </w:pPr>
    </w:p>
    <w:p w:rsidR="009F2ACA" w:rsidRPr="00FB4AD0" w:rsidRDefault="00236466" w:rsidP="00A43BA7">
      <w:pPr>
        <w:numPr>
          <w:ilvl w:val="0"/>
          <w:numId w:val="30"/>
        </w:numPr>
        <w:tabs>
          <w:tab w:val="clear" w:pos="720"/>
        </w:tabs>
        <w:autoSpaceDE w:val="0"/>
        <w:autoSpaceDN w:val="0"/>
        <w:adjustRightInd w:val="0"/>
        <w:jc w:val="both"/>
        <w:rPr>
          <w:rFonts w:ascii="Verdana" w:hAnsi="Verdana" w:cs="Verdana"/>
          <w:sz w:val="20"/>
          <w:szCs w:val="20"/>
          <w:lang w:val="es-CR"/>
        </w:rPr>
      </w:pPr>
      <w:r w:rsidRPr="009F2ACA">
        <w:rPr>
          <w:rFonts w:ascii="Verdana" w:hAnsi="Verdana" w:cs="Verdana"/>
          <w:sz w:val="20"/>
          <w:szCs w:val="20"/>
          <w:lang w:val="es-CR"/>
        </w:rPr>
        <w:lastRenderedPageBreak/>
        <w:t xml:space="preserve">La </w:t>
      </w:r>
      <w:r w:rsidRPr="00FB4AD0">
        <w:rPr>
          <w:rFonts w:ascii="Verdana" w:hAnsi="Verdana" w:cs="Verdana"/>
          <w:sz w:val="20"/>
          <w:szCs w:val="20"/>
          <w:lang w:val="es-CR"/>
        </w:rPr>
        <w:t>Corte garantizó a las partes el derecho de defensa respecto de los ofrecimientos probatorios realizados por cada uno de ellos en los escritos de sometimiento del caso, de solicitudes y argumentos y de contestación, así como en sus listas definitivas.</w:t>
      </w:r>
    </w:p>
    <w:p w:rsidR="00FB4AD0" w:rsidRPr="00FB4AD0" w:rsidRDefault="00FB4AD0" w:rsidP="00A43BA7">
      <w:pPr>
        <w:pStyle w:val="Prrafodelista"/>
        <w:rPr>
          <w:rFonts w:ascii="Verdana" w:hAnsi="Verdana" w:cs="Verdana"/>
          <w:sz w:val="20"/>
          <w:szCs w:val="20"/>
          <w:lang w:val="es-CR"/>
        </w:rPr>
      </w:pPr>
    </w:p>
    <w:p w:rsidR="00972E80" w:rsidRDefault="00FB4AD0" w:rsidP="00972E80">
      <w:pPr>
        <w:numPr>
          <w:ilvl w:val="0"/>
          <w:numId w:val="30"/>
        </w:numPr>
        <w:tabs>
          <w:tab w:val="clear" w:pos="720"/>
        </w:tabs>
        <w:autoSpaceDE w:val="0"/>
        <w:autoSpaceDN w:val="0"/>
        <w:adjustRightInd w:val="0"/>
        <w:jc w:val="both"/>
        <w:rPr>
          <w:rFonts w:ascii="Verdana" w:hAnsi="Verdana" w:cs="Verdana"/>
          <w:sz w:val="20"/>
          <w:szCs w:val="20"/>
          <w:lang w:val="es-CL" w:eastAsia="en-US"/>
        </w:rPr>
      </w:pPr>
      <w:r w:rsidRPr="00FB4AD0">
        <w:rPr>
          <w:rFonts w:ascii="Verdana" w:hAnsi="Verdana" w:cs="Verdana"/>
          <w:sz w:val="20"/>
          <w:szCs w:val="20"/>
          <w:lang w:val="es-CL" w:eastAsia="en-US"/>
        </w:rPr>
        <w:t xml:space="preserve">En cuanto a las declaraciones ofrecidas por las partes que no hayan sido objetadas, esta Presidencia considera conveniente recabarlas, a efectos de que el Tribunal pueda apreciar su valor en la debida oportunidad procesal, dentro del contexto del acervo probatorio existente y según las reglas de la sana crítica. El objeto de estas declaraciones y la modalidad en que serán recibidas se determinan en la parte resolutiva de esta </w:t>
      </w:r>
      <w:r w:rsidRPr="00C704AA">
        <w:rPr>
          <w:rFonts w:ascii="Verdana" w:hAnsi="Verdana" w:cs="Verdana"/>
          <w:sz w:val="20"/>
          <w:szCs w:val="20"/>
          <w:lang w:val="es-CL" w:eastAsia="en-US"/>
        </w:rPr>
        <w:t>decisión.</w:t>
      </w:r>
    </w:p>
    <w:p w:rsidR="00972E80" w:rsidRDefault="00972E80" w:rsidP="00972E80">
      <w:pPr>
        <w:pStyle w:val="Prrafodelista"/>
        <w:rPr>
          <w:rFonts w:ascii="Verdana" w:hAnsi="Verdana" w:cs="Verdana"/>
          <w:sz w:val="20"/>
          <w:szCs w:val="20"/>
        </w:rPr>
      </w:pPr>
    </w:p>
    <w:p w:rsidR="00147256" w:rsidRPr="00972E80" w:rsidRDefault="00E50494" w:rsidP="00972E80">
      <w:pPr>
        <w:numPr>
          <w:ilvl w:val="0"/>
          <w:numId w:val="30"/>
        </w:numPr>
        <w:tabs>
          <w:tab w:val="clear" w:pos="720"/>
        </w:tabs>
        <w:autoSpaceDE w:val="0"/>
        <w:autoSpaceDN w:val="0"/>
        <w:adjustRightInd w:val="0"/>
        <w:jc w:val="both"/>
        <w:rPr>
          <w:rFonts w:ascii="Verdana" w:hAnsi="Verdana" w:cs="Verdana"/>
          <w:sz w:val="20"/>
          <w:szCs w:val="20"/>
          <w:lang w:val="es-CL" w:eastAsia="en-US"/>
        </w:rPr>
      </w:pPr>
      <w:r w:rsidRPr="00972E80">
        <w:rPr>
          <w:rFonts w:ascii="Verdana" w:hAnsi="Verdana" w:cs="Verdana"/>
          <w:sz w:val="20"/>
          <w:szCs w:val="20"/>
        </w:rPr>
        <w:t>Respecto a</w:t>
      </w:r>
      <w:r w:rsidR="00147256" w:rsidRPr="00972E80">
        <w:rPr>
          <w:rFonts w:ascii="Verdana" w:hAnsi="Verdana" w:cs="Verdana"/>
          <w:sz w:val="20"/>
          <w:szCs w:val="20"/>
        </w:rPr>
        <w:t xml:space="preserve">l </w:t>
      </w:r>
      <w:r w:rsidR="00147256" w:rsidRPr="00972E80">
        <w:rPr>
          <w:rFonts w:ascii="Verdana" w:hAnsi="Verdana"/>
          <w:sz w:val="20"/>
          <w:szCs w:val="20"/>
        </w:rPr>
        <w:t>escrito de 17 de marzo de 2014, mediante el cual los representantes de las presuntas víctimas formularon “ligeras enmiendas” a su lista definitiva de declarantes</w:t>
      </w:r>
      <w:r w:rsidR="00DD2AB1" w:rsidRPr="00972E80">
        <w:rPr>
          <w:rFonts w:ascii="Verdana" w:hAnsi="Verdana"/>
          <w:sz w:val="20"/>
          <w:szCs w:val="20"/>
        </w:rPr>
        <w:t xml:space="preserve">, la Presidencia considera que </w:t>
      </w:r>
      <w:r w:rsidR="00C704AA" w:rsidRPr="00972E80">
        <w:rPr>
          <w:rFonts w:ascii="Verdana" w:hAnsi="Verdana"/>
          <w:sz w:val="20"/>
          <w:szCs w:val="20"/>
        </w:rPr>
        <w:t>dicho escrito será tenido en cuenta, por cuanto no modifica lo propuesto en el escrito de solicitudes y argumentos</w:t>
      </w:r>
      <w:r w:rsidR="00972E80">
        <w:rPr>
          <w:rFonts w:ascii="Verdana" w:hAnsi="Verdana"/>
          <w:sz w:val="20"/>
          <w:szCs w:val="20"/>
        </w:rPr>
        <w:t xml:space="preserve"> y só</w:t>
      </w:r>
      <w:r w:rsidR="00C704AA" w:rsidRPr="00972E80">
        <w:rPr>
          <w:rFonts w:ascii="Verdana" w:hAnsi="Verdana"/>
          <w:sz w:val="20"/>
          <w:szCs w:val="20"/>
        </w:rPr>
        <w:t xml:space="preserve">lo hace referencia a </w:t>
      </w:r>
      <w:r w:rsidR="00CF55FC">
        <w:rPr>
          <w:rFonts w:ascii="Verdana" w:hAnsi="Verdana"/>
          <w:sz w:val="20"/>
          <w:szCs w:val="20"/>
        </w:rPr>
        <w:t>un hecho superviniente</w:t>
      </w:r>
      <w:r w:rsidR="00C704AA" w:rsidRPr="00972E80">
        <w:rPr>
          <w:rFonts w:ascii="Verdana" w:hAnsi="Verdana"/>
          <w:sz w:val="20"/>
          <w:szCs w:val="20"/>
        </w:rPr>
        <w:t xml:space="preserve"> (</w:t>
      </w:r>
      <w:r w:rsidR="00C704AA" w:rsidRPr="00972E80">
        <w:rPr>
          <w:rFonts w:ascii="Verdana" w:hAnsi="Verdana"/>
          <w:i/>
          <w:sz w:val="20"/>
          <w:szCs w:val="20"/>
        </w:rPr>
        <w:t>infra</w:t>
      </w:r>
      <w:r w:rsidR="00C704AA" w:rsidRPr="00972E80">
        <w:rPr>
          <w:rFonts w:ascii="Verdana" w:hAnsi="Verdana"/>
          <w:sz w:val="20"/>
          <w:szCs w:val="20"/>
        </w:rPr>
        <w:t xml:space="preserve"> </w:t>
      </w:r>
      <w:r w:rsidR="00CF55FC">
        <w:rPr>
          <w:rFonts w:ascii="Verdana" w:hAnsi="Verdana"/>
          <w:sz w:val="20"/>
          <w:szCs w:val="20"/>
        </w:rPr>
        <w:t>Considerando 11</w:t>
      </w:r>
      <w:r w:rsidR="00C704AA" w:rsidRPr="00972E80">
        <w:rPr>
          <w:rFonts w:ascii="Verdana" w:hAnsi="Verdana"/>
          <w:sz w:val="20"/>
          <w:szCs w:val="20"/>
        </w:rPr>
        <w:t>)</w:t>
      </w:r>
      <w:r w:rsidR="00147256" w:rsidRPr="00972E80">
        <w:rPr>
          <w:rFonts w:ascii="Verdana" w:hAnsi="Verdana"/>
          <w:sz w:val="20"/>
          <w:szCs w:val="20"/>
        </w:rPr>
        <w:t>.</w:t>
      </w:r>
    </w:p>
    <w:p w:rsidR="00147256" w:rsidRPr="00147256" w:rsidRDefault="00147256" w:rsidP="00147256">
      <w:pPr>
        <w:rPr>
          <w:rFonts w:ascii="Verdana" w:hAnsi="Verdana" w:cs="Verdana"/>
          <w:sz w:val="20"/>
          <w:szCs w:val="20"/>
        </w:rPr>
      </w:pPr>
    </w:p>
    <w:p w:rsidR="00A43BA7" w:rsidRPr="00A43BA7" w:rsidRDefault="00972E80" w:rsidP="00A43BA7">
      <w:pPr>
        <w:numPr>
          <w:ilvl w:val="0"/>
          <w:numId w:val="30"/>
        </w:numPr>
        <w:tabs>
          <w:tab w:val="clear" w:pos="720"/>
        </w:tabs>
        <w:autoSpaceDE w:val="0"/>
        <w:autoSpaceDN w:val="0"/>
        <w:adjustRightInd w:val="0"/>
        <w:jc w:val="both"/>
        <w:rPr>
          <w:rFonts w:ascii="Verdana" w:hAnsi="Verdana" w:cs="Verdana"/>
          <w:sz w:val="20"/>
          <w:szCs w:val="20"/>
          <w:lang w:val="es-CL" w:eastAsia="en-US"/>
        </w:rPr>
      </w:pPr>
      <w:r>
        <w:rPr>
          <w:rFonts w:ascii="Verdana" w:hAnsi="Verdana" w:cs="Verdana"/>
          <w:sz w:val="20"/>
          <w:szCs w:val="20"/>
        </w:rPr>
        <w:t>En la presente Resolución</w:t>
      </w:r>
      <w:r w:rsidR="00A43BA7" w:rsidRPr="00A43BA7">
        <w:rPr>
          <w:rFonts w:ascii="Verdana" w:hAnsi="Verdana" w:cs="Verdana"/>
          <w:sz w:val="20"/>
          <w:szCs w:val="20"/>
        </w:rPr>
        <w:t xml:space="preserve"> el Presidente considerará los siguientes asuntos sobre los cuales existe controversia o alguna solicitud o cuestión particular que resolver: a) la admisibilidad de la prueba pericial ofrecida por la Comisión Interamericana; b) la admisibilidad de las declaraciones de presuntas víctimas y testigos, y prueba pericial ofrecida por los representantes; c)</w:t>
      </w:r>
      <w:r w:rsidR="00A43BA7" w:rsidRPr="00A43BA7">
        <w:rPr>
          <w:rFonts w:ascii="Verdana" w:hAnsi="Verdana" w:cs="Verdana"/>
          <w:i/>
          <w:sz w:val="20"/>
          <w:szCs w:val="20"/>
        </w:rPr>
        <w:t xml:space="preserve"> </w:t>
      </w:r>
      <w:r w:rsidR="00A43BA7" w:rsidRPr="00A43BA7">
        <w:rPr>
          <w:rFonts w:ascii="Verdana" w:hAnsi="Verdana" w:cs="Verdana"/>
          <w:sz w:val="20"/>
          <w:szCs w:val="20"/>
        </w:rPr>
        <w:t>la admisibilidad de</w:t>
      </w:r>
      <w:r w:rsidR="00D5525A">
        <w:rPr>
          <w:rFonts w:ascii="Verdana" w:hAnsi="Verdana" w:cs="Verdana"/>
          <w:sz w:val="20"/>
          <w:szCs w:val="20"/>
        </w:rPr>
        <w:t xml:space="preserve"> </w:t>
      </w:r>
      <w:r w:rsidR="00D5525A" w:rsidRPr="00A43BA7">
        <w:rPr>
          <w:rFonts w:ascii="Verdana" w:hAnsi="Verdana" w:cs="Verdana"/>
          <w:sz w:val="20"/>
          <w:szCs w:val="20"/>
        </w:rPr>
        <w:t>las declaraciones</w:t>
      </w:r>
      <w:r w:rsidR="00D5525A">
        <w:rPr>
          <w:rFonts w:ascii="Verdana" w:hAnsi="Verdana" w:cs="Verdana"/>
          <w:sz w:val="20"/>
          <w:szCs w:val="20"/>
        </w:rPr>
        <w:t xml:space="preserve"> testimoniales y</w:t>
      </w:r>
      <w:r w:rsidR="00A43BA7" w:rsidRPr="00A43BA7">
        <w:rPr>
          <w:rFonts w:ascii="Verdana" w:hAnsi="Verdana" w:cs="Verdana"/>
          <w:sz w:val="20"/>
          <w:szCs w:val="20"/>
        </w:rPr>
        <w:t xml:space="preserve"> la prueba pericial ofrecida por el Estado; d) la solicitud realizada por </w:t>
      </w:r>
      <w:r w:rsidR="00CF55FC">
        <w:rPr>
          <w:rFonts w:ascii="Verdana" w:hAnsi="Verdana" w:cs="Verdana"/>
          <w:sz w:val="20"/>
          <w:szCs w:val="20"/>
        </w:rPr>
        <w:t>los representantes</w:t>
      </w:r>
      <w:r w:rsidR="00A43BA7" w:rsidRPr="00A43BA7">
        <w:rPr>
          <w:rFonts w:ascii="Verdana" w:hAnsi="Verdana" w:cs="Verdana"/>
          <w:sz w:val="20"/>
          <w:szCs w:val="20"/>
        </w:rPr>
        <w:t xml:space="preserve"> de que se trasladen determinados peritajes rendidos en</w:t>
      </w:r>
      <w:r w:rsidR="00D5525A">
        <w:rPr>
          <w:rFonts w:ascii="Verdana" w:hAnsi="Verdana" w:cs="Verdana"/>
          <w:sz w:val="20"/>
          <w:szCs w:val="20"/>
        </w:rPr>
        <w:t xml:space="preserve"> el caso </w:t>
      </w:r>
      <w:r w:rsidR="00D5525A">
        <w:rPr>
          <w:rFonts w:ascii="Verdana" w:hAnsi="Verdana" w:cs="Verdana"/>
          <w:i/>
          <w:sz w:val="20"/>
          <w:szCs w:val="20"/>
        </w:rPr>
        <w:t>Ríos y otros Vs. Venezuela</w:t>
      </w:r>
      <w:r w:rsidR="00A43BA7" w:rsidRPr="00A43BA7">
        <w:rPr>
          <w:rFonts w:ascii="Verdana" w:hAnsi="Verdana" w:cs="Verdana"/>
          <w:sz w:val="20"/>
          <w:szCs w:val="20"/>
        </w:rPr>
        <w:t xml:space="preserve">; </w:t>
      </w:r>
      <w:r w:rsidR="00ED59BB">
        <w:rPr>
          <w:rFonts w:ascii="Verdana" w:hAnsi="Verdana" w:cs="Verdana"/>
          <w:sz w:val="20"/>
          <w:szCs w:val="20"/>
        </w:rPr>
        <w:t>e</w:t>
      </w:r>
      <w:r w:rsidR="00A43BA7" w:rsidRPr="00A43BA7">
        <w:rPr>
          <w:rFonts w:ascii="Verdana" w:hAnsi="Verdana" w:cs="Verdana"/>
          <w:sz w:val="20"/>
          <w:szCs w:val="20"/>
        </w:rPr>
        <w:t>) la modalidad de las declaraciones y di</w:t>
      </w:r>
      <w:r w:rsidR="00CF55FC">
        <w:rPr>
          <w:rFonts w:ascii="Verdana" w:hAnsi="Verdana" w:cs="Verdana"/>
          <w:sz w:val="20"/>
          <w:szCs w:val="20"/>
        </w:rPr>
        <w:t>ctámenes periciales por recibir, y</w:t>
      </w:r>
      <w:r w:rsidR="00A43BA7" w:rsidRPr="00A43BA7">
        <w:rPr>
          <w:rFonts w:ascii="Verdana" w:hAnsi="Verdana" w:cs="Verdana"/>
          <w:sz w:val="20"/>
          <w:szCs w:val="20"/>
        </w:rPr>
        <w:t xml:space="preserve"> </w:t>
      </w:r>
      <w:r w:rsidR="00ED59BB">
        <w:rPr>
          <w:rFonts w:ascii="Verdana" w:hAnsi="Verdana" w:cs="Verdana"/>
          <w:sz w:val="20"/>
          <w:szCs w:val="20"/>
        </w:rPr>
        <w:t>f</w:t>
      </w:r>
      <w:r w:rsidR="00A43BA7" w:rsidRPr="00A43BA7">
        <w:rPr>
          <w:rFonts w:ascii="Verdana" w:hAnsi="Verdana" w:cs="Verdana"/>
          <w:sz w:val="20"/>
          <w:szCs w:val="20"/>
        </w:rPr>
        <w:t>) los alegatos y observaciones finales orales y escritos.</w:t>
      </w:r>
    </w:p>
    <w:p w:rsidR="00236466" w:rsidRPr="00C57C88" w:rsidRDefault="00236466" w:rsidP="00A43BA7">
      <w:pPr>
        <w:tabs>
          <w:tab w:val="left" w:pos="567"/>
          <w:tab w:val="left" w:pos="709"/>
        </w:tabs>
        <w:jc w:val="both"/>
        <w:rPr>
          <w:rFonts w:ascii="Verdana" w:hAnsi="Verdana" w:cs="Verdana"/>
          <w:sz w:val="20"/>
          <w:szCs w:val="20"/>
        </w:rPr>
      </w:pPr>
    </w:p>
    <w:p w:rsidR="00DC14EB" w:rsidRPr="00934369" w:rsidRDefault="00DC14EB" w:rsidP="00DC14EB">
      <w:pPr>
        <w:pStyle w:val="Prrafodelista"/>
        <w:numPr>
          <w:ilvl w:val="0"/>
          <w:numId w:val="32"/>
        </w:numPr>
        <w:autoSpaceDE w:val="0"/>
        <w:autoSpaceDN w:val="0"/>
        <w:adjustRightInd w:val="0"/>
        <w:jc w:val="both"/>
        <w:rPr>
          <w:rFonts w:ascii="Verdana" w:hAnsi="Verdana"/>
          <w:b/>
          <w:i/>
          <w:sz w:val="20"/>
          <w:szCs w:val="20"/>
        </w:rPr>
      </w:pPr>
      <w:r w:rsidRPr="00E034CE">
        <w:rPr>
          <w:rFonts w:ascii="Verdana" w:hAnsi="Verdana"/>
          <w:b/>
          <w:i/>
          <w:sz w:val="20"/>
          <w:szCs w:val="20"/>
        </w:rPr>
        <w:t xml:space="preserve">Admisibilidad de la prueba </w:t>
      </w:r>
      <w:r>
        <w:rPr>
          <w:rFonts w:ascii="Verdana" w:hAnsi="Verdana"/>
          <w:b/>
          <w:i/>
          <w:sz w:val="20"/>
          <w:szCs w:val="20"/>
        </w:rPr>
        <w:t xml:space="preserve">pericial </w:t>
      </w:r>
      <w:r w:rsidRPr="00E034CE">
        <w:rPr>
          <w:rFonts w:ascii="Verdana" w:hAnsi="Verdana"/>
          <w:b/>
          <w:i/>
          <w:sz w:val="20"/>
          <w:szCs w:val="20"/>
        </w:rPr>
        <w:t>ofrecida por la Comisión Interamericana</w:t>
      </w:r>
      <w:r>
        <w:rPr>
          <w:szCs w:val="20"/>
        </w:rPr>
        <w:t xml:space="preserve"> </w:t>
      </w:r>
    </w:p>
    <w:p w:rsidR="0048531E" w:rsidRPr="0048531E" w:rsidRDefault="0048531E" w:rsidP="0048531E">
      <w:pPr>
        <w:rPr>
          <w:rFonts w:ascii="Verdana" w:hAnsi="Verdana" w:cs="Verdana"/>
          <w:sz w:val="20"/>
          <w:szCs w:val="20"/>
        </w:rPr>
      </w:pPr>
    </w:p>
    <w:p w:rsidR="00495D1A" w:rsidRPr="00037DC2" w:rsidRDefault="00DC14EB" w:rsidP="00495D1A">
      <w:pPr>
        <w:numPr>
          <w:ilvl w:val="0"/>
          <w:numId w:val="30"/>
        </w:numPr>
        <w:tabs>
          <w:tab w:val="clear" w:pos="720"/>
        </w:tabs>
        <w:autoSpaceDE w:val="0"/>
        <w:autoSpaceDN w:val="0"/>
        <w:adjustRightInd w:val="0"/>
        <w:jc w:val="both"/>
        <w:rPr>
          <w:rFonts w:ascii="Verdana" w:hAnsi="Verdana" w:cs="Verdana"/>
          <w:sz w:val="20"/>
          <w:szCs w:val="20"/>
        </w:rPr>
      </w:pPr>
      <w:r w:rsidRPr="00DC14EB">
        <w:rPr>
          <w:rFonts w:ascii="Verdana" w:hAnsi="Verdana" w:cs="Verdana"/>
          <w:sz w:val="20"/>
          <w:szCs w:val="20"/>
        </w:rPr>
        <w:t xml:space="preserve">De acuerdo a lo establecido en el artículo 35.1.f del Reglamento, la “eventual designación de peritos” podrá ser efectuada por la Comisión Interamericana “cuando se afecte de manera relevante el orden público interamericano de los derechos humanos”. Ese requisito no se cumple por el solo hecho de que la prueba que se procura producir </w:t>
      </w:r>
      <w:r w:rsidRPr="00037DC2">
        <w:rPr>
          <w:rFonts w:ascii="Verdana" w:hAnsi="Verdana" w:cs="Verdana"/>
          <w:sz w:val="20"/>
          <w:szCs w:val="20"/>
        </w:rPr>
        <w:t xml:space="preserve">tenga relación con una alegada violación de derechos humanos, pues esa relación existe en todos los casos sometidos a la Corte. Es necesario que en cada caso se sustente adecuadamente el fundamento y el objeto de la prueba pericial propuesta. </w:t>
      </w:r>
    </w:p>
    <w:p w:rsidR="00495D1A" w:rsidRPr="00881D86" w:rsidRDefault="00495D1A" w:rsidP="00495D1A">
      <w:pPr>
        <w:autoSpaceDE w:val="0"/>
        <w:autoSpaceDN w:val="0"/>
        <w:adjustRightInd w:val="0"/>
        <w:jc w:val="both"/>
        <w:rPr>
          <w:rFonts w:ascii="Verdana" w:hAnsi="Verdana" w:cs="Verdana"/>
          <w:sz w:val="20"/>
          <w:szCs w:val="20"/>
        </w:rPr>
      </w:pPr>
    </w:p>
    <w:p w:rsidR="00236466" w:rsidRPr="004E53D9" w:rsidRDefault="002C1950" w:rsidP="009E2252">
      <w:pPr>
        <w:numPr>
          <w:ilvl w:val="0"/>
          <w:numId w:val="30"/>
        </w:numPr>
        <w:tabs>
          <w:tab w:val="clear" w:pos="720"/>
        </w:tabs>
        <w:autoSpaceDE w:val="0"/>
        <w:autoSpaceDN w:val="0"/>
        <w:adjustRightInd w:val="0"/>
        <w:jc w:val="both"/>
        <w:rPr>
          <w:rFonts w:ascii="Verdana" w:hAnsi="Verdana" w:cs="Verdana"/>
          <w:sz w:val="20"/>
          <w:szCs w:val="20"/>
        </w:rPr>
      </w:pPr>
      <w:r w:rsidRPr="00881D86">
        <w:rPr>
          <w:rFonts w:ascii="Verdana" w:hAnsi="Verdana" w:cs="Verdana"/>
          <w:sz w:val="20"/>
          <w:szCs w:val="20"/>
        </w:rPr>
        <w:t>En primer lugar, la Comisión ofreció y ratificó el dictamen pericial</w:t>
      </w:r>
      <w:r w:rsidR="00495D1A" w:rsidRPr="00881D86">
        <w:rPr>
          <w:rFonts w:ascii="Verdana" w:hAnsi="Verdana" w:cs="Verdana"/>
          <w:sz w:val="20"/>
          <w:szCs w:val="20"/>
        </w:rPr>
        <w:t xml:space="preserve"> del señor </w:t>
      </w:r>
      <w:r w:rsidR="00972E80">
        <w:rPr>
          <w:rFonts w:ascii="Verdana" w:hAnsi="Verdana"/>
          <w:bCs/>
          <w:sz w:val="20"/>
          <w:szCs w:val="20"/>
        </w:rPr>
        <w:t>Domingo Garcí</w:t>
      </w:r>
      <w:r w:rsidR="00495D1A" w:rsidRPr="00881D86">
        <w:rPr>
          <w:rFonts w:ascii="Verdana" w:hAnsi="Verdana"/>
          <w:bCs/>
          <w:sz w:val="20"/>
          <w:szCs w:val="20"/>
        </w:rPr>
        <w:t xml:space="preserve">a Belaunde, quien declararía sobre </w:t>
      </w:r>
      <w:r w:rsidR="00495D1A" w:rsidRPr="00881D86">
        <w:rPr>
          <w:rFonts w:ascii="Verdana" w:hAnsi="Verdana"/>
          <w:sz w:val="20"/>
          <w:szCs w:val="20"/>
        </w:rPr>
        <w:t xml:space="preserve">“el concepto de restricciones indirectas a la libertad de expresión y </w:t>
      </w:r>
      <w:r w:rsidR="005243BB">
        <w:rPr>
          <w:rFonts w:ascii="Verdana" w:hAnsi="Verdana"/>
          <w:sz w:val="20"/>
          <w:szCs w:val="20"/>
        </w:rPr>
        <w:t>los parámetros que deben ser tom</w:t>
      </w:r>
      <w:r w:rsidR="00495D1A" w:rsidRPr="00881D86">
        <w:rPr>
          <w:rFonts w:ascii="Verdana" w:hAnsi="Verdana"/>
          <w:sz w:val="20"/>
          <w:szCs w:val="20"/>
        </w:rPr>
        <w:t>ados en cuenta para analizar si un supuesto factico se e</w:t>
      </w:r>
      <w:r w:rsidR="00037DC2" w:rsidRPr="00881D86">
        <w:rPr>
          <w:rFonts w:ascii="Verdana" w:hAnsi="Verdana"/>
          <w:sz w:val="20"/>
          <w:szCs w:val="20"/>
        </w:rPr>
        <w:t>nmarca dentro de dicho concepto”, así como sobre “</w:t>
      </w:r>
      <w:r w:rsidR="00495D1A" w:rsidRPr="00881D86">
        <w:rPr>
          <w:rFonts w:ascii="Verdana" w:hAnsi="Verdana"/>
          <w:sz w:val="20"/>
          <w:szCs w:val="20"/>
        </w:rPr>
        <w:t>los estándares desarrollados por otros sistemas de protección de derechos humanos y en el derecho comparado”.</w:t>
      </w:r>
      <w:r w:rsidR="00881D86" w:rsidRPr="00881D86">
        <w:rPr>
          <w:rFonts w:ascii="Verdana" w:hAnsi="Verdana"/>
          <w:sz w:val="20"/>
          <w:szCs w:val="20"/>
        </w:rPr>
        <w:t xml:space="preserve"> Asimismo, la Comisión ofreció el peritaje del señor Eduardo Cifuentes Muñoz, quien declararí</w:t>
      </w:r>
      <w:r w:rsidR="00CF55FC">
        <w:rPr>
          <w:rFonts w:ascii="Verdana" w:hAnsi="Verdana"/>
          <w:sz w:val="20"/>
          <w:szCs w:val="20"/>
        </w:rPr>
        <w:t>a sobre “los actos estatales de</w:t>
      </w:r>
      <w:r w:rsidR="00881D86" w:rsidRPr="00881D86">
        <w:rPr>
          <w:rFonts w:ascii="Verdana" w:hAnsi="Verdana"/>
          <w:sz w:val="20"/>
          <w:szCs w:val="20"/>
        </w:rPr>
        <w:t xml:space="preserve"> otorgamiento o renovación de licencias de radio y televisión y las salvaguardas sustantivas y procesales que deben observarse para asegurar que los procedimientos y actas sobre dichas licencias no se constituyan en mec</w:t>
      </w:r>
      <w:r w:rsidR="005243BB">
        <w:rPr>
          <w:rFonts w:ascii="Verdana" w:hAnsi="Verdana"/>
          <w:sz w:val="20"/>
          <w:szCs w:val="20"/>
        </w:rPr>
        <w:t>anismos indirectos de restricción a la libertad de expresión</w:t>
      </w:r>
      <w:r w:rsidR="00881D86" w:rsidRPr="00881D86">
        <w:rPr>
          <w:rFonts w:ascii="Verdana" w:hAnsi="Verdana"/>
          <w:sz w:val="20"/>
          <w:szCs w:val="20"/>
        </w:rPr>
        <w:t>[</w:t>
      </w:r>
      <w:r w:rsidR="005243BB">
        <w:rPr>
          <w:rFonts w:ascii="Verdana" w:hAnsi="Verdana"/>
          <w:sz w:val="20"/>
          <w:szCs w:val="20"/>
        </w:rPr>
        <w:t xml:space="preserve">, </w:t>
      </w:r>
      <w:r w:rsidR="00881D86" w:rsidRPr="00881D86">
        <w:rPr>
          <w:rFonts w:ascii="Verdana" w:hAnsi="Verdana"/>
          <w:sz w:val="20"/>
          <w:szCs w:val="20"/>
        </w:rPr>
        <w:t>…] tomando en consideración los estándares desarrollados por otros sistemas de protección de derechos humanos y en el derecho comparado”.</w:t>
      </w:r>
    </w:p>
    <w:p w:rsidR="004E53D9" w:rsidRDefault="004E53D9" w:rsidP="004E53D9">
      <w:pPr>
        <w:pStyle w:val="Prrafodelista"/>
        <w:rPr>
          <w:rFonts w:ascii="Verdana" w:hAnsi="Verdana" w:cs="Verdana"/>
          <w:sz w:val="20"/>
          <w:szCs w:val="20"/>
        </w:rPr>
      </w:pPr>
    </w:p>
    <w:p w:rsidR="0014316E" w:rsidRPr="00291D66" w:rsidRDefault="004E53D9" w:rsidP="0014316E">
      <w:pPr>
        <w:numPr>
          <w:ilvl w:val="0"/>
          <w:numId w:val="30"/>
        </w:numPr>
        <w:tabs>
          <w:tab w:val="clear" w:pos="720"/>
        </w:tabs>
        <w:autoSpaceDE w:val="0"/>
        <w:autoSpaceDN w:val="0"/>
        <w:adjustRightInd w:val="0"/>
        <w:jc w:val="both"/>
        <w:rPr>
          <w:rFonts w:ascii="Verdana" w:hAnsi="Verdana" w:cs="Verdana"/>
          <w:sz w:val="20"/>
          <w:szCs w:val="20"/>
        </w:rPr>
      </w:pPr>
      <w:r>
        <w:rPr>
          <w:rFonts w:ascii="Verdana" w:hAnsi="Verdana" w:cs="Verdana"/>
          <w:sz w:val="20"/>
          <w:szCs w:val="20"/>
        </w:rPr>
        <w:t xml:space="preserve">Sobre el orden público interamericano, la Comisión argumentó que </w:t>
      </w:r>
      <w:r w:rsidR="0014316E">
        <w:rPr>
          <w:rFonts w:ascii="Verdana" w:hAnsi="Verdana" w:cs="Verdana"/>
          <w:sz w:val="20"/>
          <w:szCs w:val="20"/>
        </w:rPr>
        <w:t>“ambos peritajes contribuirán al análisis” de: i) “</w:t>
      </w:r>
      <w:r w:rsidR="0014316E" w:rsidRPr="0014316E">
        <w:rPr>
          <w:rFonts w:ascii="Verdana" w:eastAsia="Calibri" w:hAnsi="Verdana" w:cs="Arial"/>
          <w:sz w:val="20"/>
          <w:szCs w:val="20"/>
          <w:lang w:val="es-CR" w:eastAsia="en-US"/>
        </w:rPr>
        <w:t xml:space="preserve">las afectaciones al derecho a la </w:t>
      </w:r>
      <w:r w:rsidR="003E2EBD">
        <w:rPr>
          <w:rFonts w:ascii="Verdana" w:eastAsia="Calibri" w:hAnsi="Verdana" w:cs="Arial"/>
          <w:sz w:val="20"/>
          <w:szCs w:val="20"/>
          <w:lang w:val="es-CR" w:eastAsia="en-US"/>
        </w:rPr>
        <w:t xml:space="preserve">libertad de </w:t>
      </w:r>
      <w:r w:rsidR="003E2EBD">
        <w:rPr>
          <w:rFonts w:ascii="Verdana" w:eastAsia="Calibri" w:hAnsi="Verdana" w:cs="Arial"/>
          <w:sz w:val="20"/>
          <w:szCs w:val="20"/>
          <w:lang w:val="es-CR" w:eastAsia="en-US"/>
        </w:rPr>
        <w:lastRenderedPageBreak/>
        <w:t>expresió</w:t>
      </w:r>
      <w:r w:rsidR="0014316E" w:rsidRPr="0014316E">
        <w:rPr>
          <w:rFonts w:ascii="Verdana" w:eastAsia="Calibri" w:hAnsi="Verdana" w:cs="Arial"/>
          <w:sz w:val="20"/>
          <w:szCs w:val="20"/>
          <w:lang w:val="es-CR" w:eastAsia="en-US"/>
        </w:rPr>
        <w:t>n, en su doble dimensión, como consecuencia de los actos estatal</w:t>
      </w:r>
      <w:r w:rsidR="00CF55FC">
        <w:rPr>
          <w:rFonts w:ascii="Verdana" w:eastAsia="Calibri" w:hAnsi="Verdana" w:cs="Arial"/>
          <w:sz w:val="20"/>
          <w:szCs w:val="20"/>
          <w:lang w:val="es-CR" w:eastAsia="en-US"/>
        </w:rPr>
        <w:t>es relacionados con la asignació</w:t>
      </w:r>
      <w:r w:rsidR="0014316E" w:rsidRPr="0014316E">
        <w:rPr>
          <w:rFonts w:ascii="Verdana" w:eastAsia="Calibri" w:hAnsi="Verdana" w:cs="Arial"/>
          <w:sz w:val="20"/>
          <w:szCs w:val="20"/>
          <w:lang w:val="es-CR" w:eastAsia="en-US"/>
        </w:rPr>
        <w:t>n de licencias de radio y televisión</w:t>
      </w:r>
      <w:r w:rsidR="003E2EBD">
        <w:rPr>
          <w:rFonts w:ascii="Verdana" w:eastAsia="Calibri" w:hAnsi="Verdana" w:cs="Arial"/>
          <w:sz w:val="20"/>
          <w:szCs w:val="20"/>
          <w:lang w:val="es-CR" w:eastAsia="en-US"/>
        </w:rPr>
        <w:t>”, y ii)</w:t>
      </w:r>
      <w:r w:rsidR="0014316E" w:rsidRPr="0014316E">
        <w:rPr>
          <w:rFonts w:ascii="Verdana" w:eastAsia="Calibri" w:hAnsi="Verdana" w:cs="Arial"/>
          <w:sz w:val="20"/>
          <w:szCs w:val="20"/>
          <w:lang w:val="es-CR" w:eastAsia="en-US"/>
        </w:rPr>
        <w:t xml:space="preserve"> </w:t>
      </w:r>
      <w:r w:rsidR="003E2EBD">
        <w:rPr>
          <w:rFonts w:ascii="Verdana" w:eastAsia="Calibri" w:hAnsi="Verdana" w:cs="Arial"/>
          <w:sz w:val="20"/>
          <w:szCs w:val="20"/>
          <w:lang w:val="es-CR" w:eastAsia="en-US"/>
        </w:rPr>
        <w:t>“</w:t>
      </w:r>
      <w:r w:rsidR="0014316E" w:rsidRPr="0014316E">
        <w:rPr>
          <w:rFonts w:ascii="Verdana" w:eastAsia="Calibri" w:hAnsi="Verdana" w:cs="Arial"/>
          <w:sz w:val="20"/>
          <w:szCs w:val="20"/>
          <w:lang w:val="es-CR" w:eastAsia="en-US"/>
        </w:rPr>
        <w:t>las salvaguardas sustantivas y procesales necesarias para asegurar que estos procesos no se conviertan en mecanismos de restricción indirecta sobre la libertad de expresión que, no obstante tener un vela de legalidad, lo que buscan es presionar o castigar y premiar o privilegiar a los comunicadores y comunicadoras sociales y a los medias de comunicación en función de sus líneas</w:t>
      </w:r>
      <w:r w:rsidR="0014316E" w:rsidRPr="00291D66">
        <w:rPr>
          <w:rFonts w:ascii="Verdana" w:eastAsia="Calibri" w:hAnsi="Verdana" w:cs="Arial"/>
          <w:sz w:val="20"/>
          <w:szCs w:val="20"/>
          <w:lang w:val="es-CR" w:eastAsia="en-US"/>
        </w:rPr>
        <w:t xml:space="preserve"> informativas</w:t>
      </w:r>
      <w:r w:rsidR="003E2EBD" w:rsidRPr="00291D66">
        <w:rPr>
          <w:rFonts w:ascii="Verdana" w:eastAsia="Calibri" w:hAnsi="Verdana" w:cs="Arial"/>
          <w:sz w:val="20"/>
          <w:szCs w:val="20"/>
          <w:lang w:val="es-CR" w:eastAsia="en-US"/>
        </w:rPr>
        <w:t>”</w:t>
      </w:r>
      <w:r w:rsidR="0014316E" w:rsidRPr="00291D66">
        <w:rPr>
          <w:rFonts w:ascii="Verdana" w:eastAsia="Calibri" w:hAnsi="Verdana" w:cs="Arial"/>
          <w:sz w:val="20"/>
          <w:szCs w:val="20"/>
          <w:lang w:val="es-CR" w:eastAsia="en-US"/>
        </w:rPr>
        <w:t>.</w:t>
      </w:r>
    </w:p>
    <w:p w:rsidR="00BC0779" w:rsidRPr="00291D66" w:rsidRDefault="00BC0779" w:rsidP="00BC0779">
      <w:pPr>
        <w:pStyle w:val="Prrafodelista"/>
        <w:rPr>
          <w:rFonts w:ascii="Verdana" w:hAnsi="Verdana" w:cs="Verdana"/>
          <w:sz w:val="20"/>
          <w:szCs w:val="20"/>
        </w:rPr>
      </w:pPr>
    </w:p>
    <w:p w:rsidR="00BC0779" w:rsidRPr="00291D66" w:rsidRDefault="00A1359A" w:rsidP="00E2675D">
      <w:pPr>
        <w:numPr>
          <w:ilvl w:val="0"/>
          <w:numId w:val="30"/>
        </w:numPr>
        <w:tabs>
          <w:tab w:val="clear" w:pos="720"/>
        </w:tabs>
        <w:autoSpaceDE w:val="0"/>
        <w:autoSpaceDN w:val="0"/>
        <w:adjustRightInd w:val="0"/>
        <w:jc w:val="both"/>
        <w:rPr>
          <w:rFonts w:ascii="Verdana" w:hAnsi="Verdana" w:cs="Verdana"/>
          <w:sz w:val="20"/>
          <w:szCs w:val="20"/>
        </w:rPr>
      </w:pPr>
      <w:r>
        <w:rPr>
          <w:rFonts w:ascii="Verdana" w:hAnsi="Verdana" w:cs="Verdana"/>
          <w:sz w:val="20"/>
          <w:szCs w:val="20"/>
        </w:rPr>
        <w:t>El</w:t>
      </w:r>
      <w:r w:rsidR="00BC0779" w:rsidRPr="00291D66">
        <w:rPr>
          <w:rFonts w:ascii="Verdana" w:hAnsi="Verdana" w:cs="Verdana"/>
          <w:sz w:val="20"/>
          <w:szCs w:val="20"/>
        </w:rPr>
        <w:t xml:space="preserve"> Estado </w:t>
      </w:r>
      <w:r>
        <w:rPr>
          <w:rFonts w:ascii="Verdana" w:hAnsi="Verdana" w:cs="Verdana"/>
          <w:sz w:val="20"/>
          <w:szCs w:val="20"/>
        </w:rPr>
        <w:t>no presentó</w:t>
      </w:r>
      <w:r w:rsidR="00BC0779" w:rsidRPr="00291D66">
        <w:rPr>
          <w:rFonts w:ascii="Verdana" w:hAnsi="Verdana" w:cs="Verdana"/>
          <w:sz w:val="20"/>
          <w:szCs w:val="20"/>
        </w:rPr>
        <w:t xml:space="preserve"> objeciones al ofrecimiento de los dos peritos</w:t>
      </w:r>
      <w:r>
        <w:rPr>
          <w:rFonts w:ascii="Verdana" w:hAnsi="Verdana" w:cs="Verdana"/>
          <w:sz w:val="20"/>
          <w:szCs w:val="20"/>
        </w:rPr>
        <w:t xml:space="preserve"> y los representantes expresaron que “</w:t>
      </w:r>
      <w:proofErr w:type="gramStart"/>
      <w:r>
        <w:rPr>
          <w:rFonts w:ascii="Verdana" w:hAnsi="Verdana" w:cs="Verdana"/>
          <w:sz w:val="20"/>
          <w:szCs w:val="20"/>
        </w:rPr>
        <w:t>reitera[</w:t>
      </w:r>
      <w:proofErr w:type="spellStart"/>
      <w:proofErr w:type="gramEnd"/>
      <w:r>
        <w:rPr>
          <w:rFonts w:ascii="Verdana" w:hAnsi="Verdana" w:cs="Verdana"/>
          <w:sz w:val="20"/>
          <w:szCs w:val="20"/>
        </w:rPr>
        <w:t>ban</w:t>
      </w:r>
      <w:proofErr w:type="spellEnd"/>
      <w:r>
        <w:rPr>
          <w:rFonts w:ascii="Verdana" w:hAnsi="Verdana" w:cs="Verdana"/>
          <w:sz w:val="20"/>
          <w:szCs w:val="20"/>
        </w:rPr>
        <w:t>] los peritos promovidos por la Comisión Interamericana  […] por su pertinencia y relevancia para el presente caso”</w:t>
      </w:r>
      <w:r w:rsidR="00BC0779" w:rsidRPr="00291D66">
        <w:rPr>
          <w:rFonts w:ascii="Verdana" w:hAnsi="Verdana" w:cs="Verdana"/>
          <w:sz w:val="20"/>
          <w:szCs w:val="20"/>
        </w:rPr>
        <w:t xml:space="preserve">. Al respecto, el Presidente estima que los peritajes propuestos pueden contribuir a fortalecer las capacidades de protección </w:t>
      </w:r>
      <w:r w:rsidR="00BC0779" w:rsidRPr="00291D66">
        <w:rPr>
          <w:rFonts w:ascii="Verdana" w:hAnsi="Verdana"/>
          <w:sz w:val="20"/>
          <w:szCs w:val="20"/>
          <w:lang w:val="es-CR"/>
        </w:rPr>
        <w:t>del sistema interamericano de derechos humanos en materia de los estándares internacionales sobre las obligaciones estatales referentes a la protección del derecho a la libertad de expresión</w:t>
      </w:r>
      <w:r w:rsidR="00DC783A" w:rsidRPr="00291D66">
        <w:rPr>
          <w:rFonts w:ascii="Verdana" w:hAnsi="Verdana"/>
          <w:sz w:val="20"/>
          <w:szCs w:val="20"/>
          <w:lang w:val="es-CR"/>
        </w:rPr>
        <w:t xml:space="preserve"> de posibles restricciones indirectas</w:t>
      </w:r>
      <w:r w:rsidR="00BC0779" w:rsidRPr="00291D66">
        <w:rPr>
          <w:rFonts w:ascii="Verdana" w:hAnsi="Verdana"/>
          <w:sz w:val="20"/>
          <w:szCs w:val="20"/>
          <w:lang w:val="es-CR"/>
        </w:rPr>
        <w:t xml:space="preserve">, así como </w:t>
      </w:r>
      <w:r w:rsidR="00DC783A" w:rsidRPr="00291D66">
        <w:rPr>
          <w:rFonts w:ascii="Verdana" w:hAnsi="Verdana"/>
          <w:sz w:val="20"/>
          <w:szCs w:val="20"/>
          <w:lang w:val="es-CR"/>
        </w:rPr>
        <w:t>las garantías de carácter sustantivo o procesal que se deben tener en la concesión de licencias de radio o televisión.</w:t>
      </w:r>
      <w:r w:rsidR="00E2675D" w:rsidRPr="00291D66">
        <w:rPr>
          <w:rFonts w:ascii="Verdana" w:hAnsi="Verdana" w:cs="Verdana"/>
          <w:sz w:val="20"/>
          <w:szCs w:val="20"/>
        </w:rPr>
        <w:t xml:space="preserve"> </w:t>
      </w:r>
      <w:r w:rsidR="00753A60">
        <w:rPr>
          <w:rFonts w:ascii="Verdana" w:hAnsi="Verdana" w:cs="Verdana"/>
          <w:sz w:val="20"/>
          <w:szCs w:val="20"/>
        </w:rPr>
        <w:t>Esto trasciende</w:t>
      </w:r>
      <w:r w:rsidR="00E2675D" w:rsidRPr="00291D66">
        <w:rPr>
          <w:rFonts w:ascii="Verdana" w:hAnsi="Verdana" w:cs="Verdana"/>
          <w:sz w:val="20"/>
          <w:szCs w:val="20"/>
          <w:lang w:bidi="en-US"/>
        </w:rPr>
        <w:t xml:space="preserve"> los intereses de las partes en el litigio, los hechos específicos del presente caso</w:t>
      </w:r>
      <w:r w:rsidR="00BC0779" w:rsidRPr="00291D66">
        <w:rPr>
          <w:rFonts w:ascii="Verdana" w:hAnsi="Verdana" w:cs="Verdana"/>
          <w:sz w:val="20"/>
          <w:szCs w:val="20"/>
        </w:rPr>
        <w:t xml:space="preserve"> y</w:t>
      </w:r>
      <w:r w:rsidR="00E2675D" w:rsidRPr="00291D66">
        <w:rPr>
          <w:rFonts w:ascii="Verdana" w:hAnsi="Verdana" w:cs="Verdana"/>
          <w:sz w:val="20"/>
          <w:szCs w:val="20"/>
        </w:rPr>
        <w:t>, además,</w:t>
      </w:r>
      <w:r w:rsidR="00BC0779" w:rsidRPr="00291D66">
        <w:rPr>
          <w:rFonts w:ascii="Verdana" w:hAnsi="Verdana" w:cs="Verdana"/>
          <w:sz w:val="20"/>
          <w:szCs w:val="20"/>
        </w:rPr>
        <w:t xml:space="preserve"> puede tener impacto sobre situaciones que se presentan en otros Estados Partes de la Convención</w:t>
      </w:r>
      <w:r w:rsidR="00BC0779" w:rsidRPr="00291D66">
        <w:rPr>
          <w:rFonts w:ascii="Verdana" w:hAnsi="Verdana" w:cs="Verdana"/>
          <w:sz w:val="20"/>
          <w:szCs w:val="20"/>
          <w:vertAlign w:val="superscript"/>
        </w:rPr>
        <w:footnoteReference w:id="3"/>
      </w:r>
      <w:r w:rsidR="00BC0779" w:rsidRPr="00291D66">
        <w:rPr>
          <w:rFonts w:ascii="Verdana" w:hAnsi="Verdana" w:cs="Verdana"/>
          <w:sz w:val="20"/>
          <w:szCs w:val="20"/>
        </w:rPr>
        <w:t>, lo cual hace que,</w:t>
      </w:r>
      <w:r w:rsidR="00E2675D" w:rsidRPr="00291D66">
        <w:rPr>
          <w:rFonts w:ascii="Verdana" w:hAnsi="Verdana" w:cs="Verdana"/>
          <w:sz w:val="20"/>
          <w:szCs w:val="20"/>
        </w:rPr>
        <w:t xml:space="preserve"> a juicio de esta Presidencia,  se encuentre relacionado con </w:t>
      </w:r>
      <w:r w:rsidR="00BC0779" w:rsidRPr="00291D66">
        <w:rPr>
          <w:rFonts w:ascii="Verdana" w:hAnsi="Verdana" w:cs="Verdana"/>
          <w:sz w:val="20"/>
          <w:szCs w:val="20"/>
        </w:rPr>
        <w:t>el orden público interamericano de derechos humanos</w:t>
      </w:r>
      <w:r w:rsidR="00BC0779" w:rsidRPr="00291D66">
        <w:rPr>
          <w:rFonts w:ascii="Verdana" w:hAnsi="Verdana" w:cs="Verdana"/>
          <w:sz w:val="20"/>
          <w:szCs w:val="20"/>
          <w:vertAlign w:val="superscript"/>
        </w:rPr>
        <w:footnoteReference w:id="4"/>
      </w:r>
      <w:r w:rsidR="00BC0779" w:rsidRPr="00291D66">
        <w:rPr>
          <w:rFonts w:ascii="Verdana" w:hAnsi="Verdana" w:cs="Verdana"/>
          <w:sz w:val="20"/>
          <w:szCs w:val="20"/>
        </w:rPr>
        <w:t xml:space="preserve"> en los términos del artículo 35.1.f del Reglamento. </w:t>
      </w:r>
    </w:p>
    <w:p w:rsidR="00BC0779" w:rsidRPr="00291D66" w:rsidRDefault="00BC0779" w:rsidP="00BC0779">
      <w:pPr>
        <w:ind w:right="10"/>
        <w:jc w:val="both"/>
        <w:rPr>
          <w:rFonts w:ascii="Verdana" w:hAnsi="Verdana"/>
          <w:sz w:val="20"/>
          <w:szCs w:val="20"/>
          <w:lang w:val="es-CR"/>
        </w:rPr>
      </w:pPr>
    </w:p>
    <w:p w:rsidR="00BC0779" w:rsidRPr="00291D66" w:rsidRDefault="00BC0779" w:rsidP="00291D66">
      <w:pPr>
        <w:numPr>
          <w:ilvl w:val="0"/>
          <w:numId w:val="30"/>
        </w:numPr>
        <w:ind w:right="10"/>
        <w:jc w:val="both"/>
        <w:rPr>
          <w:rFonts w:ascii="Verdana" w:hAnsi="Verdana"/>
          <w:sz w:val="20"/>
          <w:szCs w:val="20"/>
          <w:lang w:val="es-CR"/>
        </w:rPr>
      </w:pPr>
      <w:r w:rsidRPr="00291D66">
        <w:rPr>
          <w:rFonts w:ascii="Verdana" w:hAnsi="Verdana"/>
          <w:sz w:val="20"/>
          <w:szCs w:val="20"/>
          <w:lang w:val="es-CR"/>
        </w:rPr>
        <w:t xml:space="preserve">Por las consideraciones expuestas previamente, el Presidente estima pertinente que la Corte reciba </w:t>
      </w:r>
      <w:r w:rsidR="00291D66">
        <w:rPr>
          <w:rFonts w:ascii="Verdana" w:hAnsi="Verdana"/>
          <w:sz w:val="20"/>
          <w:szCs w:val="20"/>
          <w:lang w:val="es-CR"/>
        </w:rPr>
        <w:t>los</w:t>
      </w:r>
      <w:r w:rsidRPr="00291D66">
        <w:rPr>
          <w:rFonts w:ascii="Verdana" w:hAnsi="Verdana"/>
          <w:sz w:val="20"/>
          <w:szCs w:val="20"/>
          <w:lang w:val="es-CR"/>
        </w:rPr>
        <w:t xml:space="preserve"> </w:t>
      </w:r>
      <w:r w:rsidR="00291D66" w:rsidRPr="00291D66">
        <w:rPr>
          <w:rFonts w:ascii="Verdana" w:hAnsi="Verdana"/>
          <w:sz w:val="20"/>
          <w:szCs w:val="20"/>
          <w:lang w:val="es-CR"/>
        </w:rPr>
        <w:t>dictámen</w:t>
      </w:r>
      <w:r w:rsidR="00291D66">
        <w:rPr>
          <w:rFonts w:ascii="Verdana" w:hAnsi="Verdana"/>
          <w:sz w:val="20"/>
          <w:szCs w:val="20"/>
          <w:lang w:val="es-CR"/>
        </w:rPr>
        <w:t>es</w:t>
      </w:r>
      <w:r w:rsidRPr="00291D66">
        <w:rPr>
          <w:rFonts w:ascii="Verdana" w:hAnsi="Verdana"/>
          <w:sz w:val="20"/>
          <w:szCs w:val="20"/>
          <w:lang w:val="es-CR"/>
        </w:rPr>
        <w:t xml:space="preserve"> pericial</w:t>
      </w:r>
      <w:r w:rsidR="00291D66">
        <w:rPr>
          <w:rFonts w:ascii="Verdana" w:hAnsi="Verdana"/>
          <w:sz w:val="20"/>
          <w:szCs w:val="20"/>
          <w:lang w:val="es-CR"/>
        </w:rPr>
        <w:t>es</w:t>
      </w:r>
      <w:r w:rsidRPr="00291D66">
        <w:rPr>
          <w:rFonts w:ascii="Verdana" w:hAnsi="Verdana"/>
          <w:sz w:val="20"/>
          <w:szCs w:val="20"/>
          <w:lang w:val="es-CR"/>
        </w:rPr>
        <w:t xml:space="preserve"> de</w:t>
      </w:r>
      <w:r w:rsidR="00291D66">
        <w:rPr>
          <w:rFonts w:ascii="Verdana" w:hAnsi="Verdana"/>
          <w:sz w:val="20"/>
          <w:szCs w:val="20"/>
          <w:lang w:val="es-CR"/>
        </w:rPr>
        <w:t xml:space="preserve"> </w:t>
      </w:r>
      <w:r w:rsidRPr="00291D66">
        <w:rPr>
          <w:rFonts w:ascii="Verdana" w:hAnsi="Verdana"/>
          <w:sz w:val="20"/>
          <w:szCs w:val="20"/>
          <w:lang w:val="es-CR"/>
        </w:rPr>
        <w:t>l</w:t>
      </w:r>
      <w:r w:rsidR="00291D66">
        <w:rPr>
          <w:rFonts w:ascii="Verdana" w:hAnsi="Verdana"/>
          <w:sz w:val="20"/>
          <w:szCs w:val="20"/>
          <w:lang w:val="es-CR"/>
        </w:rPr>
        <w:t>os</w:t>
      </w:r>
      <w:r w:rsidRPr="00291D66">
        <w:rPr>
          <w:rFonts w:ascii="Verdana" w:hAnsi="Verdana"/>
          <w:sz w:val="20"/>
          <w:szCs w:val="20"/>
          <w:lang w:val="es-CR"/>
        </w:rPr>
        <w:t xml:space="preserve"> señor</w:t>
      </w:r>
      <w:r w:rsidR="00291D66">
        <w:rPr>
          <w:rFonts w:ascii="Verdana" w:hAnsi="Verdana"/>
          <w:sz w:val="20"/>
          <w:szCs w:val="20"/>
          <w:lang w:val="es-CR"/>
        </w:rPr>
        <w:t>es</w:t>
      </w:r>
      <w:r w:rsidRPr="00291D66">
        <w:rPr>
          <w:rFonts w:ascii="Verdana" w:hAnsi="Verdana"/>
          <w:sz w:val="20"/>
          <w:szCs w:val="20"/>
          <w:lang w:val="es-CR"/>
        </w:rPr>
        <w:t xml:space="preserve"> </w:t>
      </w:r>
      <w:r w:rsidR="00CF55FC">
        <w:rPr>
          <w:rFonts w:ascii="Verdana" w:hAnsi="Verdana"/>
          <w:bCs/>
          <w:sz w:val="20"/>
          <w:szCs w:val="20"/>
        </w:rPr>
        <w:t>Domingo Garcí</w:t>
      </w:r>
      <w:r w:rsidR="00291D66" w:rsidRPr="00881D86">
        <w:rPr>
          <w:rFonts w:ascii="Verdana" w:hAnsi="Verdana"/>
          <w:bCs/>
          <w:sz w:val="20"/>
          <w:szCs w:val="20"/>
        </w:rPr>
        <w:t>a Belaunde</w:t>
      </w:r>
      <w:r w:rsidR="00291D66">
        <w:rPr>
          <w:rFonts w:ascii="Verdana" w:hAnsi="Verdana"/>
          <w:bCs/>
          <w:sz w:val="20"/>
          <w:szCs w:val="20"/>
        </w:rPr>
        <w:t xml:space="preserve"> y </w:t>
      </w:r>
      <w:r w:rsidR="00291D66" w:rsidRPr="00881D86">
        <w:rPr>
          <w:rFonts w:ascii="Verdana" w:hAnsi="Verdana"/>
          <w:sz w:val="20"/>
          <w:szCs w:val="20"/>
        </w:rPr>
        <w:t>Eduardo Cifuentes Muñoz</w:t>
      </w:r>
      <w:r w:rsidRPr="00291D66">
        <w:rPr>
          <w:rFonts w:ascii="Verdana" w:hAnsi="Verdana"/>
          <w:sz w:val="20"/>
          <w:szCs w:val="20"/>
          <w:lang w:val="es-ES_tradnl"/>
        </w:rPr>
        <w:t>, propuesto</w:t>
      </w:r>
      <w:r w:rsidR="00291D66">
        <w:rPr>
          <w:rFonts w:ascii="Verdana" w:hAnsi="Verdana"/>
          <w:sz w:val="20"/>
          <w:szCs w:val="20"/>
          <w:lang w:val="es-ES_tradnl"/>
        </w:rPr>
        <w:t>s</w:t>
      </w:r>
      <w:r w:rsidRPr="00291D66">
        <w:rPr>
          <w:rFonts w:ascii="Verdana" w:hAnsi="Verdana"/>
          <w:sz w:val="20"/>
          <w:szCs w:val="20"/>
          <w:lang w:val="es-ES_tradnl"/>
        </w:rPr>
        <w:t xml:space="preserve"> por la Comisión, según el objeto y modalidad determinados en la parte resolutiva de esta decisión (</w:t>
      </w:r>
      <w:r w:rsidRPr="00291D66">
        <w:rPr>
          <w:rFonts w:ascii="Verdana" w:hAnsi="Verdana"/>
          <w:i/>
          <w:iCs/>
          <w:sz w:val="20"/>
          <w:szCs w:val="20"/>
          <w:lang w:val="es-ES_tradnl"/>
        </w:rPr>
        <w:t>infra</w:t>
      </w:r>
      <w:r w:rsidRPr="00291D66">
        <w:rPr>
          <w:rFonts w:ascii="Verdana" w:hAnsi="Verdana"/>
          <w:sz w:val="20"/>
          <w:szCs w:val="20"/>
          <w:lang w:val="es-ES_tradnl"/>
        </w:rPr>
        <w:t xml:space="preserve"> punto resolutivo</w:t>
      </w:r>
      <w:r w:rsidR="00CF55FC">
        <w:rPr>
          <w:rFonts w:ascii="Verdana" w:hAnsi="Verdana"/>
          <w:sz w:val="20"/>
          <w:szCs w:val="20"/>
          <w:lang w:val="es-ES_tradnl"/>
        </w:rPr>
        <w:t xml:space="preserve"> quinto</w:t>
      </w:r>
      <w:r w:rsidRPr="00291D66">
        <w:rPr>
          <w:rFonts w:ascii="Verdana" w:hAnsi="Verdana"/>
          <w:sz w:val="20"/>
          <w:szCs w:val="20"/>
          <w:lang w:val="es-ES_tradnl"/>
        </w:rPr>
        <w:t>)</w:t>
      </w:r>
      <w:r w:rsidRPr="00291D66">
        <w:rPr>
          <w:rFonts w:ascii="Verdana" w:hAnsi="Verdana"/>
          <w:sz w:val="20"/>
          <w:szCs w:val="20"/>
          <w:lang w:val="es-CR"/>
        </w:rPr>
        <w:t xml:space="preserve">. </w:t>
      </w:r>
    </w:p>
    <w:p w:rsidR="0014316E" w:rsidRPr="0014316E" w:rsidRDefault="0014316E" w:rsidP="0014316E">
      <w:pPr>
        <w:autoSpaceDE w:val="0"/>
        <w:autoSpaceDN w:val="0"/>
        <w:adjustRightInd w:val="0"/>
        <w:rPr>
          <w:rFonts w:ascii="Arial" w:eastAsia="Calibri" w:hAnsi="Arial" w:cs="Arial"/>
          <w:sz w:val="21"/>
          <w:szCs w:val="21"/>
          <w:lang w:val="es-CR" w:eastAsia="en-US"/>
        </w:rPr>
      </w:pPr>
    </w:p>
    <w:p w:rsidR="00236466" w:rsidRDefault="00F92757" w:rsidP="00F92757">
      <w:pPr>
        <w:pStyle w:val="Prrafodelista"/>
        <w:numPr>
          <w:ilvl w:val="0"/>
          <w:numId w:val="33"/>
        </w:numPr>
        <w:jc w:val="both"/>
        <w:rPr>
          <w:rFonts w:ascii="Verdana" w:hAnsi="Verdana" w:cs="Verdana"/>
          <w:b/>
          <w:bCs/>
          <w:i/>
          <w:iCs/>
          <w:sz w:val="20"/>
          <w:szCs w:val="20"/>
        </w:rPr>
      </w:pPr>
      <w:r w:rsidRPr="00F92757">
        <w:rPr>
          <w:rFonts w:ascii="Verdana" w:hAnsi="Verdana" w:cs="Verdana"/>
          <w:b/>
          <w:i/>
          <w:sz w:val="20"/>
          <w:szCs w:val="20"/>
        </w:rPr>
        <w:t>Admisibilidad de las declaraciones de presuntas víctimas y testigos, y prueba pericial ofrecida por los representantes</w:t>
      </w:r>
    </w:p>
    <w:p w:rsidR="00EC3C7D" w:rsidRPr="00291D66" w:rsidRDefault="00EC3C7D" w:rsidP="00EC3C7D">
      <w:pPr>
        <w:ind w:right="10"/>
        <w:jc w:val="both"/>
        <w:rPr>
          <w:rFonts w:ascii="Verdana" w:hAnsi="Verdana"/>
          <w:sz w:val="20"/>
          <w:szCs w:val="20"/>
          <w:lang w:val="es-CR"/>
        </w:rPr>
      </w:pPr>
    </w:p>
    <w:p w:rsidR="0017389E" w:rsidRDefault="00EC3C7D" w:rsidP="0017389E">
      <w:pPr>
        <w:numPr>
          <w:ilvl w:val="0"/>
          <w:numId w:val="30"/>
        </w:numPr>
        <w:ind w:right="10"/>
        <w:jc w:val="both"/>
        <w:rPr>
          <w:rFonts w:ascii="Verdana" w:hAnsi="Verdana" w:cs="Verdana"/>
          <w:sz w:val="20"/>
          <w:szCs w:val="20"/>
        </w:rPr>
      </w:pPr>
      <w:r w:rsidRPr="00D27F63">
        <w:rPr>
          <w:rFonts w:ascii="Verdana" w:hAnsi="Verdana" w:cs="Verdana"/>
          <w:sz w:val="20"/>
          <w:szCs w:val="20"/>
        </w:rPr>
        <w:t>En su escrito de solicitudes y argumentos, los representantes ofrecieron</w:t>
      </w:r>
      <w:r>
        <w:rPr>
          <w:rFonts w:ascii="Verdana" w:hAnsi="Verdana" w:cs="Verdana"/>
          <w:sz w:val="20"/>
          <w:szCs w:val="20"/>
        </w:rPr>
        <w:t xml:space="preserve"> </w:t>
      </w:r>
      <w:r w:rsidRPr="000B02B2">
        <w:rPr>
          <w:rFonts w:ascii="Verdana" w:hAnsi="Verdana" w:cs="Verdana"/>
          <w:sz w:val="20"/>
          <w:szCs w:val="20"/>
        </w:rPr>
        <w:t>la declaración de ocho presuntas víctimas</w:t>
      </w:r>
      <w:r>
        <w:rPr>
          <w:rStyle w:val="Refdenotaalpie"/>
          <w:rFonts w:ascii="Verdana" w:hAnsi="Verdana" w:cs="Verdana"/>
          <w:sz w:val="20"/>
          <w:szCs w:val="20"/>
        </w:rPr>
        <w:footnoteReference w:id="5"/>
      </w:r>
      <w:r>
        <w:rPr>
          <w:rFonts w:ascii="Verdana" w:hAnsi="Verdana" w:cs="Verdana"/>
          <w:sz w:val="20"/>
          <w:szCs w:val="20"/>
        </w:rPr>
        <w:t xml:space="preserve"> (Marcel </w:t>
      </w:r>
      <w:proofErr w:type="spellStart"/>
      <w:r>
        <w:rPr>
          <w:rFonts w:ascii="Verdana" w:hAnsi="Verdana" w:cs="Verdana"/>
          <w:sz w:val="20"/>
          <w:szCs w:val="20"/>
        </w:rPr>
        <w:t>Granier</w:t>
      </w:r>
      <w:proofErr w:type="spellEnd"/>
      <w:r>
        <w:rPr>
          <w:rFonts w:ascii="Verdana" w:hAnsi="Verdana" w:cs="Verdana"/>
          <w:sz w:val="20"/>
          <w:szCs w:val="20"/>
        </w:rPr>
        <w:t xml:space="preserve">, Jaime </w:t>
      </w:r>
      <w:proofErr w:type="spellStart"/>
      <w:r>
        <w:rPr>
          <w:rFonts w:ascii="Verdana" w:hAnsi="Verdana" w:cs="Verdana"/>
          <w:sz w:val="20"/>
          <w:szCs w:val="20"/>
        </w:rPr>
        <w:t>Nestares</w:t>
      </w:r>
      <w:proofErr w:type="spellEnd"/>
      <w:r>
        <w:rPr>
          <w:rFonts w:ascii="Verdana" w:hAnsi="Verdana" w:cs="Verdana"/>
          <w:sz w:val="20"/>
          <w:szCs w:val="20"/>
        </w:rPr>
        <w:t xml:space="preserve">, Peter </w:t>
      </w:r>
      <w:proofErr w:type="spellStart"/>
      <w:r>
        <w:rPr>
          <w:rFonts w:ascii="Verdana" w:hAnsi="Verdana" w:cs="Verdana"/>
          <w:sz w:val="20"/>
          <w:szCs w:val="20"/>
        </w:rPr>
        <w:t>Bottome</w:t>
      </w:r>
      <w:proofErr w:type="spellEnd"/>
      <w:r>
        <w:rPr>
          <w:rFonts w:ascii="Verdana" w:hAnsi="Verdana" w:cs="Verdana"/>
          <w:sz w:val="20"/>
          <w:szCs w:val="20"/>
        </w:rPr>
        <w:t xml:space="preserve">, Daniela </w:t>
      </w:r>
      <w:proofErr w:type="spellStart"/>
      <w:r>
        <w:rPr>
          <w:rFonts w:ascii="Verdana" w:hAnsi="Verdana" w:cs="Verdana"/>
          <w:sz w:val="20"/>
          <w:szCs w:val="20"/>
        </w:rPr>
        <w:t>Bergami</w:t>
      </w:r>
      <w:proofErr w:type="spellEnd"/>
      <w:r>
        <w:rPr>
          <w:rFonts w:ascii="Verdana" w:hAnsi="Verdana" w:cs="Verdana"/>
          <w:sz w:val="20"/>
          <w:szCs w:val="20"/>
        </w:rPr>
        <w:t xml:space="preserve">, </w:t>
      </w:r>
      <w:proofErr w:type="spellStart"/>
      <w:r>
        <w:rPr>
          <w:rFonts w:ascii="Verdana" w:hAnsi="Verdana" w:cs="Verdana"/>
          <w:sz w:val="20"/>
          <w:szCs w:val="20"/>
        </w:rPr>
        <w:t>Anani</w:t>
      </w:r>
      <w:proofErr w:type="spellEnd"/>
      <w:r>
        <w:rPr>
          <w:rFonts w:ascii="Verdana" w:hAnsi="Verdana" w:cs="Verdana"/>
          <w:sz w:val="20"/>
          <w:szCs w:val="20"/>
        </w:rPr>
        <w:t xml:space="preserve"> Hernández, </w:t>
      </w:r>
      <w:proofErr w:type="spellStart"/>
      <w:r>
        <w:rPr>
          <w:rFonts w:ascii="Verdana" w:hAnsi="Verdana" w:cs="Verdana"/>
          <w:sz w:val="20"/>
          <w:szCs w:val="20"/>
        </w:rPr>
        <w:t>Maria</w:t>
      </w:r>
      <w:proofErr w:type="spellEnd"/>
      <w:r>
        <w:rPr>
          <w:rFonts w:ascii="Verdana" w:hAnsi="Verdana" w:cs="Verdana"/>
          <w:sz w:val="20"/>
          <w:szCs w:val="20"/>
        </w:rPr>
        <w:t xml:space="preserve"> Arriaga, Soraya Castellano y Larissa </w:t>
      </w:r>
      <w:proofErr w:type="spellStart"/>
      <w:r>
        <w:rPr>
          <w:rFonts w:ascii="Verdana" w:hAnsi="Verdana" w:cs="Verdana"/>
          <w:sz w:val="20"/>
          <w:szCs w:val="20"/>
        </w:rPr>
        <w:t>Pariño</w:t>
      </w:r>
      <w:proofErr w:type="spellEnd"/>
      <w:r>
        <w:rPr>
          <w:rFonts w:ascii="Verdana" w:hAnsi="Verdana" w:cs="Verdana"/>
          <w:sz w:val="20"/>
          <w:szCs w:val="20"/>
        </w:rPr>
        <w:t>)</w:t>
      </w:r>
      <w:r w:rsidR="00DD7B87">
        <w:rPr>
          <w:rFonts w:ascii="Verdana" w:hAnsi="Verdana" w:cs="Verdana"/>
          <w:sz w:val="20"/>
          <w:szCs w:val="20"/>
        </w:rPr>
        <w:t xml:space="preserve">, </w:t>
      </w:r>
      <w:r w:rsidRPr="00DD7B87">
        <w:rPr>
          <w:rFonts w:ascii="Verdana" w:hAnsi="Verdana" w:cs="Verdana"/>
          <w:sz w:val="20"/>
          <w:szCs w:val="20"/>
        </w:rPr>
        <w:t>seis testimonios</w:t>
      </w:r>
      <w:r w:rsidR="00DD7B87">
        <w:rPr>
          <w:rStyle w:val="Refdenotaalpie"/>
          <w:rFonts w:ascii="Verdana" w:hAnsi="Verdana" w:cs="Verdana"/>
          <w:sz w:val="20"/>
          <w:szCs w:val="20"/>
        </w:rPr>
        <w:footnoteReference w:id="6"/>
      </w:r>
      <w:r w:rsidR="00DD7B87">
        <w:rPr>
          <w:rFonts w:ascii="Verdana" w:hAnsi="Verdana" w:cs="Verdana"/>
          <w:sz w:val="20"/>
          <w:szCs w:val="20"/>
        </w:rPr>
        <w:t xml:space="preserve"> (</w:t>
      </w:r>
      <w:proofErr w:type="spellStart"/>
      <w:r w:rsidR="00DD7B87">
        <w:rPr>
          <w:rFonts w:ascii="Verdana" w:hAnsi="Verdana" w:cs="Verdana"/>
          <w:sz w:val="20"/>
          <w:szCs w:val="20"/>
        </w:rPr>
        <w:t>Tinedo</w:t>
      </w:r>
      <w:proofErr w:type="spellEnd"/>
      <w:r w:rsidR="00DD7B87">
        <w:rPr>
          <w:rFonts w:ascii="Verdana" w:hAnsi="Verdana" w:cs="Verdana"/>
          <w:sz w:val="20"/>
          <w:szCs w:val="20"/>
        </w:rPr>
        <w:t xml:space="preserve"> Guía, </w:t>
      </w:r>
      <w:proofErr w:type="spellStart"/>
      <w:r w:rsidR="00DD7B87">
        <w:rPr>
          <w:rFonts w:ascii="Verdana" w:hAnsi="Verdana" w:cs="Verdana"/>
          <w:sz w:val="20"/>
          <w:szCs w:val="20"/>
        </w:rPr>
        <w:t>Jhenny</w:t>
      </w:r>
      <w:proofErr w:type="spellEnd"/>
      <w:r w:rsidR="00DD7B87">
        <w:rPr>
          <w:rFonts w:ascii="Verdana" w:hAnsi="Verdana" w:cs="Verdana"/>
          <w:sz w:val="20"/>
          <w:szCs w:val="20"/>
        </w:rPr>
        <w:t xml:space="preserve"> Chirinos, Pedro </w:t>
      </w:r>
      <w:proofErr w:type="spellStart"/>
      <w:r w:rsidR="00DD7B87">
        <w:rPr>
          <w:rFonts w:ascii="Verdana" w:hAnsi="Verdana" w:cs="Verdana"/>
          <w:sz w:val="20"/>
          <w:szCs w:val="20"/>
        </w:rPr>
        <w:t>Beomont</w:t>
      </w:r>
      <w:proofErr w:type="spellEnd"/>
      <w:r w:rsidR="00DD7B87">
        <w:rPr>
          <w:rFonts w:ascii="Verdana" w:hAnsi="Verdana" w:cs="Verdana"/>
          <w:sz w:val="20"/>
          <w:szCs w:val="20"/>
        </w:rPr>
        <w:t xml:space="preserve">, León Hernández, Erika </w:t>
      </w:r>
      <w:r w:rsidR="00DD7B87">
        <w:rPr>
          <w:rFonts w:ascii="Verdana" w:hAnsi="Verdana" w:cs="Verdana"/>
          <w:sz w:val="20"/>
          <w:szCs w:val="20"/>
        </w:rPr>
        <w:lastRenderedPageBreak/>
        <w:t>Corrales y Nelson Bustamante</w:t>
      </w:r>
      <w:r w:rsidR="00DD7B87">
        <w:rPr>
          <w:rStyle w:val="Refdenotaalpie"/>
          <w:rFonts w:ascii="Verdana" w:hAnsi="Verdana" w:cs="Verdana"/>
          <w:sz w:val="20"/>
          <w:szCs w:val="20"/>
        </w:rPr>
        <w:footnoteReference w:id="7"/>
      </w:r>
      <w:r w:rsidR="00DD7B87">
        <w:rPr>
          <w:rFonts w:ascii="Verdana" w:hAnsi="Verdana" w:cs="Verdana"/>
          <w:sz w:val="20"/>
          <w:szCs w:val="20"/>
        </w:rPr>
        <w:t>)</w:t>
      </w:r>
      <w:r w:rsidRPr="00DD7B87">
        <w:rPr>
          <w:rFonts w:ascii="Verdana" w:hAnsi="Verdana" w:cs="Verdana"/>
          <w:sz w:val="20"/>
          <w:szCs w:val="20"/>
        </w:rPr>
        <w:t xml:space="preserve"> y cinco peritajes</w:t>
      </w:r>
      <w:r w:rsidR="00784F5F">
        <w:rPr>
          <w:rFonts w:ascii="Verdana" w:hAnsi="Verdana" w:cs="Verdana"/>
          <w:sz w:val="20"/>
          <w:szCs w:val="20"/>
        </w:rPr>
        <w:t xml:space="preserve"> (Francisco Rubio Llorente</w:t>
      </w:r>
      <w:r w:rsidR="002A799F">
        <w:rPr>
          <w:rStyle w:val="Refdenotaalpie"/>
          <w:rFonts w:ascii="Verdana" w:hAnsi="Verdana" w:cs="Verdana"/>
          <w:sz w:val="20"/>
          <w:szCs w:val="20"/>
        </w:rPr>
        <w:footnoteReference w:id="8"/>
      </w:r>
      <w:r w:rsidR="00784F5F">
        <w:rPr>
          <w:rFonts w:ascii="Verdana" w:hAnsi="Verdana" w:cs="Verdana"/>
          <w:sz w:val="20"/>
          <w:szCs w:val="20"/>
        </w:rPr>
        <w:t>, Alfredo Morales Hernández</w:t>
      </w:r>
      <w:r w:rsidR="00AE47BD">
        <w:rPr>
          <w:rStyle w:val="Refdenotaalpie"/>
          <w:rFonts w:ascii="Verdana" w:hAnsi="Verdana" w:cs="Verdana"/>
          <w:sz w:val="20"/>
          <w:szCs w:val="20"/>
        </w:rPr>
        <w:footnoteReference w:id="9"/>
      </w:r>
      <w:r w:rsidR="00784F5F">
        <w:rPr>
          <w:rFonts w:ascii="Verdana" w:hAnsi="Verdana" w:cs="Verdana"/>
          <w:sz w:val="20"/>
          <w:szCs w:val="20"/>
        </w:rPr>
        <w:t>, André Ramos Tavares</w:t>
      </w:r>
      <w:r w:rsidR="00B420F1">
        <w:rPr>
          <w:rStyle w:val="Refdenotaalpie"/>
          <w:rFonts w:ascii="Verdana" w:hAnsi="Verdana" w:cs="Verdana"/>
          <w:sz w:val="20"/>
          <w:szCs w:val="20"/>
        </w:rPr>
        <w:footnoteReference w:id="10"/>
      </w:r>
      <w:r w:rsidR="00B420F1">
        <w:rPr>
          <w:rFonts w:ascii="Verdana" w:hAnsi="Verdana" w:cs="Verdana"/>
          <w:sz w:val="20"/>
          <w:szCs w:val="20"/>
        </w:rPr>
        <w:t xml:space="preserve">, Ángel </w:t>
      </w:r>
      <w:proofErr w:type="spellStart"/>
      <w:r w:rsidR="00B420F1">
        <w:rPr>
          <w:rFonts w:ascii="Verdana" w:hAnsi="Verdana" w:cs="Verdana"/>
          <w:sz w:val="20"/>
          <w:szCs w:val="20"/>
        </w:rPr>
        <w:t>Alayó</w:t>
      </w:r>
      <w:r w:rsidR="00784F5F">
        <w:rPr>
          <w:rFonts w:ascii="Verdana" w:hAnsi="Verdana" w:cs="Verdana"/>
          <w:sz w:val="20"/>
          <w:szCs w:val="20"/>
        </w:rPr>
        <w:t>n</w:t>
      </w:r>
      <w:proofErr w:type="spellEnd"/>
      <w:r w:rsidR="00B420F1">
        <w:rPr>
          <w:rStyle w:val="Refdenotaalpie"/>
          <w:rFonts w:ascii="Verdana" w:hAnsi="Verdana" w:cs="Verdana"/>
          <w:sz w:val="20"/>
          <w:szCs w:val="20"/>
        </w:rPr>
        <w:footnoteReference w:id="11"/>
      </w:r>
      <w:r w:rsidR="00BD01AA">
        <w:rPr>
          <w:rFonts w:ascii="Verdana" w:hAnsi="Verdana" w:cs="Verdana"/>
          <w:sz w:val="20"/>
          <w:szCs w:val="20"/>
        </w:rPr>
        <w:t xml:space="preserve"> y Antonio </w:t>
      </w:r>
      <w:proofErr w:type="spellStart"/>
      <w:r w:rsidR="00BD01AA">
        <w:rPr>
          <w:rFonts w:ascii="Verdana" w:hAnsi="Verdana" w:cs="Verdana"/>
          <w:sz w:val="20"/>
          <w:szCs w:val="20"/>
        </w:rPr>
        <w:t>Pasq</w:t>
      </w:r>
      <w:r w:rsidR="00784F5F">
        <w:rPr>
          <w:rFonts w:ascii="Verdana" w:hAnsi="Verdana" w:cs="Verdana"/>
          <w:sz w:val="20"/>
          <w:szCs w:val="20"/>
        </w:rPr>
        <w:t>uali</w:t>
      </w:r>
      <w:proofErr w:type="spellEnd"/>
      <w:r w:rsidR="00B420F1">
        <w:rPr>
          <w:rStyle w:val="Refdenotaalpie"/>
          <w:rFonts w:ascii="Verdana" w:hAnsi="Verdana" w:cs="Verdana"/>
          <w:sz w:val="20"/>
          <w:szCs w:val="20"/>
        </w:rPr>
        <w:footnoteReference w:id="12"/>
      </w:r>
      <w:r w:rsidR="00784F5F">
        <w:rPr>
          <w:rFonts w:ascii="Verdana" w:hAnsi="Verdana" w:cs="Verdana"/>
          <w:sz w:val="20"/>
          <w:szCs w:val="20"/>
        </w:rPr>
        <w:t>).</w:t>
      </w:r>
      <w:r w:rsidR="00A77B32">
        <w:rPr>
          <w:rFonts w:ascii="Verdana" w:hAnsi="Verdana" w:cs="Verdana"/>
          <w:sz w:val="20"/>
          <w:szCs w:val="20"/>
        </w:rPr>
        <w:t xml:space="preserve"> </w:t>
      </w:r>
      <w:r w:rsidRPr="00A77B32">
        <w:rPr>
          <w:rFonts w:ascii="Verdana" w:hAnsi="Verdana" w:cs="Verdana"/>
          <w:sz w:val="20"/>
          <w:szCs w:val="20"/>
        </w:rPr>
        <w:t>Posteriormente, los representantes remitieron un escrito i</w:t>
      </w:r>
      <w:r w:rsidR="00784F5F" w:rsidRPr="00A77B32">
        <w:rPr>
          <w:rFonts w:ascii="Verdana" w:hAnsi="Verdana" w:cs="Verdana"/>
          <w:sz w:val="20"/>
          <w:szCs w:val="20"/>
        </w:rPr>
        <w:t xml:space="preserve">nformando “el lamentable fallecimiento de la señora Daniela </w:t>
      </w:r>
      <w:proofErr w:type="spellStart"/>
      <w:r w:rsidR="00784F5F" w:rsidRPr="00A77B32">
        <w:rPr>
          <w:rFonts w:ascii="Verdana" w:hAnsi="Verdana" w:cs="Verdana"/>
          <w:sz w:val="20"/>
          <w:szCs w:val="20"/>
        </w:rPr>
        <w:t>Bergami</w:t>
      </w:r>
      <w:proofErr w:type="spellEnd"/>
      <w:r w:rsidR="00784F5F" w:rsidRPr="00A77B32">
        <w:rPr>
          <w:rFonts w:ascii="Verdana" w:hAnsi="Verdana" w:cs="Verdana"/>
          <w:sz w:val="20"/>
          <w:szCs w:val="20"/>
        </w:rPr>
        <w:t xml:space="preserve">, ocurrido el pasado 2 de marzo del [2014, la cual] había sido incluida en la lista para declarar [y por lo cual] </w:t>
      </w:r>
      <w:proofErr w:type="gramStart"/>
      <w:r w:rsidR="00784F5F" w:rsidRPr="00A77B32">
        <w:rPr>
          <w:rFonts w:ascii="Verdana" w:hAnsi="Verdana" w:cs="Verdana"/>
          <w:sz w:val="20"/>
          <w:szCs w:val="20"/>
        </w:rPr>
        <w:t>solicita[</w:t>
      </w:r>
      <w:proofErr w:type="gramEnd"/>
      <w:r w:rsidR="00784F5F" w:rsidRPr="00A77B32">
        <w:rPr>
          <w:rFonts w:ascii="Verdana" w:hAnsi="Verdana" w:cs="Verdana"/>
          <w:sz w:val="20"/>
          <w:szCs w:val="20"/>
        </w:rPr>
        <w:t>ron] que [fuera] removida de la lista de testigos”</w:t>
      </w:r>
      <w:r w:rsidRPr="00A77B32">
        <w:rPr>
          <w:rFonts w:ascii="Verdana" w:hAnsi="Verdana" w:cs="Verdana"/>
          <w:sz w:val="20"/>
          <w:szCs w:val="20"/>
        </w:rPr>
        <w:t>.</w:t>
      </w:r>
    </w:p>
    <w:p w:rsidR="0017389E" w:rsidRDefault="0017389E" w:rsidP="0017389E">
      <w:pPr>
        <w:ind w:right="10"/>
        <w:jc w:val="both"/>
        <w:rPr>
          <w:rFonts w:ascii="Verdana" w:hAnsi="Verdana" w:cs="Verdana"/>
          <w:sz w:val="20"/>
          <w:szCs w:val="20"/>
        </w:rPr>
      </w:pPr>
    </w:p>
    <w:p w:rsidR="0017389E" w:rsidRDefault="00CF55FC" w:rsidP="0017389E">
      <w:pPr>
        <w:ind w:right="10"/>
        <w:jc w:val="both"/>
        <w:rPr>
          <w:rFonts w:ascii="Verdana" w:hAnsi="Verdana" w:cs="Verdana"/>
          <w:b/>
          <w:sz w:val="20"/>
          <w:szCs w:val="20"/>
        </w:rPr>
      </w:pPr>
      <w:r>
        <w:rPr>
          <w:rFonts w:ascii="Verdana" w:hAnsi="Verdana" w:cs="Verdana"/>
          <w:b/>
          <w:sz w:val="20"/>
          <w:szCs w:val="20"/>
        </w:rPr>
        <w:t>B.1.  Objeciones a alguna</w:t>
      </w:r>
      <w:r w:rsidR="0017389E">
        <w:rPr>
          <w:rFonts w:ascii="Verdana" w:hAnsi="Verdana" w:cs="Verdana"/>
          <w:b/>
          <w:sz w:val="20"/>
          <w:szCs w:val="20"/>
        </w:rPr>
        <w:t xml:space="preserve">s </w:t>
      </w:r>
      <w:r>
        <w:rPr>
          <w:rFonts w:ascii="Verdana" w:hAnsi="Verdana" w:cs="Verdana"/>
          <w:b/>
          <w:sz w:val="20"/>
          <w:szCs w:val="20"/>
        </w:rPr>
        <w:t xml:space="preserve">presuntas víctimas y </w:t>
      </w:r>
      <w:r w:rsidR="0017389E">
        <w:rPr>
          <w:rFonts w:ascii="Verdana" w:hAnsi="Verdana" w:cs="Verdana"/>
          <w:b/>
          <w:sz w:val="20"/>
          <w:szCs w:val="20"/>
        </w:rPr>
        <w:t>testigos propuestos por los representantes</w:t>
      </w:r>
    </w:p>
    <w:p w:rsidR="0017389E" w:rsidRPr="0017389E" w:rsidRDefault="0017389E" w:rsidP="0017389E">
      <w:pPr>
        <w:ind w:right="10"/>
        <w:jc w:val="both"/>
        <w:rPr>
          <w:rFonts w:ascii="Verdana" w:hAnsi="Verdana" w:cs="Verdana"/>
          <w:b/>
          <w:sz w:val="20"/>
          <w:szCs w:val="20"/>
        </w:rPr>
      </w:pPr>
    </w:p>
    <w:p w:rsidR="00E95E15" w:rsidRDefault="00EC3C7D" w:rsidP="00E95E15">
      <w:pPr>
        <w:numPr>
          <w:ilvl w:val="0"/>
          <w:numId w:val="30"/>
        </w:numPr>
        <w:ind w:right="10"/>
        <w:jc w:val="both"/>
        <w:rPr>
          <w:rFonts w:ascii="Verdana" w:hAnsi="Verdana" w:cs="Verdana"/>
          <w:sz w:val="20"/>
          <w:szCs w:val="20"/>
        </w:rPr>
      </w:pPr>
      <w:r w:rsidRPr="00CF55FC">
        <w:rPr>
          <w:rFonts w:ascii="Verdana" w:hAnsi="Verdana" w:cs="Verdana"/>
          <w:sz w:val="20"/>
          <w:szCs w:val="20"/>
        </w:rPr>
        <w:t>E</w:t>
      </w:r>
      <w:r w:rsidR="0017389E" w:rsidRPr="00CF55FC">
        <w:rPr>
          <w:rFonts w:ascii="Verdana" w:hAnsi="Verdana" w:cs="Verdana"/>
          <w:sz w:val="20"/>
          <w:szCs w:val="20"/>
        </w:rPr>
        <w:t>l Estado indicó que “las declaraciones de los testigos son en su mayoría iguales”, por lo que solicitó que se “descarte a</w:t>
      </w:r>
      <w:r w:rsidR="005243BB" w:rsidRPr="00CF55FC">
        <w:rPr>
          <w:rFonts w:ascii="Verdana" w:hAnsi="Verdana" w:cs="Verdana"/>
          <w:sz w:val="20"/>
          <w:szCs w:val="20"/>
        </w:rPr>
        <w:t>quellos testigos que no aportará</w:t>
      </w:r>
      <w:r w:rsidR="0017389E" w:rsidRPr="00CF55FC">
        <w:rPr>
          <w:rFonts w:ascii="Verdana" w:hAnsi="Verdana" w:cs="Verdana"/>
          <w:sz w:val="20"/>
          <w:szCs w:val="20"/>
        </w:rPr>
        <w:t xml:space="preserve">n nada novedoso y por tanto inútiles al proceso”. </w:t>
      </w:r>
    </w:p>
    <w:p w:rsidR="00CF55FC" w:rsidRPr="00CF55FC" w:rsidRDefault="00CF55FC" w:rsidP="00CF55FC">
      <w:pPr>
        <w:ind w:right="10"/>
        <w:jc w:val="both"/>
        <w:rPr>
          <w:rFonts w:ascii="Verdana" w:hAnsi="Verdana" w:cs="Verdana"/>
          <w:sz w:val="20"/>
          <w:szCs w:val="20"/>
        </w:rPr>
      </w:pPr>
    </w:p>
    <w:p w:rsidR="00E95E15" w:rsidRDefault="005243BB" w:rsidP="0017389E">
      <w:pPr>
        <w:numPr>
          <w:ilvl w:val="0"/>
          <w:numId w:val="30"/>
        </w:numPr>
        <w:ind w:right="10"/>
        <w:jc w:val="both"/>
        <w:rPr>
          <w:rFonts w:ascii="Verdana" w:hAnsi="Verdana" w:cs="Verdana"/>
          <w:sz w:val="20"/>
          <w:szCs w:val="20"/>
        </w:rPr>
      </w:pPr>
      <w:r>
        <w:rPr>
          <w:rFonts w:ascii="Verdana" w:hAnsi="Verdana" w:cs="Verdana"/>
          <w:sz w:val="20"/>
          <w:szCs w:val="20"/>
        </w:rPr>
        <w:t>E</w:t>
      </w:r>
      <w:r w:rsidR="00E95E15">
        <w:rPr>
          <w:rFonts w:ascii="Verdana" w:hAnsi="Verdana" w:cs="Verdana"/>
          <w:sz w:val="20"/>
          <w:szCs w:val="20"/>
        </w:rPr>
        <w:t>fectivamente ocho de las presuntas víctimas y cinco de los testigos fueron propuestos para declarar dentro del proceso bajo el mismo objeto de la declaración (</w:t>
      </w:r>
      <w:r w:rsidR="00E95E15">
        <w:rPr>
          <w:rFonts w:ascii="Verdana" w:hAnsi="Verdana" w:cs="Verdana"/>
          <w:i/>
          <w:sz w:val="20"/>
          <w:szCs w:val="20"/>
        </w:rPr>
        <w:t>supra</w:t>
      </w:r>
      <w:r w:rsidR="00E95E15">
        <w:rPr>
          <w:rFonts w:ascii="Verdana" w:hAnsi="Verdana" w:cs="Verdana"/>
          <w:sz w:val="20"/>
          <w:szCs w:val="20"/>
        </w:rPr>
        <w:t xml:space="preserve"> </w:t>
      </w:r>
      <w:r w:rsidR="00CF55FC">
        <w:rPr>
          <w:rFonts w:ascii="Verdana" w:hAnsi="Verdana" w:cs="Verdana"/>
          <w:sz w:val="20"/>
          <w:szCs w:val="20"/>
        </w:rPr>
        <w:t>Considerando 11</w:t>
      </w:r>
      <w:r w:rsidR="00E95E15">
        <w:rPr>
          <w:rFonts w:ascii="Verdana" w:hAnsi="Verdana" w:cs="Verdana"/>
          <w:sz w:val="20"/>
          <w:szCs w:val="20"/>
        </w:rPr>
        <w:t xml:space="preserve">). </w:t>
      </w:r>
      <w:r w:rsidR="001E3D16">
        <w:rPr>
          <w:rFonts w:ascii="Verdana" w:hAnsi="Verdana" w:cs="Verdana"/>
          <w:sz w:val="20"/>
          <w:szCs w:val="20"/>
        </w:rPr>
        <w:t xml:space="preserve">Sin embargo, </w:t>
      </w:r>
      <w:r w:rsidR="00753A60">
        <w:rPr>
          <w:rFonts w:ascii="Verdana" w:hAnsi="Verdana" w:cs="Verdana"/>
          <w:sz w:val="20"/>
          <w:szCs w:val="20"/>
        </w:rPr>
        <w:t>la Presidencia</w:t>
      </w:r>
      <w:r w:rsidR="001E3D16">
        <w:rPr>
          <w:rFonts w:ascii="Verdana" w:hAnsi="Verdana" w:cs="Verdana"/>
          <w:sz w:val="20"/>
          <w:szCs w:val="20"/>
        </w:rPr>
        <w:t xml:space="preserve"> considera que l</w:t>
      </w:r>
      <w:r w:rsidR="00E95E15">
        <w:rPr>
          <w:rFonts w:ascii="Verdana" w:hAnsi="Verdana" w:cs="Verdana"/>
          <w:sz w:val="20"/>
          <w:szCs w:val="20"/>
        </w:rPr>
        <w:t>a coincidencia de</w:t>
      </w:r>
      <w:r w:rsidR="001E3D16">
        <w:rPr>
          <w:rFonts w:ascii="Verdana" w:hAnsi="Verdana" w:cs="Verdana"/>
          <w:sz w:val="20"/>
          <w:szCs w:val="20"/>
        </w:rPr>
        <w:t xml:space="preserve"> </w:t>
      </w:r>
      <w:r w:rsidR="00E95E15">
        <w:rPr>
          <w:rFonts w:ascii="Verdana" w:hAnsi="Verdana" w:cs="Verdana"/>
          <w:sz w:val="20"/>
          <w:szCs w:val="20"/>
        </w:rPr>
        <w:t>l</w:t>
      </w:r>
      <w:r w:rsidR="001E3D16">
        <w:rPr>
          <w:rFonts w:ascii="Verdana" w:hAnsi="Verdana" w:cs="Verdana"/>
          <w:sz w:val="20"/>
          <w:szCs w:val="20"/>
        </w:rPr>
        <w:t>os</w:t>
      </w:r>
      <w:r w:rsidR="00E95E15">
        <w:rPr>
          <w:rFonts w:ascii="Verdana" w:hAnsi="Verdana" w:cs="Verdana"/>
          <w:sz w:val="20"/>
          <w:szCs w:val="20"/>
        </w:rPr>
        <w:t xml:space="preserve"> objeto</w:t>
      </w:r>
      <w:r w:rsidR="001E3D16">
        <w:rPr>
          <w:rFonts w:ascii="Verdana" w:hAnsi="Verdana" w:cs="Verdana"/>
          <w:sz w:val="20"/>
          <w:szCs w:val="20"/>
        </w:rPr>
        <w:t>s de las declaraciones</w:t>
      </w:r>
      <w:r w:rsidR="00E95E15">
        <w:rPr>
          <w:rFonts w:ascii="Verdana" w:hAnsi="Verdana" w:cs="Verdana"/>
          <w:sz w:val="20"/>
          <w:szCs w:val="20"/>
        </w:rPr>
        <w:t xml:space="preserve"> no implica</w:t>
      </w:r>
      <w:r w:rsidR="001E3D16">
        <w:rPr>
          <w:rFonts w:ascii="Verdana" w:hAnsi="Verdana" w:cs="Verdana"/>
          <w:sz w:val="20"/>
          <w:szCs w:val="20"/>
        </w:rPr>
        <w:t>,</w:t>
      </w:r>
      <w:r w:rsidR="00E95E15">
        <w:rPr>
          <w:rFonts w:ascii="Verdana" w:hAnsi="Verdana" w:cs="Verdana"/>
          <w:sz w:val="20"/>
          <w:szCs w:val="20"/>
        </w:rPr>
        <w:t xml:space="preserve"> necesariamente</w:t>
      </w:r>
      <w:r w:rsidR="001E3D16">
        <w:rPr>
          <w:rFonts w:ascii="Verdana" w:hAnsi="Verdana" w:cs="Verdana"/>
          <w:sz w:val="20"/>
          <w:szCs w:val="20"/>
        </w:rPr>
        <w:t>,</w:t>
      </w:r>
      <w:r w:rsidR="00E95E15">
        <w:rPr>
          <w:rFonts w:ascii="Verdana" w:hAnsi="Verdana" w:cs="Verdana"/>
          <w:sz w:val="20"/>
          <w:szCs w:val="20"/>
        </w:rPr>
        <w:t xml:space="preserve"> que </w:t>
      </w:r>
      <w:r w:rsidR="001E3D16">
        <w:rPr>
          <w:rFonts w:ascii="Verdana" w:hAnsi="Verdana" w:cs="Verdana"/>
          <w:sz w:val="20"/>
          <w:szCs w:val="20"/>
        </w:rPr>
        <w:t xml:space="preserve">dichas declaraciones vayan a </w:t>
      </w:r>
      <w:r w:rsidR="0048232F">
        <w:rPr>
          <w:rFonts w:ascii="Verdana" w:hAnsi="Verdana" w:cs="Verdana"/>
          <w:sz w:val="20"/>
          <w:szCs w:val="20"/>
        </w:rPr>
        <w:t>ser iguales</w:t>
      </w:r>
      <w:r w:rsidR="001E3D16">
        <w:rPr>
          <w:rFonts w:ascii="Verdana" w:hAnsi="Verdana" w:cs="Verdana"/>
          <w:sz w:val="20"/>
          <w:szCs w:val="20"/>
        </w:rPr>
        <w:t>, por cuanto</w:t>
      </w:r>
      <w:r w:rsidR="0048232F">
        <w:rPr>
          <w:rFonts w:ascii="Verdana" w:hAnsi="Verdana" w:cs="Verdana"/>
          <w:sz w:val="20"/>
          <w:szCs w:val="20"/>
        </w:rPr>
        <w:t xml:space="preserve"> cada testigo o presunta víctima expondrá los hechos o circunstancias según como le consten. Así</w:t>
      </w:r>
      <w:r>
        <w:rPr>
          <w:rFonts w:ascii="Verdana" w:hAnsi="Verdana" w:cs="Verdana"/>
          <w:sz w:val="20"/>
          <w:szCs w:val="20"/>
        </w:rPr>
        <w:t>,</w:t>
      </w:r>
      <w:r w:rsidR="0048232F">
        <w:rPr>
          <w:rFonts w:ascii="Verdana" w:hAnsi="Verdana" w:cs="Verdana"/>
          <w:sz w:val="20"/>
          <w:szCs w:val="20"/>
        </w:rPr>
        <w:t xml:space="preserve"> por ejemplo, dentro del objeto se pide que declaren sobre los presuntos daños o perjuicios causados, de manera que dependiendo del declarante esta respuesta cambiara. Asimismo, el Estado no </w:t>
      </w:r>
      <w:r w:rsidR="00207ED0">
        <w:rPr>
          <w:rFonts w:ascii="Verdana" w:hAnsi="Verdana" w:cs="Verdana"/>
          <w:sz w:val="20"/>
          <w:szCs w:val="20"/>
        </w:rPr>
        <w:t>identificó</w:t>
      </w:r>
      <w:r w:rsidR="0048232F">
        <w:rPr>
          <w:rFonts w:ascii="Verdana" w:hAnsi="Verdana" w:cs="Verdana"/>
          <w:sz w:val="20"/>
          <w:szCs w:val="20"/>
        </w:rPr>
        <w:t xml:space="preserve"> cuales </w:t>
      </w:r>
      <w:r w:rsidR="0048232F">
        <w:rPr>
          <w:rFonts w:ascii="Verdana" w:hAnsi="Verdana" w:cs="Verdana"/>
          <w:sz w:val="20"/>
          <w:szCs w:val="20"/>
        </w:rPr>
        <w:lastRenderedPageBreak/>
        <w:t>declaraciones resultarían poco “</w:t>
      </w:r>
      <w:r w:rsidR="00207ED0">
        <w:rPr>
          <w:rFonts w:ascii="Verdana" w:hAnsi="Verdana" w:cs="Verdana"/>
          <w:sz w:val="20"/>
          <w:szCs w:val="20"/>
        </w:rPr>
        <w:t>novedosas o útiles</w:t>
      </w:r>
      <w:r w:rsidR="0048232F">
        <w:rPr>
          <w:rFonts w:ascii="Verdana" w:hAnsi="Verdana" w:cs="Verdana"/>
          <w:sz w:val="20"/>
          <w:szCs w:val="20"/>
        </w:rPr>
        <w:t>”</w:t>
      </w:r>
      <w:r w:rsidR="00207ED0">
        <w:rPr>
          <w:rFonts w:ascii="Verdana" w:hAnsi="Verdana" w:cs="Verdana"/>
          <w:sz w:val="20"/>
          <w:szCs w:val="20"/>
        </w:rPr>
        <w:t xml:space="preserve">. </w:t>
      </w:r>
      <w:r w:rsidR="0048232F">
        <w:rPr>
          <w:rFonts w:ascii="Verdana" w:hAnsi="Verdana" w:cs="Verdana"/>
          <w:sz w:val="20"/>
          <w:szCs w:val="20"/>
        </w:rPr>
        <w:t xml:space="preserve">Por lo anterior, esta Presidencia </w:t>
      </w:r>
      <w:r>
        <w:rPr>
          <w:rFonts w:ascii="Verdana" w:hAnsi="Verdana" w:cs="Verdana"/>
          <w:sz w:val="20"/>
          <w:szCs w:val="20"/>
        </w:rPr>
        <w:t>concluye que se recabará</w:t>
      </w:r>
      <w:r w:rsidR="00207ED0">
        <w:rPr>
          <w:rFonts w:ascii="Verdana" w:hAnsi="Verdana" w:cs="Verdana"/>
          <w:sz w:val="20"/>
          <w:szCs w:val="20"/>
        </w:rPr>
        <w:t xml:space="preserve">n las declaraciones de las presuntas víctimas y testigos y </w:t>
      </w:r>
      <w:r>
        <w:rPr>
          <w:rFonts w:ascii="Verdana" w:hAnsi="Verdana" w:cs="Verdana"/>
          <w:sz w:val="20"/>
          <w:szCs w:val="20"/>
        </w:rPr>
        <w:t xml:space="preserve">que </w:t>
      </w:r>
      <w:r w:rsidR="00207ED0">
        <w:rPr>
          <w:rFonts w:ascii="Verdana" w:hAnsi="Verdana" w:cs="Verdana"/>
          <w:sz w:val="20"/>
          <w:szCs w:val="20"/>
        </w:rPr>
        <w:t>determinará la modalidad de dichas declaraciones posteriormente (</w:t>
      </w:r>
      <w:r w:rsidR="00207ED0">
        <w:rPr>
          <w:rFonts w:ascii="Verdana" w:hAnsi="Verdana" w:cs="Verdana"/>
          <w:i/>
          <w:sz w:val="20"/>
          <w:szCs w:val="20"/>
        </w:rPr>
        <w:t>infra</w:t>
      </w:r>
      <w:r w:rsidR="001F0E1E">
        <w:rPr>
          <w:rFonts w:ascii="Verdana" w:hAnsi="Verdana" w:cs="Verdana"/>
          <w:sz w:val="20"/>
          <w:szCs w:val="20"/>
        </w:rPr>
        <w:t xml:space="preserve"> punto</w:t>
      </w:r>
      <w:r w:rsidR="00CF55FC">
        <w:rPr>
          <w:rFonts w:ascii="Verdana" w:hAnsi="Verdana" w:cs="Verdana"/>
          <w:sz w:val="20"/>
          <w:szCs w:val="20"/>
        </w:rPr>
        <w:t>s</w:t>
      </w:r>
      <w:r w:rsidR="001F0E1E">
        <w:rPr>
          <w:rFonts w:ascii="Verdana" w:hAnsi="Verdana" w:cs="Verdana"/>
          <w:sz w:val="20"/>
          <w:szCs w:val="20"/>
        </w:rPr>
        <w:t xml:space="preserve"> resolutivo</w:t>
      </w:r>
      <w:r w:rsidR="00CF55FC">
        <w:rPr>
          <w:rFonts w:ascii="Verdana" w:hAnsi="Verdana" w:cs="Verdana"/>
          <w:sz w:val="20"/>
          <w:szCs w:val="20"/>
        </w:rPr>
        <w:t>s</w:t>
      </w:r>
      <w:r w:rsidR="001F0E1E">
        <w:rPr>
          <w:rFonts w:ascii="Verdana" w:hAnsi="Verdana" w:cs="Verdana"/>
          <w:sz w:val="20"/>
          <w:szCs w:val="20"/>
        </w:rPr>
        <w:t xml:space="preserve"> </w:t>
      </w:r>
      <w:r w:rsidR="00CF55FC">
        <w:rPr>
          <w:rFonts w:ascii="Verdana" w:hAnsi="Verdana" w:cs="Verdana"/>
          <w:sz w:val="20"/>
          <w:szCs w:val="20"/>
        </w:rPr>
        <w:t>primero y quinto</w:t>
      </w:r>
      <w:r w:rsidR="00207ED0">
        <w:rPr>
          <w:rFonts w:ascii="Verdana" w:hAnsi="Verdana" w:cs="Verdana"/>
          <w:sz w:val="20"/>
          <w:szCs w:val="20"/>
        </w:rPr>
        <w:t>)</w:t>
      </w:r>
    </w:p>
    <w:p w:rsidR="00042C44" w:rsidRDefault="00042C44" w:rsidP="00042C44">
      <w:pPr>
        <w:rPr>
          <w:rFonts w:ascii="Verdana" w:hAnsi="Verdana" w:cs="Verdana"/>
          <w:sz w:val="20"/>
          <w:szCs w:val="20"/>
        </w:rPr>
      </w:pPr>
    </w:p>
    <w:p w:rsidR="00042C44" w:rsidRDefault="00042C44" w:rsidP="00042C44">
      <w:pPr>
        <w:jc w:val="both"/>
        <w:rPr>
          <w:rFonts w:ascii="Verdana" w:hAnsi="Verdana" w:cs="Verdana"/>
          <w:b/>
          <w:bCs/>
          <w:sz w:val="20"/>
          <w:szCs w:val="20"/>
        </w:rPr>
      </w:pPr>
      <w:r>
        <w:rPr>
          <w:rFonts w:ascii="Verdana" w:hAnsi="Verdana" w:cs="Verdana"/>
          <w:b/>
          <w:sz w:val="20"/>
          <w:szCs w:val="20"/>
        </w:rPr>
        <w:t xml:space="preserve">B.2. </w:t>
      </w:r>
      <w:r w:rsidRPr="00D27F63">
        <w:rPr>
          <w:rFonts w:ascii="Verdana" w:hAnsi="Verdana" w:cs="Verdana"/>
          <w:b/>
          <w:bCs/>
          <w:sz w:val="20"/>
          <w:szCs w:val="20"/>
        </w:rPr>
        <w:t xml:space="preserve">Recusaciones y/u objeciones </w:t>
      </w:r>
      <w:r>
        <w:rPr>
          <w:rFonts w:ascii="Verdana" w:hAnsi="Verdana" w:cs="Verdana"/>
          <w:b/>
          <w:bCs/>
          <w:sz w:val="20"/>
          <w:szCs w:val="20"/>
        </w:rPr>
        <w:t xml:space="preserve">del Estado al </w:t>
      </w:r>
      <w:r w:rsidRPr="00D27F63">
        <w:rPr>
          <w:rFonts w:ascii="Verdana" w:hAnsi="Verdana" w:cs="Verdana"/>
          <w:b/>
          <w:bCs/>
          <w:sz w:val="20"/>
          <w:szCs w:val="20"/>
        </w:rPr>
        <w:t>perit</w:t>
      </w:r>
      <w:r>
        <w:rPr>
          <w:rFonts w:ascii="Verdana" w:hAnsi="Verdana" w:cs="Verdana"/>
          <w:b/>
          <w:bCs/>
          <w:sz w:val="20"/>
          <w:szCs w:val="20"/>
        </w:rPr>
        <w:t>o</w:t>
      </w:r>
      <w:r w:rsidRPr="00D27F63">
        <w:rPr>
          <w:rFonts w:ascii="Verdana" w:hAnsi="Verdana" w:cs="Verdana"/>
          <w:b/>
          <w:bCs/>
          <w:sz w:val="20"/>
          <w:szCs w:val="20"/>
        </w:rPr>
        <w:t xml:space="preserve"> ofrecid</w:t>
      </w:r>
      <w:r>
        <w:rPr>
          <w:rFonts w:ascii="Verdana" w:hAnsi="Verdana" w:cs="Verdana"/>
          <w:b/>
          <w:bCs/>
          <w:sz w:val="20"/>
          <w:szCs w:val="20"/>
        </w:rPr>
        <w:t>o</w:t>
      </w:r>
      <w:r w:rsidRPr="00D27F63">
        <w:rPr>
          <w:rFonts w:ascii="Verdana" w:hAnsi="Verdana" w:cs="Verdana"/>
          <w:b/>
          <w:bCs/>
          <w:sz w:val="20"/>
          <w:szCs w:val="20"/>
        </w:rPr>
        <w:t xml:space="preserve"> por los representantes</w:t>
      </w:r>
    </w:p>
    <w:p w:rsidR="00042C44" w:rsidRPr="00042C44" w:rsidRDefault="00042C44" w:rsidP="00042C44">
      <w:pPr>
        <w:rPr>
          <w:rFonts w:ascii="Verdana" w:hAnsi="Verdana" w:cs="Verdana"/>
          <w:sz w:val="20"/>
          <w:szCs w:val="20"/>
        </w:rPr>
      </w:pPr>
    </w:p>
    <w:p w:rsidR="00042C44" w:rsidRDefault="000171FF" w:rsidP="0017389E">
      <w:pPr>
        <w:numPr>
          <w:ilvl w:val="0"/>
          <w:numId w:val="30"/>
        </w:numPr>
        <w:ind w:right="10"/>
        <w:jc w:val="both"/>
        <w:rPr>
          <w:rFonts w:ascii="Verdana" w:hAnsi="Verdana" w:cs="Verdana"/>
          <w:sz w:val="20"/>
          <w:szCs w:val="20"/>
        </w:rPr>
      </w:pPr>
      <w:r>
        <w:rPr>
          <w:rFonts w:ascii="Verdana" w:hAnsi="Verdana" w:cs="Verdana"/>
          <w:sz w:val="20"/>
          <w:szCs w:val="20"/>
        </w:rPr>
        <w:t>El Estado alegó</w:t>
      </w:r>
      <w:r w:rsidR="00002230">
        <w:rPr>
          <w:rFonts w:ascii="Verdana" w:hAnsi="Verdana" w:cs="Verdana"/>
          <w:sz w:val="20"/>
          <w:szCs w:val="20"/>
        </w:rPr>
        <w:t xml:space="preserve"> “las visibles carencias que tiene el reglamento de la Corte en materia de recusaciones”, dado que “las causales de recusación son mínimas y prácticamente inaceptables en el proceso”.</w:t>
      </w:r>
      <w:r w:rsidR="0022766F">
        <w:rPr>
          <w:rFonts w:ascii="Verdana" w:hAnsi="Verdana" w:cs="Verdana"/>
          <w:sz w:val="20"/>
          <w:szCs w:val="20"/>
        </w:rPr>
        <w:t xml:space="preserve"> En particular, el Est</w:t>
      </w:r>
      <w:r w:rsidR="00BD01AA">
        <w:rPr>
          <w:rFonts w:ascii="Verdana" w:hAnsi="Verdana" w:cs="Verdana"/>
          <w:sz w:val="20"/>
          <w:szCs w:val="20"/>
        </w:rPr>
        <w:t xml:space="preserve">ado recusó al señor Antonio </w:t>
      </w:r>
      <w:proofErr w:type="spellStart"/>
      <w:r w:rsidR="00BD01AA">
        <w:rPr>
          <w:rFonts w:ascii="Verdana" w:hAnsi="Verdana" w:cs="Verdana"/>
          <w:sz w:val="20"/>
          <w:szCs w:val="20"/>
        </w:rPr>
        <w:t>Pasq</w:t>
      </w:r>
      <w:r w:rsidR="00F75791">
        <w:rPr>
          <w:rFonts w:ascii="Verdana" w:hAnsi="Verdana" w:cs="Verdana"/>
          <w:sz w:val="20"/>
          <w:szCs w:val="20"/>
        </w:rPr>
        <w:t>ua</w:t>
      </w:r>
      <w:r w:rsidR="0022766F">
        <w:rPr>
          <w:rFonts w:ascii="Verdana" w:hAnsi="Verdana" w:cs="Verdana"/>
          <w:sz w:val="20"/>
          <w:szCs w:val="20"/>
        </w:rPr>
        <w:t>li</w:t>
      </w:r>
      <w:proofErr w:type="spellEnd"/>
      <w:r w:rsidR="0022766F">
        <w:rPr>
          <w:rFonts w:ascii="Verdana" w:hAnsi="Verdana" w:cs="Verdana"/>
          <w:sz w:val="20"/>
          <w:szCs w:val="20"/>
        </w:rPr>
        <w:t>, al considerar que “</w:t>
      </w:r>
      <w:r w:rsidR="00F75791">
        <w:rPr>
          <w:rFonts w:ascii="Verdana" w:hAnsi="Verdana" w:cs="Verdana"/>
          <w:sz w:val="20"/>
          <w:szCs w:val="20"/>
        </w:rPr>
        <w:t>[c]</w:t>
      </w:r>
      <w:proofErr w:type="spellStart"/>
      <w:r w:rsidR="00F75791">
        <w:rPr>
          <w:rFonts w:ascii="Verdana" w:hAnsi="Verdana" w:cs="Verdana"/>
          <w:sz w:val="20"/>
          <w:szCs w:val="20"/>
        </w:rPr>
        <w:t>omo</w:t>
      </w:r>
      <w:proofErr w:type="spellEnd"/>
      <w:r w:rsidR="00F75791">
        <w:rPr>
          <w:rFonts w:ascii="Verdana" w:hAnsi="Verdana" w:cs="Verdana"/>
          <w:sz w:val="20"/>
          <w:szCs w:val="20"/>
        </w:rPr>
        <w:t xml:space="preserve"> se puede evidenciar [</w:t>
      </w:r>
      <w:r w:rsidR="00CF55FC">
        <w:rPr>
          <w:rFonts w:ascii="Verdana" w:hAnsi="Verdana" w:cs="Verdana"/>
          <w:sz w:val="20"/>
          <w:szCs w:val="20"/>
        </w:rPr>
        <w:t xml:space="preserve">de </w:t>
      </w:r>
      <w:r w:rsidR="00F75791">
        <w:rPr>
          <w:rFonts w:ascii="Verdana" w:hAnsi="Verdana" w:cs="Verdana"/>
          <w:sz w:val="20"/>
          <w:szCs w:val="20"/>
        </w:rPr>
        <w:t>varias] notas de opinión […</w:t>
      </w:r>
      <w:r w:rsidR="005C4940">
        <w:rPr>
          <w:rFonts w:ascii="Verdana" w:hAnsi="Verdana" w:cs="Verdana"/>
          <w:sz w:val="20"/>
          <w:szCs w:val="20"/>
        </w:rPr>
        <w:t xml:space="preserve"> el señor </w:t>
      </w:r>
      <w:proofErr w:type="spellStart"/>
      <w:r w:rsidR="005C4940">
        <w:rPr>
          <w:rFonts w:ascii="Verdana" w:hAnsi="Verdana" w:cs="Verdana"/>
          <w:sz w:val="20"/>
          <w:szCs w:val="20"/>
        </w:rPr>
        <w:t>Pas</w:t>
      </w:r>
      <w:r w:rsidR="00BD01AA">
        <w:rPr>
          <w:rFonts w:ascii="Verdana" w:hAnsi="Verdana" w:cs="Verdana"/>
          <w:sz w:val="20"/>
          <w:szCs w:val="20"/>
        </w:rPr>
        <w:t>q</w:t>
      </w:r>
      <w:r w:rsidR="00F75791">
        <w:rPr>
          <w:rFonts w:ascii="Verdana" w:hAnsi="Verdana" w:cs="Verdana"/>
          <w:sz w:val="20"/>
          <w:szCs w:val="20"/>
        </w:rPr>
        <w:t>uali</w:t>
      </w:r>
      <w:proofErr w:type="spellEnd"/>
      <w:r w:rsidR="00F75791">
        <w:rPr>
          <w:rFonts w:ascii="Verdana" w:hAnsi="Verdana" w:cs="Verdana"/>
          <w:sz w:val="20"/>
          <w:szCs w:val="20"/>
        </w:rPr>
        <w:t xml:space="preserve">] se </w:t>
      </w:r>
      <w:proofErr w:type="spellStart"/>
      <w:r w:rsidR="00F75791">
        <w:rPr>
          <w:rFonts w:ascii="Verdana" w:hAnsi="Verdana" w:cs="Verdana"/>
          <w:sz w:val="20"/>
          <w:szCs w:val="20"/>
        </w:rPr>
        <w:t>expres</w:t>
      </w:r>
      <w:proofErr w:type="spellEnd"/>
      <w:r w:rsidR="00F75791">
        <w:rPr>
          <w:rFonts w:ascii="Verdana" w:hAnsi="Verdana" w:cs="Verdana"/>
          <w:sz w:val="20"/>
          <w:szCs w:val="20"/>
        </w:rPr>
        <w:t>[</w:t>
      </w:r>
      <w:proofErr w:type="spellStart"/>
      <w:r w:rsidR="00F75791">
        <w:rPr>
          <w:rFonts w:ascii="Verdana" w:hAnsi="Verdana" w:cs="Verdana"/>
          <w:sz w:val="20"/>
          <w:szCs w:val="20"/>
        </w:rPr>
        <w:t>ó</w:t>
      </w:r>
      <w:proofErr w:type="spellEnd"/>
      <w:r w:rsidR="00F75791">
        <w:rPr>
          <w:rFonts w:ascii="Verdana" w:hAnsi="Verdana" w:cs="Verdana"/>
          <w:sz w:val="20"/>
          <w:szCs w:val="20"/>
        </w:rPr>
        <w:t>] en contra del cierre de RCTV haciendo uso de su derecho constitucional a la libertad de expresión, sin embargo su opinión en determinado momento histórico lo veta para servir como perito en la Corte Interamericana</w:t>
      </w:r>
      <w:r w:rsidR="0022766F">
        <w:rPr>
          <w:rFonts w:ascii="Verdana" w:hAnsi="Verdana" w:cs="Verdana"/>
          <w:sz w:val="20"/>
          <w:szCs w:val="20"/>
        </w:rPr>
        <w:t>”</w:t>
      </w:r>
      <w:r w:rsidR="00F75791">
        <w:rPr>
          <w:rFonts w:ascii="Verdana" w:hAnsi="Verdana" w:cs="Verdana"/>
          <w:sz w:val="20"/>
          <w:szCs w:val="20"/>
        </w:rPr>
        <w:t>. Agregó el Estado</w:t>
      </w:r>
      <w:r w:rsidR="009A38AE">
        <w:rPr>
          <w:rFonts w:ascii="Verdana" w:hAnsi="Verdana" w:cs="Verdana"/>
          <w:sz w:val="20"/>
          <w:szCs w:val="20"/>
        </w:rPr>
        <w:t xml:space="preserve"> </w:t>
      </w:r>
      <w:r w:rsidR="005243BB">
        <w:rPr>
          <w:rFonts w:ascii="Verdana" w:hAnsi="Verdana" w:cs="Verdana"/>
          <w:sz w:val="20"/>
          <w:szCs w:val="20"/>
        </w:rPr>
        <w:t xml:space="preserve">que </w:t>
      </w:r>
      <w:r w:rsidR="009A38AE">
        <w:rPr>
          <w:rFonts w:ascii="Verdana" w:hAnsi="Verdana" w:cs="Verdana"/>
          <w:sz w:val="20"/>
          <w:szCs w:val="20"/>
        </w:rPr>
        <w:t>“[e]l perito como auxiliar del juez para el conocimiento de la verdad debe estar ajustado a criterios de imparcialidad de tal manera que afecte la actitud del juez, cuando éste se ha pronunciado a favor de una de las partes de la causa”.</w:t>
      </w:r>
      <w:r w:rsidR="00B64477">
        <w:rPr>
          <w:rFonts w:ascii="Verdana" w:hAnsi="Verdana" w:cs="Verdana"/>
          <w:sz w:val="20"/>
          <w:szCs w:val="20"/>
        </w:rPr>
        <w:t xml:space="preserve"> </w:t>
      </w:r>
    </w:p>
    <w:p w:rsidR="005C4940" w:rsidRDefault="005C4940" w:rsidP="005C4940">
      <w:pPr>
        <w:ind w:right="10"/>
        <w:jc w:val="both"/>
        <w:rPr>
          <w:rFonts w:ascii="Verdana" w:hAnsi="Verdana" w:cs="Verdana"/>
          <w:sz w:val="20"/>
          <w:szCs w:val="20"/>
        </w:rPr>
      </w:pPr>
    </w:p>
    <w:p w:rsidR="005C4940" w:rsidRPr="00FB6DA3" w:rsidRDefault="00FB6DA3" w:rsidP="0017389E">
      <w:pPr>
        <w:numPr>
          <w:ilvl w:val="0"/>
          <w:numId w:val="30"/>
        </w:numPr>
        <w:ind w:right="10"/>
        <w:jc w:val="both"/>
        <w:rPr>
          <w:rFonts w:ascii="Verdana" w:hAnsi="Verdana" w:cs="Verdana"/>
          <w:sz w:val="20"/>
          <w:szCs w:val="20"/>
        </w:rPr>
      </w:pPr>
      <w:r>
        <w:rPr>
          <w:rFonts w:ascii="Verdana" w:hAnsi="Verdana" w:cs="Verdana"/>
          <w:sz w:val="20"/>
          <w:szCs w:val="20"/>
        </w:rPr>
        <w:t>Por su parte</w:t>
      </w:r>
      <w:r w:rsidR="005C4940">
        <w:rPr>
          <w:rFonts w:ascii="Verdana" w:hAnsi="Verdana" w:cs="Verdana"/>
          <w:sz w:val="20"/>
          <w:szCs w:val="20"/>
        </w:rPr>
        <w:t xml:space="preserve">, el señor </w:t>
      </w:r>
      <w:proofErr w:type="spellStart"/>
      <w:r w:rsidR="005C4940">
        <w:rPr>
          <w:rFonts w:ascii="Verdana" w:hAnsi="Verdana" w:cs="Verdana"/>
          <w:sz w:val="20"/>
          <w:szCs w:val="20"/>
        </w:rPr>
        <w:t>Pas</w:t>
      </w:r>
      <w:r w:rsidR="00BD01AA">
        <w:rPr>
          <w:rFonts w:ascii="Verdana" w:hAnsi="Verdana" w:cs="Verdana"/>
          <w:sz w:val="20"/>
          <w:szCs w:val="20"/>
        </w:rPr>
        <w:t>q</w:t>
      </w:r>
      <w:r w:rsidR="005C4940">
        <w:rPr>
          <w:rFonts w:ascii="Verdana" w:hAnsi="Verdana" w:cs="Verdana"/>
          <w:sz w:val="20"/>
          <w:szCs w:val="20"/>
        </w:rPr>
        <w:t>uali</w:t>
      </w:r>
      <w:proofErr w:type="spellEnd"/>
      <w:r w:rsidR="005C4940">
        <w:rPr>
          <w:rFonts w:ascii="Verdana" w:hAnsi="Verdana" w:cs="Verdana"/>
          <w:sz w:val="20"/>
          <w:szCs w:val="20"/>
        </w:rPr>
        <w:t xml:space="preserve"> respondió a la re</w:t>
      </w:r>
      <w:r w:rsidR="005243BB">
        <w:rPr>
          <w:rFonts w:ascii="Verdana" w:hAnsi="Verdana" w:cs="Verdana"/>
          <w:sz w:val="20"/>
          <w:szCs w:val="20"/>
        </w:rPr>
        <w:t>cusación</w:t>
      </w:r>
      <w:r w:rsidR="00713666">
        <w:rPr>
          <w:rFonts w:ascii="Verdana" w:hAnsi="Verdana" w:cs="Verdana"/>
          <w:sz w:val="20"/>
          <w:szCs w:val="20"/>
        </w:rPr>
        <w:t xml:space="preserve"> argumentado que “no estaba incurso en ninguna de las causales” establecidas en el artículo 48 del Reglamento. Añadió que “se [l]e recusa como perito por otras causas no previstas por la Corte en su reglamento, un hecho que en [su]  criterio bastaría para establecer la improcedencia de la solicitud de recusación”. Asimismo, indicó que “las publicaciones a las que se refiere el Estado son una entrevista de 24 de enero de 2007 y un artículo de opinión de 27 de mayo de 2007, fecha en la que RCTV salió del aire. Hace casi siete años estaba aún  lejano el momento en que esta acción del Estado fuera objeto de una causa judicial ante la Corte </w:t>
      </w:r>
      <w:r w:rsidR="00713666" w:rsidRPr="00FB6DA3">
        <w:rPr>
          <w:rFonts w:ascii="Verdana" w:hAnsi="Verdana" w:cs="Verdana"/>
          <w:sz w:val="20"/>
          <w:szCs w:val="20"/>
        </w:rPr>
        <w:t>Interamericana […, por lo que m</w:t>
      </w:r>
      <w:proofErr w:type="gramStart"/>
      <w:r w:rsidR="00713666" w:rsidRPr="00FB6DA3">
        <w:rPr>
          <w:rFonts w:ascii="Verdana" w:hAnsi="Verdana" w:cs="Verdana"/>
          <w:sz w:val="20"/>
          <w:szCs w:val="20"/>
        </w:rPr>
        <w:t>]al</w:t>
      </w:r>
      <w:proofErr w:type="gramEnd"/>
      <w:r w:rsidR="00713666" w:rsidRPr="00FB6DA3">
        <w:rPr>
          <w:rFonts w:ascii="Verdana" w:hAnsi="Verdana" w:cs="Verdana"/>
          <w:sz w:val="20"/>
          <w:szCs w:val="20"/>
        </w:rPr>
        <w:t xml:space="preserve"> podría entonces haber[se] pronunciado a favor de una de las partes en una causa inexistente”. </w:t>
      </w:r>
    </w:p>
    <w:p w:rsidR="00FB6DA3" w:rsidRPr="00FB6DA3" w:rsidRDefault="00FB6DA3" w:rsidP="00FB6DA3">
      <w:pPr>
        <w:pStyle w:val="Prrafodelista"/>
        <w:rPr>
          <w:rFonts w:ascii="Verdana" w:hAnsi="Verdana" w:cs="Verdana"/>
          <w:sz w:val="20"/>
          <w:szCs w:val="20"/>
        </w:rPr>
      </w:pPr>
    </w:p>
    <w:p w:rsidR="00913F8C" w:rsidRPr="00844185" w:rsidRDefault="005243BB" w:rsidP="00844185">
      <w:pPr>
        <w:numPr>
          <w:ilvl w:val="0"/>
          <w:numId w:val="30"/>
        </w:numPr>
        <w:ind w:right="10"/>
        <w:jc w:val="both"/>
        <w:rPr>
          <w:rFonts w:ascii="Verdana" w:hAnsi="Verdana" w:cs="Verdana"/>
          <w:sz w:val="20"/>
          <w:szCs w:val="20"/>
        </w:rPr>
      </w:pPr>
      <w:r>
        <w:rPr>
          <w:rFonts w:ascii="Verdana" w:hAnsi="Verdana" w:cs="Verdana"/>
          <w:sz w:val="20"/>
          <w:szCs w:val="20"/>
        </w:rPr>
        <w:t>E</w:t>
      </w:r>
      <w:r w:rsidR="00913F8C">
        <w:rPr>
          <w:rFonts w:ascii="Verdana" w:hAnsi="Verdana" w:cs="Verdana"/>
          <w:sz w:val="20"/>
          <w:szCs w:val="20"/>
          <w:lang w:bidi="en-US"/>
        </w:rPr>
        <w:t>l artículo 48.1.f) establece</w:t>
      </w:r>
      <w:r w:rsidR="00A253D9" w:rsidRPr="00913F8C">
        <w:rPr>
          <w:rFonts w:ascii="Verdana" w:hAnsi="Verdana" w:cs="Verdana"/>
          <w:sz w:val="20"/>
          <w:szCs w:val="20"/>
          <w:lang w:bidi="en-US"/>
        </w:rPr>
        <w:t xml:space="preserve"> la causal de recusación contra personas pr</w:t>
      </w:r>
      <w:r w:rsidR="00913F8C">
        <w:rPr>
          <w:rFonts w:ascii="Verdana" w:hAnsi="Verdana" w:cs="Verdana"/>
          <w:sz w:val="20"/>
          <w:szCs w:val="20"/>
          <w:lang w:bidi="en-US"/>
        </w:rPr>
        <w:t>opuestas como peritos en caso</w:t>
      </w:r>
      <w:r w:rsidR="00A253D9" w:rsidRPr="00913F8C">
        <w:rPr>
          <w:rFonts w:ascii="Verdana" w:hAnsi="Verdana" w:cs="Verdana"/>
          <w:sz w:val="20"/>
          <w:szCs w:val="20"/>
          <w:lang w:bidi="en-US"/>
        </w:rPr>
        <w:t xml:space="preserve"> de “haber intervenido con anterioridad, a cualquier título, y en cualquier instancia, nacional o internacional, en relación con la misma causa”</w:t>
      </w:r>
      <w:r w:rsidR="00913F8C">
        <w:rPr>
          <w:rFonts w:ascii="Verdana" w:hAnsi="Verdana" w:cs="Verdana"/>
          <w:sz w:val="20"/>
          <w:szCs w:val="20"/>
          <w:lang w:bidi="en-US"/>
        </w:rPr>
        <w:t xml:space="preserve">. </w:t>
      </w:r>
      <w:r>
        <w:rPr>
          <w:rFonts w:ascii="Verdana" w:hAnsi="Verdana" w:cs="Verdana"/>
          <w:sz w:val="20"/>
          <w:szCs w:val="20"/>
          <w:lang w:bidi="en-US"/>
        </w:rPr>
        <w:t>L</w:t>
      </w:r>
      <w:r w:rsidR="00913F8C">
        <w:rPr>
          <w:rFonts w:ascii="Verdana" w:hAnsi="Verdana" w:cs="Verdana"/>
          <w:sz w:val="20"/>
          <w:szCs w:val="20"/>
          <w:lang w:bidi="en-US"/>
        </w:rPr>
        <w:t xml:space="preserve">a Presidencia considera que las opiniones públicas que en su momento rindió el señor </w:t>
      </w:r>
      <w:proofErr w:type="spellStart"/>
      <w:r w:rsidR="00913F8C">
        <w:rPr>
          <w:rFonts w:ascii="Verdana" w:hAnsi="Verdana" w:cs="Verdana"/>
          <w:sz w:val="20"/>
          <w:szCs w:val="20"/>
          <w:lang w:bidi="en-US"/>
        </w:rPr>
        <w:t>Pasquali</w:t>
      </w:r>
      <w:proofErr w:type="spellEnd"/>
      <w:r w:rsidR="00913F8C">
        <w:rPr>
          <w:rFonts w:ascii="Verdana" w:hAnsi="Verdana" w:cs="Verdana"/>
          <w:sz w:val="20"/>
          <w:szCs w:val="20"/>
          <w:lang w:bidi="en-US"/>
        </w:rPr>
        <w:t xml:space="preserve"> no pueden ser consideradas como una intervención en el proceso</w:t>
      </w:r>
      <w:r w:rsidR="0052466A">
        <w:rPr>
          <w:rFonts w:ascii="Verdana" w:hAnsi="Verdana" w:cs="Verdana"/>
          <w:sz w:val="20"/>
          <w:szCs w:val="20"/>
          <w:lang w:bidi="en-US"/>
        </w:rPr>
        <w:t xml:space="preserve"> interno, por lo que los argumentos presentados por el Estado no se ajustan a alguna causal </w:t>
      </w:r>
      <w:proofErr w:type="gramStart"/>
      <w:r w:rsidR="0052466A">
        <w:rPr>
          <w:rFonts w:ascii="Verdana" w:hAnsi="Verdana" w:cs="Verdana"/>
          <w:sz w:val="20"/>
          <w:szCs w:val="20"/>
          <w:lang w:bidi="en-US"/>
        </w:rPr>
        <w:t>especifica</w:t>
      </w:r>
      <w:proofErr w:type="gramEnd"/>
      <w:r w:rsidR="0052466A">
        <w:rPr>
          <w:rFonts w:ascii="Verdana" w:hAnsi="Verdana" w:cs="Verdana"/>
          <w:sz w:val="20"/>
          <w:szCs w:val="20"/>
          <w:lang w:bidi="en-US"/>
        </w:rPr>
        <w:t xml:space="preserve"> de recusación</w:t>
      </w:r>
      <w:r w:rsidR="00913F8C">
        <w:rPr>
          <w:rFonts w:ascii="Verdana" w:hAnsi="Verdana" w:cs="Verdana"/>
          <w:sz w:val="20"/>
          <w:szCs w:val="20"/>
          <w:lang w:bidi="en-US"/>
        </w:rPr>
        <w:t xml:space="preserve">. </w:t>
      </w:r>
      <w:r w:rsidR="00913F8C" w:rsidRPr="00844185">
        <w:rPr>
          <w:rFonts w:ascii="Verdana" w:hAnsi="Verdana" w:cs="Verdana"/>
          <w:sz w:val="20"/>
          <w:szCs w:val="20"/>
        </w:rPr>
        <w:t xml:space="preserve">Por tanto, el Presidente considera pertinente </w:t>
      </w:r>
      <w:r w:rsidR="00913F8C" w:rsidRPr="00844185">
        <w:rPr>
          <w:rStyle w:val="nfasissutil"/>
          <w:rFonts w:ascii="Verdana" w:hAnsi="Verdana"/>
          <w:iCs/>
          <w:sz w:val="20"/>
          <w:lang w:val="es-ES_tradnl"/>
        </w:rPr>
        <w:t xml:space="preserve">admitir el peritaje, </w:t>
      </w:r>
      <w:r w:rsidR="00913F8C" w:rsidRPr="00844185">
        <w:rPr>
          <w:rStyle w:val="nfasissutil"/>
          <w:rFonts w:ascii="Verdana" w:hAnsi="Verdana" w:cs="Verdana"/>
          <w:iCs/>
          <w:sz w:val="20"/>
          <w:szCs w:val="20"/>
          <w:lang w:val="es-ES_tradnl"/>
        </w:rPr>
        <w:t>p</w:t>
      </w:r>
      <w:r w:rsidR="00E953A8">
        <w:rPr>
          <w:rStyle w:val="nfasissutil"/>
          <w:rFonts w:ascii="Verdana" w:hAnsi="Verdana" w:cs="Verdana"/>
          <w:iCs/>
          <w:sz w:val="20"/>
          <w:szCs w:val="20"/>
          <w:lang w:val="es-ES_tradnl"/>
        </w:rPr>
        <w:t>ropuesto por los representantes</w:t>
      </w:r>
      <w:r w:rsidR="00913F8C" w:rsidRPr="00844185">
        <w:rPr>
          <w:rStyle w:val="nfasissutil"/>
          <w:rFonts w:ascii="Verdana" w:hAnsi="Verdana" w:cs="Verdana"/>
          <w:iCs/>
          <w:sz w:val="20"/>
          <w:szCs w:val="20"/>
          <w:lang w:val="es-ES_tradnl"/>
        </w:rPr>
        <w:t xml:space="preserve">. </w:t>
      </w:r>
      <w:r w:rsidR="000D21C7" w:rsidRPr="00844185">
        <w:rPr>
          <w:rFonts w:ascii="Verdana" w:hAnsi="Verdana" w:cs="Verdana"/>
          <w:sz w:val="20"/>
          <w:szCs w:val="20"/>
        </w:rPr>
        <w:t>El objeto</w:t>
      </w:r>
      <w:r w:rsidR="00913F8C" w:rsidRPr="00844185">
        <w:rPr>
          <w:rFonts w:ascii="Verdana" w:hAnsi="Verdana" w:cs="Verdana"/>
          <w:sz w:val="20"/>
          <w:szCs w:val="20"/>
        </w:rPr>
        <w:t xml:space="preserve"> y la modalidad de</w:t>
      </w:r>
      <w:r w:rsidR="000D21C7" w:rsidRPr="00844185">
        <w:rPr>
          <w:rFonts w:ascii="Verdana" w:hAnsi="Verdana" w:cs="Verdana"/>
          <w:sz w:val="20"/>
          <w:szCs w:val="20"/>
        </w:rPr>
        <w:t>l</w:t>
      </w:r>
      <w:r w:rsidR="00913F8C" w:rsidRPr="00844185">
        <w:rPr>
          <w:rFonts w:ascii="Verdana" w:hAnsi="Verdana" w:cs="Verdana"/>
          <w:sz w:val="20"/>
          <w:szCs w:val="20"/>
        </w:rPr>
        <w:t xml:space="preserve"> mismo se determinará en la parte resolutiva de la presente Resolución (</w:t>
      </w:r>
      <w:r w:rsidR="00913F8C" w:rsidRPr="00844185">
        <w:rPr>
          <w:rFonts w:ascii="Verdana" w:hAnsi="Verdana" w:cs="Verdana"/>
          <w:i/>
          <w:sz w:val="20"/>
          <w:szCs w:val="20"/>
        </w:rPr>
        <w:t>infra</w:t>
      </w:r>
      <w:r w:rsidR="00913F8C" w:rsidRPr="00844185">
        <w:rPr>
          <w:rFonts w:ascii="Verdana" w:hAnsi="Verdana" w:cs="Verdana"/>
          <w:sz w:val="20"/>
          <w:szCs w:val="20"/>
        </w:rPr>
        <w:t xml:space="preserve"> </w:t>
      </w:r>
      <w:r w:rsidR="00CF55FC">
        <w:rPr>
          <w:rFonts w:ascii="Verdana" w:hAnsi="Verdana" w:cs="Verdana"/>
          <w:sz w:val="20"/>
          <w:szCs w:val="20"/>
        </w:rPr>
        <w:t>punto resolutivo quinto</w:t>
      </w:r>
      <w:r w:rsidR="00913F8C" w:rsidRPr="00844185">
        <w:rPr>
          <w:rFonts w:ascii="Verdana" w:hAnsi="Verdana" w:cs="Verdana"/>
          <w:sz w:val="20"/>
          <w:szCs w:val="20"/>
        </w:rPr>
        <w:t>).</w:t>
      </w:r>
    </w:p>
    <w:p w:rsidR="005D26E2" w:rsidRPr="00EC3C7D" w:rsidRDefault="005D26E2" w:rsidP="005D26E2">
      <w:pPr>
        <w:jc w:val="both"/>
        <w:rPr>
          <w:rFonts w:ascii="Verdana" w:hAnsi="Verdana" w:cs="Verdana"/>
          <w:b/>
          <w:bCs/>
          <w:i/>
          <w:iCs/>
          <w:sz w:val="20"/>
          <w:szCs w:val="20"/>
        </w:rPr>
      </w:pPr>
    </w:p>
    <w:p w:rsidR="001203C7" w:rsidRPr="001203C7" w:rsidRDefault="00EF2DD4" w:rsidP="001203C7">
      <w:pPr>
        <w:pStyle w:val="Prrafodelista"/>
        <w:numPr>
          <w:ilvl w:val="0"/>
          <w:numId w:val="33"/>
        </w:numPr>
        <w:jc w:val="both"/>
        <w:rPr>
          <w:rFonts w:ascii="Verdana" w:hAnsi="Verdana" w:cs="Verdana"/>
          <w:b/>
          <w:bCs/>
          <w:i/>
          <w:iCs/>
          <w:sz w:val="20"/>
          <w:szCs w:val="20"/>
        </w:rPr>
      </w:pPr>
      <w:r w:rsidRPr="00EF2DD4">
        <w:rPr>
          <w:rFonts w:ascii="Verdana" w:hAnsi="Verdana" w:cs="Verdana"/>
          <w:b/>
          <w:i/>
          <w:sz w:val="20"/>
          <w:szCs w:val="20"/>
        </w:rPr>
        <w:t>Admisibilidad d</w:t>
      </w:r>
      <w:r w:rsidR="00CF55FC">
        <w:rPr>
          <w:rFonts w:ascii="Verdana" w:hAnsi="Verdana" w:cs="Verdana"/>
          <w:b/>
          <w:i/>
          <w:sz w:val="20"/>
          <w:szCs w:val="20"/>
        </w:rPr>
        <w:t>e las declaraciones de testigos</w:t>
      </w:r>
      <w:r w:rsidRPr="00EF2DD4">
        <w:rPr>
          <w:rFonts w:ascii="Verdana" w:hAnsi="Verdana" w:cs="Verdana"/>
          <w:b/>
          <w:i/>
          <w:sz w:val="20"/>
          <w:szCs w:val="20"/>
        </w:rPr>
        <w:t xml:space="preserve"> y prueba pericial ofrecida por </w:t>
      </w:r>
      <w:r>
        <w:rPr>
          <w:rFonts w:ascii="Verdana" w:hAnsi="Verdana" w:cs="Verdana"/>
          <w:b/>
          <w:i/>
          <w:sz w:val="20"/>
          <w:szCs w:val="20"/>
        </w:rPr>
        <w:t>el Estado</w:t>
      </w:r>
    </w:p>
    <w:p w:rsidR="001203C7" w:rsidRPr="001203C7" w:rsidRDefault="001203C7" w:rsidP="001203C7">
      <w:pPr>
        <w:pStyle w:val="Prrafodelista"/>
        <w:jc w:val="both"/>
        <w:rPr>
          <w:rFonts w:ascii="Verdana" w:hAnsi="Verdana" w:cs="Verdana"/>
          <w:b/>
          <w:bCs/>
          <w:i/>
          <w:iCs/>
          <w:sz w:val="20"/>
          <w:szCs w:val="20"/>
        </w:rPr>
      </w:pPr>
    </w:p>
    <w:p w:rsidR="00236466" w:rsidRDefault="00AE0D70" w:rsidP="001203C7">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rPr>
        <w:t>E</w:t>
      </w:r>
      <w:r w:rsidRPr="000B02B2">
        <w:rPr>
          <w:rFonts w:ascii="Verdana" w:hAnsi="Verdana" w:cs="Verdana"/>
          <w:sz w:val="20"/>
          <w:szCs w:val="20"/>
        </w:rPr>
        <w:t xml:space="preserve">l Estado ofreció </w:t>
      </w:r>
      <w:r>
        <w:rPr>
          <w:rFonts w:ascii="Verdana" w:hAnsi="Verdana" w:cs="Verdana"/>
          <w:sz w:val="20"/>
          <w:szCs w:val="20"/>
          <w:lang w:val="es-CR"/>
        </w:rPr>
        <w:t>tres</w:t>
      </w:r>
      <w:r w:rsidRPr="000B02B2">
        <w:rPr>
          <w:rFonts w:ascii="Verdana" w:hAnsi="Verdana" w:cs="Verdana"/>
          <w:sz w:val="20"/>
          <w:szCs w:val="20"/>
          <w:lang w:val="es-CR"/>
        </w:rPr>
        <w:t xml:space="preserve"> peritaje</w:t>
      </w:r>
      <w:r>
        <w:rPr>
          <w:rFonts w:ascii="Verdana" w:hAnsi="Verdana" w:cs="Verdana"/>
          <w:sz w:val="20"/>
          <w:szCs w:val="20"/>
          <w:lang w:val="es-CR"/>
        </w:rPr>
        <w:t>s (</w:t>
      </w:r>
      <w:proofErr w:type="spellStart"/>
      <w:r w:rsidR="004A6E8B">
        <w:rPr>
          <w:rFonts w:ascii="Verdana" w:hAnsi="Verdana" w:cs="Verdana"/>
          <w:sz w:val="20"/>
          <w:szCs w:val="20"/>
          <w:lang w:val="es-CR"/>
        </w:rPr>
        <w:t>Heli</w:t>
      </w:r>
      <w:proofErr w:type="spellEnd"/>
      <w:r w:rsidR="004A6E8B">
        <w:rPr>
          <w:rFonts w:ascii="Verdana" w:hAnsi="Verdana" w:cs="Verdana"/>
          <w:sz w:val="20"/>
          <w:szCs w:val="20"/>
          <w:lang w:val="es-CR"/>
        </w:rPr>
        <w:t xml:space="preserve"> Rafael Romero Graterol</w:t>
      </w:r>
      <w:r w:rsidR="004A6E8B">
        <w:rPr>
          <w:rStyle w:val="Refdenotaalpie"/>
          <w:rFonts w:ascii="Verdana" w:hAnsi="Verdana" w:cs="Verdana"/>
          <w:sz w:val="20"/>
          <w:szCs w:val="20"/>
          <w:lang w:val="es-CR"/>
        </w:rPr>
        <w:footnoteReference w:id="13"/>
      </w:r>
      <w:r w:rsidR="004A6E8B">
        <w:rPr>
          <w:rFonts w:ascii="Verdana" w:hAnsi="Verdana" w:cs="Verdana"/>
          <w:sz w:val="20"/>
          <w:szCs w:val="20"/>
          <w:lang w:val="es-CR"/>
        </w:rPr>
        <w:t>,</w:t>
      </w:r>
      <w:r w:rsidR="003648B6">
        <w:rPr>
          <w:rFonts w:ascii="Verdana" w:hAnsi="Verdana" w:cs="Verdana"/>
          <w:sz w:val="20"/>
          <w:szCs w:val="20"/>
          <w:lang w:val="es-CR"/>
        </w:rPr>
        <w:t xml:space="preserve"> Ana María Hernández Vallen</w:t>
      </w:r>
      <w:r w:rsidR="003648B6">
        <w:rPr>
          <w:rStyle w:val="Refdenotaalpie"/>
          <w:rFonts w:ascii="Verdana" w:hAnsi="Verdana" w:cs="Verdana"/>
          <w:sz w:val="20"/>
          <w:szCs w:val="20"/>
          <w:lang w:val="es-CR"/>
        </w:rPr>
        <w:footnoteReference w:id="14"/>
      </w:r>
      <w:r w:rsidR="003648B6">
        <w:rPr>
          <w:rFonts w:ascii="Verdana" w:hAnsi="Verdana" w:cs="Verdana"/>
          <w:sz w:val="20"/>
          <w:szCs w:val="20"/>
          <w:lang w:val="es-CR"/>
        </w:rPr>
        <w:t xml:space="preserve"> y Francisco Artigas Pérez</w:t>
      </w:r>
      <w:r w:rsidR="008B0E4F">
        <w:rPr>
          <w:rStyle w:val="Refdenotaalpie"/>
          <w:rFonts w:ascii="Verdana" w:hAnsi="Verdana" w:cs="Verdana"/>
          <w:sz w:val="20"/>
          <w:szCs w:val="20"/>
          <w:lang w:val="es-CR"/>
        </w:rPr>
        <w:footnoteReference w:id="15"/>
      </w:r>
      <w:r>
        <w:rPr>
          <w:rFonts w:ascii="Verdana" w:hAnsi="Verdana" w:cs="Verdana"/>
          <w:sz w:val="20"/>
          <w:szCs w:val="20"/>
          <w:lang w:val="es-CR"/>
        </w:rPr>
        <w:t>) y dos</w:t>
      </w:r>
      <w:r w:rsidRPr="000B02B2">
        <w:rPr>
          <w:rFonts w:ascii="Verdana" w:hAnsi="Verdana" w:cs="Verdana"/>
          <w:sz w:val="20"/>
          <w:szCs w:val="20"/>
          <w:lang w:val="es-CR"/>
        </w:rPr>
        <w:t xml:space="preserve"> declaraciones testimoniales</w:t>
      </w:r>
      <w:r w:rsidR="00201360">
        <w:rPr>
          <w:rFonts w:ascii="Verdana" w:hAnsi="Verdana" w:cs="Verdana"/>
          <w:sz w:val="20"/>
          <w:szCs w:val="20"/>
          <w:lang w:val="es-CR"/>
        </w:rPr>
        <w:t xml:space="preserve"> (José Leonardo Suárez</w:t>
      </w:r>
      <w:r w:rsidR="00201360">
        <w:rPr>
          <w:rStyle w:val="Refdenotaalpie"/>
          <w:rFonts w:ascii="Verdana" w:hAnsi="Verdana" w:cs="Verdana"/>
          <w:sz w:val="20"/>
          <w:szCs w:val="20"/>
          <w:lang w:val="es-CR"/>
        </w:rPr>
        <w:footnoteReference w:id="16"/>
      </w:r>
      <w:r w:rsidR="00201360">
        <w:rPr>
          <w:rFonts w:ascii="Verdana" w:hAnsi="Verdana" w:cs="Verdana"/>
          <w:sz w:val="20"/>
          <w:szCs w:val="20"/>
          <w:lang w:val="es-CR"/>
        </w:rPr>
        <w:t xml:space="preserve"> y Néstor Castellano</w:t>
      </w:r>
      <w:r w:rsidR="00C43544">
        <w:rPr>
          <w:rStyle w:val="Refdenotaalpie"/>
          <w:rFonts w:ascii="Verdana" w:hAnsi="Verdana" w:cs="Verdana"/>
          <w:sz w:val="20"/>
          <w:szCs w:val="20"/>
          <w:lang w:val="es-CR"/>
        </w:rPr>
        <w:footnoteReference w:id="17"/>
      </w:r>
      <w:r w:rsidR="00201360">
        <w:rPr>
          <w:rFonts w:ascii="Verdana" w:hAnsi="Verdana" w:cs="Verdana"/>
          <w:sz w:val="20"/>
          <w:szCs w:val="20"/>
          <w:lang w:val="es-CR"/>
        </w:rPr>
        <w:t>)</w:t>
      </w:r>
      <w:r w:rsidRPr="000B02B2">
        <w:rPr>
          <w:rFonts w:ascii="Verdana" w:hAnsi="Verdana" w:cs="Verdana"/>
          <w:sz w:val="20"/>
          <w:szCs w:val="20"/>
          <w:lang w:val="es-CR"/>
        </w:rPr>
        <w:t>.</w:t>
      </w:r>
    </w:p>
    <w:p w:rsidR="009938F4" w:rsidRDefault="009938F4" w:rsidP="009938F4">
      <w:pPr>
        <w:pStyle w:val="Prrafodelista"/>
        <w:tabs>
          <w:tab w:val="left" w:pos="567"/>
        </w:tabs>
        <w:autoSpaceDE w:val="0"/>
        <w:autoSpaceDN w:val="0"/>
        <w:adjustRightInd w:val="0"/>
        <w:ind w:left="0"/>
        <w:jc w:val="both"/>
        <w:rPr>
          <w:rFonts w:ascii="Verdana" w:hAnsi="Verdana" w:cs="Verdana"/>
          <w:sz w:val="20"/>
          <w:szCs w:val="20"/>
          <w:lang w:val="es-CR"/>
        </w:rPr>
      </w:pPr>
    </w:p>
    <w:p w:rsidR="00DD03EF" w:rsidRDefault="009938F4" w:rsidP="00DD03EF">
      <w:pPr>
        <w:ind w:right="10"/>
        <w:jc w:val="both"/>
        <w:rPr>
          <w:rFonts w:ascii="Verdana" w:hAnsi="Verdana" w:cs="Verdana"/>
          <w:b/>
          <w:sz w:val="20"/>
          <w:szCs w:val="20"/>
        </w:rPr>
      </w:pPr>
      <w:r>
        <w:rPr>
          <w:rFonts w:ascii="Verdana" w:hAnsi="Verdana" w:cs="Verdana"/>
          <w:b/>
          <w:sz w:val="20"/>
          <w:szCs w:val="20"/>
          <w:lang w:val="es-CR"/>
        </w:rPr>
        <w:t xml:space="preserve">C.1. </w:t>
      </w:r>
      <w:r w:rsidR="00DD03EF">
        <w:rPr>
          <w:rFonts w:ascii="Verdana" w:hAnsi="Verdana" w:cs="Verdana"/>
          <w:b/>
          <w:sz w:val="20"/>
          <w:szCs w:val="20"/>
        </w:rPr>
        <w:t>Objeciones a los testigos propuestos por el Estado</w:t>
      </w:r>
    </w:p>
    <w:p w:rsidR="00DB28AA" w:rsidRDefault="00DB28AA" w:rsidP="00DD03EF">
      <w:pPr>
        <w:tabs>
          <w:tab w:val="left" w:pos="567"/>
        </w:tabs>
        <w:autoSpaceDE w:val="0"/>
        <w:autoSpaceDN w:val="0"/>
        <w:adjustRightInd w:val="0"/>
        <w:jc w:val="both"/>
        <w:rPr>
          <w:rFonts w:ascii="Verdana" w:hAnsi="Verdana" w:cs="Verdana"/>
          <w:b/>
          <w:sz w:val="20"/>
          <w:szCs w:val="20"/>
          <w:lang w:val="es-CR"/>
        </w:rPr>
      </w:pPr>
    </w:p>
    <w:p w:rsidR="00DD03EF" w:rsidRPr="00D30D68" w:rsidRDefault="00DD03EF" w:rsidP="00DD03EF">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rPr>
        <w:t xml:space="preserve">Los representantes </w:t>
      </w:r>
      <w:r w:rsidR="00156F06">
        <w:rPr>
          <w:rFonts w:ascii="Verdana" w:hAnsi="Verdana" w:cs="Verdana"/>
          <w:sz w:val="20"/>
          <w:szCs w:val="20"/>
        </w:rPr>
        <w:t>alegaron</w:t>
      </w:r>
      <w:r w:rsidR="00844185">
        <w:rPr>
          <w:rFonts w:ascii="Verdana" w:hAnsi="Verdana" w:cs="Verdana"/>
          <w:sz w:val="20"/>
          <w:szCs w:val="20"/>
        </w:rPr>
        <w:t>,</w:t>
      </w:r>
      <w:r w:rsidR="00156F06">
        <w:rPr>
          <w:rFonts w:ascii="Verdana" w:hAnsi="Verdana" w:cs="Verdana"/>
          <w:sz w:val="20"/>
          <w:szCs w:val="20"/>
        </w:rPr>
        <w:t xml:space="preserve"> </w:t>
      </w:r>
      <w:r w:rsidR="00DB28AA">
        <w:rPr>
          <w:rFonts w:ascii="Verdana" w:hAnsi="Verdana" w:cs="Verdana"/>
          <w:sz w:val="20"/>
          <w:szCs w:val="20"/>
        </w:rPr>
        <w:t>respecto a la declaración del señor Suárez</w:t>
      </w:r>
      <w:r w:rsidR="00844185">
        <w:rPr>
          <w:rFonts w:ascii="Verdana" w:hAnsi="Verdana" w:cs="Verdana"/>
          <w:sz w:val="20"/>
          <w:szCs w:val="20"/>
        </w:rPr>
        <w:t>,</w:t>
      </w:r>
      <w:r w:rsidR="00DB28AA">
        <w:rPr>
          <w:rFonts w:ascii="Verdana" w:hAnsi="Verdana" w:cs="Verdana"/>
          <w:sz w:val="20"/>
          <w:szCs w:val="20"/>
        </w:rPr>
        <w:t xml:space="preserve"> que</w:t>
      </w:r>
      <w:r w:rsidR="00156F06">
        <w:rPr>
          <w:rFonts w:ascii="Verdana" w:hAnsi="Verdana" w:cs="Verdana"/>
          <w:sz w:val="20"/>
          <w:szCs w:val="20"/>
        </w:rPr>
        <w:t xml:space="preserve"> esta “prueba testimonial resulta impertinente […], puesto que dicha prueba debe estar referida a hechos que el testigo conozca por haberlos presenciado o percibido directamente, de modo que el testimonio no es el medio probatorio apropiado para describir aquello que resulta de una operación fundamentalmente intelectual del declarante”. Por otra parte, argumentaron que “en lugar de una declaración testimonial, sería una típica declaración pericial” y que el señor Suárez no podría ser perito, por cuanto “desde febrero de 2003 hasta la actualidad [se desempeña] como abogado y coordinador de consultas y opiniones” de CONATEL.</w:t>
      </w:r>
      <w:r w:rsidR="00DB28AA">
        <w:rPr>
          <w:rFonts w:ascii="Verdana" w:hAnsi="Verdana" w:cs="Verdana"/>
          <w:sz w:val="20"/>
          <w:szCs w:val="20"/>
        </w:rPr>
        <w:t xml:space="preserve"> Por ello, los representantes consideraron que “se trata de una declaración de un perito que pretende encubrirse como declaración de testigo”. </w:t>
      </w:r>
    </w:p>
    <w:p w:rsidR="00D30D68" w:rsidRPr="00D30D68" w:rsidRDefault="00D30D68" w:rsidP="00D30D68">
      <w:pPr>
        <w:pStyle w:val="Prrafodelista"/>
        <w:tabs>
          <w:tab w:val="left" w:pos="567"/>
        </w:tabs>
        <w:autoSpaceDE w:val="0"/>
        <w:autoSpaceDN w:val="0"/>
        <w:adjustRightInd w:val="0"/>
        <w:ind w:left="0"/>
        <w:jc w:val="both"/>
        <w:rPr>
          <w:rFonts w:ascii="Verdana" w:hAnsi="Verdana" w:cs="Verdana"/>
          <w:sz w:val="20"/>
          <w:szCs w:val="20"/>
          <w:lang w:val="es-CR"/>
        </w:rPr>
      </w:pPr>
    </w:p>
    <w:p w:rsidR="00D30D68" w:rsidRDefault="00EF1274" w:rsidP="00DD03EF">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lang w:val="es-CR"/>
        </w:rPr>
        <w:t>Respecto al señor Castellano</w:t>
      </w:r>
      <w:r w:rsidR="00D30D68">
        <w:rPr>
          <w:rFonts w:ascii="Verdana" w:hAnsi="Verdana" w:cs="Verdana"/>
          <w:sz w:val="20"/>
          <w:szCs w:val="20"/>
          <w:lang w:val="es-CR"/>
        </w:rPr>
        <w:t>, los representantes objetaron su declaración al considerar que “era impertinente […], al no guardar relación el testigo con los hechos controvertidos, [dado que] según la información proporcionada se desempeña como Fiscal del Ministerio Público ante distintas salas de casación del Tribunal</w:t>
      </w:r>
      <w:r w:rsidR="008D3A2F">
        <w:rPr>
          <w:rFonts w:ascii="Verdana" w:hAnsi="Verdana" w:cs="Verdana"/>
          <w:sz w:val="20"/>
          <w:szCs w:val="20"/>
          <w:lang w:val="es-CR"/>
        </w:rPr>
        <w:t xml:space="preserve"> Supremo de Justicia, de modo que el testigo promovido no tiene ni puede tener […] ningún conocimiento directo, pues las denuncias penales realizadas por RCTV […] están siendo tramitadas por el Juzgado Quincuagésimo Primero de Primera Instancia […] del Área Metropolitana de Caracas, por lo que la declaración […] sería meramente referencial y sin estar basada en hechos que el de primera mano pudiera haber percibido</w:t>
      </w:r>
      <w:r w:rsidR="00D30D68">
        <w:rPr>
          <w:rFonts w:ascii="Verdana" w:hAnsi="Verdana" w:cs="Verdana"/>
          <w:sz w:val="20"/>
          <w:szCs w:val="20"/>
          <w:lang w:val="es-CR"/>
        </w:rPr>
        <w:t>”</w:t>
      </w:r>
      <w:r w:rsidR="008D3A2F">
        <w:rPr>
          <w:rFonts w:ascii="Verdana" w:hAnsi="Verdana" w:cs="Verdana"/>
          <w:sz w:val="20"/>
          <w:szCs w:val="20"/>
          <w:lang w:val="es-CR"/>
        </w:rPr>
        <w:t>. Por otra parte, los representantes  in</w:t>
      </w:r>
      <w:r>
        <w:rPr>
          <w:rFonts w:ascii="Verdana" w:hAnsi="Verdana" w:cs="Verdana"/>
          <w:sz w:val="20"/>
          <w:szCs w:val="20"/>
          <w:lang w:val="es-CR"/>
        </w:rPr>
        <w:t>dicaron que el señor Castellano</w:t>
      </w:r>
      <w:r w:rsidR="008D3A2F">
        <w:rPr>
          <w:rFonts w:ascii="Verdana" w:hAnsi="Verdana" w:cs="Verdana"/>
          <w:sz w:val="20"/>
          <w:szCs w:val="20"/>
          <w:lang w:val="es-CR"/>
        </w:rPr>
        <w:t xml:space="preserve"> rindió declaración en los casos Familia Barrios y </w:t>
      </w:r>
      <w:proofErr w:type="spellStart"/>
      <w:r w:rsidR="008D3A2F">
        <w:rPr>
          <w:rFonts w:ascii="Verdana" w:hAnsi="Verdana" w:cs="Verdana"/>
          <w:sz w:val="20"/>
          <w:szCs w:val="20"/>
          <w:lang w:val="es-CR"/>
        </w:rPr>
        <w:t>Brewer</w:t>
      </w:r>
      <w:proofErr w:type="spellEnd"/>
      <w:r w:rsidR="008D3A2F">
        <w:rPr>
          <w:rFonts w:ascii="Verdana" w:hAnsi="Verdana" w:cs="Verdana"/>
          <w:sz w:val="20"/>
          <w:szCs w:val="20"/>
          <w:lang w:val="es-CR"/>
        </w:rPr>
        <w:t xml:space="preserve"> Carías Vs. Venezuela, lo cual impl</w:t>
      </w:r>
      <w:r>
        <w:rPr>
          <w:rFonts w:ascii="Verdana" w:hAnsi="Verdana" w:cs="Verdana"/>
          <w:sz w:val="20"/>
          <w:szCs w:val="20"/>
          <w:lang w:val="es-CR"/>
        </w:rPr>
        <w:t>icaría que el señor “Castellano</w:t>
      </w:r>
      <w:r w:rsidR="008D3A2F">
        <w:rPr>
          <w:rFonts w:ascii="Verdana" w:hAnsi="Verdana" w:cs="Verdana"/>
          <w:sz w:val="20"/>
          <w:szCs w:val="20"/>
          <w:lang w:val="es-CR"/>
        </w:rPr>
        <w:t xml:space="preserve"> pueda estar siendo utilizado como testigo profesional por parte del Estado venezolano para proporcionar argumentos en causas inconexas y disimiles y que su declaración nada aporta al presente caso”.</w:t>
      </w:r>
      <w:r w:rsidR="004E0CF4">
        <w:rPr>
          <w:rFonts w:ascii="Verdana" w:hAnsi="Verdana" w:cs="Verdana"/>
          <w:sz w:val="20"/>
          <w:szCs w:val="20"/>
          <w:lang w:val="es-CR"/>
        </w:rPr>
        <w:t xml:space="preserve"> Finalmente, manifestaron que la declaración “es impertinente, dado que en el supuesto negado que los hechos que se pretenden probar con ella resulten ciertos, ello resultaría irrelevante para la decisión del presente caso, debido a que los hechos y derechos debatidos en […] este litigio no guardan relación directa con los elementos que pretenden describir en esta declaración testimonial”. </w:t>
      </w:r>
    </w:p>
    <w:p w:rsidR="004E0CF4" w:rsidRDefault="004E0CF4" w:rsidP="004E0CF4">
      <w:pPr>
        <w:pStyle w:val="Prrafodelista"/>
        <w:tabs>
          <w:tab w:val="left" w:pos="567"/>
        </w:tabs>
        <w:autoSpaceDE w:val="0"/>
        <w:autoSpaceDN w:val="0"/>
        <w:adjustRightInd w:val="0"/>
        <w:ind w:left="0"/>
        <w:jc w:val="both"/>
        <w:rPr>
          <w:rFonts w:ascii="Verdana" w:hAnsi="Verdana" w:cs="Verdana"/>
          <w:sz w:val="20"/>
          <w:szCs w:val="20"/>
          <w:lang w:val="es-CR"/>
        </w:rPr>
      </w:pPr>
    </w:p>
    <w:p w:rsidR="00A930D5" w:rsidRPr="00241700" w:rsidRDefault="00DB28AA" w:rsidP="00DB28AA">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sidRPr="00241700">
        <w:rPr>
          <w:rFonts w:ascii="Verdana" w:hAnsi="Verdana" w:cs="Verdana"/>
          <w:sz w:val="20"/>
          <w:szCs w:val="20"/>
        </w:rPr>
        <w:t xml:space="preserve">El Presidente ha constatado que al ofrecer las referidas tres declaraciones testimoniales, el Estado indicó cuál sería el puesto público que desempeña o desempeñó cada uno de ellos </w:t>
      </w:r>
      <w:r w:rsidR="00844185">
        <w:rPr>
          <w:rFonts w:ascii="Verdana" w:hAnsi="Verdana" w:cs="Verdana"/>
          <w:sz w:val="20"/>
          <w:szCs w:val="20"/>
        </w:rPr>
        <w:t xml:space="preserve">y </w:t>
      </w:r>
      <w:r w:rsidRPr="00241700">
        <w:rPr>
          <w:rFonts w:ascii="Verdana" w:hAnsi="Verdana" w:cs="Verdana"/>
          <w:sz w:val="20"/>
          <w:szCs w:val="20"/>
        </w:rPr>
        <w:t xml:space="preserve">que </w:t>
      </w:r>
      <w:r w:rsidR="00844185">
        <w:rPr>
          <w:rFonts w:ascii="Verdana" w:hAnsi="Verdana" w:cs="Verdana"/>
          <w:sz w:val="20"/>
          <w:szCs w:val="20"/>
        </w:rPr>
        <w:t>pudieran</w:t>
      </w:r>
      <w:r w:rsidRPr="00241700">
        <w:rPr>
          <w:rFonts w:ascii="Verdana" w:hAnsi="Verdana" w:cs="Verdana"/>
          <w:sz w:val="20"/>
          <w:szCs w:val="20"/>
        </w:rPr>
        <w:t xml:space="preserve"> ser relevante</w:t>
      </w:r>
      <w:r w:rsidR="00844185">
        <w:rPr>
          <w:rFonts w:ascii="Verdana" w:hAnsi="Verdana" w:cs="Verdana"/>
          <w:sz w:val="20"/>
          <w:szCs w:val="20"/>
        </w:rPr>
        <w:t>s</w:t>
      </w:r>
      <w:r w:rsidRPr="00241700">
        <w:rPr>
          <w:rFonts w:ascii="Verdana" w:hAnsi="Verdana" w:cs="Verdana"/>
          <w:sz w:val="20"/>
          <w:szCs w:val="20"/>
        </w:rPr>
        <w:t xml:space="preserve"> respecto </w:t>
      </w:r>
      <w:r w:rsidR="00A56FF9">
        <w:rPr>
          <w:rFonts w:ascii="Verdana" w:hAnsi="Verdana" w:cs="Verdana"/>
          <w:sz w:val="20"/>
          <w:szCs w:val="20"/>
        </w:rPr>
        <w:t>par</w:t>
      </w:r>
      <w:r w:rsidRPr="00241700">
        <w:rPr>
          <w:rFonts w:ascii="Verdana" w:hAnsi="Verdana" w:cs="Verdana"/>
          <w:sz w:val="20"/>
          <w:szCs w:val="20"/>
        </w:rPr>
        <w:t>a</w:t>
      </w:r>
      <w:r w:rsidR="00A56FF9">
        <w:rPr>
          <w:rFonts w:ascii="Verdana" w:hAnsi="Verdana" w:cs="Verdana"/>
          <w:sz w:val="20"/>
          <w:szCs w:val="20"/>
        </w:rPr>
        <w:t xml:space="preserve"> comprender</w:t>
      </w:r>
      <w:r w:rsidRPr="00241700">
        <w:rPr>
          <w:rFonts w:ascii="Verdana" w:hAnsi="Verdana" w:cs="Verdana"/>
          <w:sz w:val="20"/>
          <w:szCs w:val="20"/>
        </w:rPr>
        <w:t xml:space="preserve"> la forma cómo se habrían informado sobre los hechos que les consten o conozcan.</w:t>
      </w:r>
      <w:r w:rsidR="00E94305" w:rsidRPr="00241700">
        <w:rPr>
          <w:rFonts w:ascii="Verdana" w:hAnsi="Verdana" w:cs="Verdana"/>
          <w:sz w:val="20"/>
          <w:szCs w:val="20"/>
        </w:rPr>
        <w:t xml:space="preserve"> Al respecto, </w:t>
      </w:r>
      <w:r w:rsidR="00241700" w:rsidRPr="00241700">
        <w:rPr>
          <w:rFonts w:ascii="Verdana" w:hAnsi="Verdana"/>
          <w:bCs/>
          <w:iCs/>
          <w:sz w:val="20"/>
          <w:szCs w:val="20"/>
          <w:lang w:val="es-CR"/>
        </w:rPr>
        <w:t xml:space="preserve">esta Presidencia recuerda que </w:t>
      </w:r>
      <w:r w:rsidR="00241700" w:rsidRPr="00241700">
        <w:rPr>
          <w:rFonts w:ascii="Verdana" w:hAnsi="Verdana"/>
          <w:sz w:val="20"/>
          <w:szCs w:val="20"/>
          <w:lang w:val="es-CR"/>
        </w:rPr>
        <w:t>la Corte ha señalado en otros casos que cuando una persona es llamada a declarar como testigo puede referirse a los hechos y circunstancias que le consten en relación con el objeto de su declaración y debe limitarse a contestar clara y precisamente las preguntas que se le formulan, evitando dar opiniones personales</w:t>
      </w:r>
      <w:r w:rsidR="00241700" w:rsidRPr="00241700">
        <w:rPr>
          <w:rStyle w:val="Refdenotaalpie"/>
          <w:rFonts w:ascii="Verdana" w:hAnsi="Verdana"/>
          <w:sz w:val="20"/>
          <w:szCs w:val="20"/>
          <w:lang w:val="es-CR"/>
        </w:rPr>
        <w:footnoteReference w:id="18"/>
      </w:r>
      <w:r w:rsidR="00241700" w:rsidRPr="00241700">
        <w:rPr>
          <w:rFonts w:ascii="Verdana" w:hAnsi="Verdana"/>
          <w:sz w:val="20"/>
          <w:szCs w:val="20"/>
          <w:lang w:val="es-CR"/>
        </w:rPr>
        <w:t xml:space="preserve">. En </w:t>
      </w:r>
      <w:r w:rsidR="00241700" w:rsidRPr="00241700">
        <w:rPr>
          <w:rFonts w:ascii="Verdana" w:hAnsi="Verdana"/>
          <w:sz w:val="20"/>
          <w:szCs w:val="20"/>
          <w:lang w:val="es-CR"/>
        </w:rPr>
        <w:lastRenderedPageBreak/>
        <w:t xml:space="preserve">este sentido, dichos hechos y circunstancias pueden incluir la información que los testigos hayan podido obtener en el marco de la experiencia que hayan tenido en algunos cargos o incluso la información que han </w:t>
      </w:r>
      <w:r w:rsidR="00A56FF9" w:rsidRPr="00241700">
        <w:rPr>
          <w:rFonts w:ascii="Verdana" w:hAnsi="Verdana"/>
          <w:sz w:val="20"/>
          <w:szCs w:val="20"/>
          <w:lang w:val="es-CR"/>
        </w:rPr>
        <w:t>acumulado</w:t>
      </w:r>
      <w:r w:rsidR="00241700" w:rsidRPr="00241700">
        <w:rPr>
          <w:rFonts w:ascii="Verdana" w:hAnsi="Verdana"/>
          <w:sz w:val="20"/>
          <w:szCs w:val="20"/>
          <w:lang w:val="es-CR"/>
        </w:rPr>
        <w:t xml:space="preserve"> en virtud de su experiencia, siempre y cuando constituya información que les conste. La pertinencia, convicción o fuerza explicativa de estos testimonios será analizada por este Tribunal al valorar el fondo del caso. Por tanto, esta Presidencia considera improcedente la objeción planteada por los representantes, en la medida que la misma se relaciona con la valoración de la prueba testimonial y no con aspectos relativos a su admisibilidad</w:t>
      </w:r>
      <w:r w:rsidR="00241700">
        <w:rPr>
          <w:rFonts w:ascii="Verdana" w:hAnsi="Verdana"/>
          <w:sz w:val="20"/>
          <w:szCs w:val="20"/>
          <w:lang w:val="es-CR"/>
        </w:rPr>
        <w:t>.</w:t>
      </w:r>
    </w:p>
    <w:p w:rsidR="00A930D5" w:rsidRPr="00A930D5" w:rsidRDefault="00A930D5" w:rsidP="00A930D5">
      <w:pPr>
        <w:pStyle w:val="Prrafodelista"/>
        <w:rPr>
          <w:rFonts w:ascii="Verdana" w:hAnsi="Verdana" w:cs="Verdana"/>
          <w:sz w:val="20"/>
          <w:szCs w:val="20"/>
          <w:lang w:val="es-CR" w:eastAsia="en-US"/>
        </w:rPr>
      </w:pPr>
    </w:p>
    <w:p w:rsidR="00DB28AA" w:rsidRPr="00A56FF9" w:rsidRDefault="00DB28AA" w:rsidP="00A56FF9">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sidRPr="00C40650">
        <w:rPr>
          <w:rFonts w:ascii="Verdana" w:hAnsi="Verdana" w:cs="Verdana"/>
          <w:sz w:val="20"/>
          <w:szCs w:val="20"/>
          <w:lang w:val="es-CR" w:eastAsia="en-US"/>
        </w:rPr>
        <w:t xml:space="preserve">En cuanto a la objeción de los representantes de que </w:t>
      </w:r>
      <w:r w:rsidR="00A930D5" w:rsidRPr="00C40650">
        <w:rPr>
          <w:rFonts w:ascii="Verdana" w:hAnsi="Verdana" w:cs="Verdana"/>
          <w:sz w:val="20"/>
          <w:szCs w:val="20"/>
          <w:lang w:val="es-CR" w:eastAsia="en-US"/>
        </w:rPr>
        <w:t xml:space="preserve">el señor Suárez sería un </w:t>
      </w:r>
      <w:r w:rsidRPr="00C40650">
        <w:rPr>
          <w:rFonts w:ascii="Verdana" w:hAnsi="Verdana" w:cs="Verdana"/>
          <w:sz w:val="20"/>
          <w:szCs w:val="20"/>
        </w:rPr>
        <w:t>“per</w:t>
      </w:r>
      <w:r w:rsidR="00A930D5" w:rsidRPr="00C40650">
        <w:rPr>
          <w:rFonts w:ascii="Verdana" w:hAnsi="Verdana" w:cs="Verdana"/>
          <w:sz w:val="20"/>
          <w:szCs w:val="20"/>
        </w:rPr>
        <w:t>ito encubierto</w:t>
      </w:r>
      <w:r w:rsidRPr="00C40650">
        <w:rPr>
          <w:rFonts w:ascii="Verdana" w:hAnsi="Verdana" w:cs="Verdana"/>
          <w:sz w:val="20"/>
          <w:szCs w:val="20"/>
        </w:rPr>
        <w:t xml:space="preserve"> como testigo</w:t>
      </w:r>
      <w:r w:rsidRPr="00A56FF9">
        <w:rPr>
          <w:rFonts w:ascii="Verdana" w:hAnsi="Verdana" w:cs="Verdana"/>
          <w:sz w:val="20"/>
          <w:szCs w:val="20"/>
        </w:rPr>
        <w:t>”, e</w:t>
      </w:r>
      <w:proofErr w:type="spellStart"/>
      <w:r w:rsidRPr="00A56FF9">
        <w:rPr>
          <w:rFonts w:ascii="Verdana" w:hAnsi="Verdana" w:cs="Verdana"/>
          <w:color w:val="000000"/>
          <w:sz w:val="20"/>
          <w:szCs w:val="20"/>
          <w:lang w:val="es-CR" w:eastAsia="en-US"/>
        </w:rPr>
        <w:t>sta</w:t>
      </w:r>
      <w:proofErr w:type="spellEnd"/>
      <w:r w:rsidRPr="00A56FF9">
        <w:rPr>
          <w:rFonts w:ascii="Verdana" w:hAnsi="Verdana" w:cs="Verdana"/>
          <w:color w:val="000000"/>
          <w:sz w:val="20"/>
          <w:szCs w:val="20"/>
          <w:lang w:val="es-CR" w:eastAsia="en-US"/>
        </w:rPr>
        <w:t xml:space="preserve"> Presidencia considera que </w:t>
      </w:r>
      <w:r w:rsidR="00A930D5" w:rsidRPr="00A56FF9">
        <w:rPr>
          <w:rFonts w:ascii="Verdana" w:hAnsi="Verdana" w:cs="Verdana"/>
          <w:color w:val="000000"/>
          <w:sz w:val="20"/>
          <w:szCs w:val="20"/>
          <w:lang w:val="es-CR" w:eastAsia="en-US"/>
        </w:rPr>
        <w:t>el objeto</w:t>
      </w:r>
      <w:r w:rsidRPr="00A56FF9">
        <w:rPr>
          <w:rFonts w:ascii="Verdana" w:hAnsi="Verdana" w:cs="Verdana"/>
          <w:color w:val="000000"/>
          <w:sz w:val="20"/>
          <w:szCs w:val="20"/>
          <w:lang w:val="es-CR" w:eastAsia="en-US"/>
        </w:rPr>
        <w:t xml:space="preserve"> </w:t>
      </w:r>
      <w:r w:rsidR="00A930D5" w:rsidRPr="00A56FF9">
        <w:rPr>
          <w:rFonts w:ascii="Verdana" w:hAnsi="Verdana" w:cs="Verdana"/>
          <w:color w:val="000000"/>
          <w:sz w:val="20"/>
          <w:szCs w:val="20"/>
          <w:lang w:val="es-CR" w:eastAsia="en-US"/>
        </w:rPr>
        <w:t>de esa declaración</w:t>
      </w:r>
      <w:r w:rsidR="00A56FF9">
        <w:rPr>
          <w:rFonts w:ascii="Verdana" w:hAnsi="Verdana" w:cs="Verdana"/>
          <w:color w:val="000000"/>
          <w:sz w:val="20"/>
          <w:szCs w:val="20"/>
          <w:lang w:val="es-CR" w:eastAsia="en-US"/>
        </w:rPr>
        <w:t xml:space="preserve"> no ha</w:t>
      </w:r>
      <w:r w:rsidRPr="00A56FF9">
        <w:rPr>
          <w:rFonts w:ascii="Verdana" w:hAnsi="Verdana" w:cs="Verdana"/>
          <w:color w:val="000000"/>
          <w:sz w:val="20"/>
          <w:szCs w:val="20"/>
          <w:lang w:val="es-CR" w:eastAsia="en-US"/>
        </w:rPr>
        <w:t xml:space="preserve"> sido </w:t>
      </w:r>
      <w:r w:rsidR="00A56FF9">
        <w:rPr>
          <w:rFonts w:ascii="Verdana" w:hAnsi="Verdana" w:cs="Verdana"/>
          <w:color w:val="000000"/>
          <w:sz w:val="20"/>
          <w:szCs w:val="20"/>
          <w:lang w:val="es-CR" w:eastAsia="en-US"/>
        </w:rPr>
        <w:t>propuesto</w:t>
      </w:r>
      <w:r w:rsidRPr="00A56FF9">
        <w:rPr>
          <w:rFonts w:ascii="Verdana" w:hAnsi="Verdana" w:cs="Verdana"/>
          <w:color w:val="000000"/>
          <w:sz w:val="20"/>
          <w:szCs w:val="20"/>
          <w:lang w:val="es-CR" w:eastAsia="en-US"/>
        </w:rPr>
        <w:t xml:space="preserve"> de una forma que amerite la inadmisibilidad de la prueba, puesto que </w:t>
      </w:r>
      <w:r w:rsidR="00A930D5" w:rsidRPr="00A56FF9">
        <w:rPr>
          <w:rFonts w:ascii="Verdana" w:hAnsi="Verdana" w:cs="Verdana"/>
          <w:color w:val="000000"/>
          <w:sz w:val="20"/>
          <w:szCs w:val="20"/>
          <w:lang w:val="es-CR" w:eastAsia="en-US"/>
        </w:rPr>
        <w:t>no se pretende que el declarante emita</w:t>
      </w:r>
      <w:r w:rsidRPr="00A56FF9">
        <w:rPr>
          <w:rFonts w:ascii="Verdana" w:hAnsi="Verdana" w:cs="Verdana"/>
          <w:color w:val="000000"/>
          <w:sz w:val="20"/>
          <w:szCs w:val="20"/>
          <w:lang w:val="es-CR" w:eastAsia="en-US"/>
        </w:rPr>
        <w:t xml:space="preserve"> una opinión o valoración técnica especializada sobre </w:t>
      </w:r>
      <w:r w:rsidRPr="00A56FF9">
        <w:rPr>
          <w:rFonts w:ascii="Verdana" w:hAnsi="Verdana" w:cs="Verdana"/>
          <w:sz w:val="20"/>
          <w:szCs w:val="20"/>
          <w:lang w:val="es-CR" w:eastAsia="en-US"/>
        </w:rPr>
        <w:t>la compatibilidad</w:t>
      </w:r>
      <w:r w:rsidR="00A56FF9">
        <w:rPr>
          <w:rFonts w:ascii="Verdana" w:hAnsi="Verdana" w:cs="Verdana"/>
          <w:sz w:val="20"/>
          <w:szCs w:val="20"/>
          <w:lang w:val="es-CR" w:eastAsia="en-US"/>
        </w:rPr>
        <w:t xml:space="preserve"> de</w:t>
      </w:r>
      <w:r w:rsidR="00A930D5" w:rsidRPr="00A56FF9">
        <w:rPr>
          <w:rFonts w:ascii="Verdana" w:hAnsi="Verdana" w:cs="Verdana"/>
          <w:sz w:val="20"/>
          <w:szCs w:val="20"/>
          <w:lang w:val="es-CR" w:eastAsia="en-US"/>
        </w:rPr>
        <w:t xml:space="preserve"> la forma como se otorgan</w:t>
      </w:r>
      <w:r w:rsidRPr="00A56FF9">
        <w:rPr>
          <w:rFonts w:ascii="Verdana" w:hAnsi="Verdana" w:cs="Verdana"/>
          <w:sz w:val="20"/>
          <w:szCs w:val="20"/>
          <w:lang w:val="es-CR" w:eastAsia="en-US"/>
        </w:rPr>
        <w:t xml:space="preserve"> </w:t>
      </w:r>
      <w:r w:rsidR="00A930D5" w:rsidRPr="00A56FF9">
        <w:rPr>
          <w:rFonts w:ascii="Verdana" w:eastAsia="Calibri" w:hAnsi="Verdana" w:cs="Calibri"/>
          <w:sz w:val="20"/>
          <w:szCs w:val="20"/>
          <w:lang w:val="es-CR" w:eastAsia="en-US"/>
        </w:rPr>
        <w:t>las concesiones de Telecomunicaciones en Venezuela</w:t>
      </w:r>
      <w:r w:rsidRPr="00A56FF9">
        <w:rPr>
          <w:rFonts w:ascii="Verdana" w:hAnsi="Verdana" w:cs="Verdana"/>
          <w:sz w:val="20"/>
          <w:szCs w:val="20"/>
          <w:lang w:val="es-CR" w:eastAsia="en-US"/>
        </w:rPr>
        <w:t xml:space="preserve"> con los estándares internacionales en esas materias. Sin embargo, el Presidente toma en cuenta lo alegado por los representantes para rec</w:t>
      </w:r>
      <w:r w:rsidR="001B4224" w:rsidRPr="00A56FF9">
        <w:rPr>
          <w:rFonts w:ascii="Verdana" w:hAnsi="Verdana" w:cs="Verdana"/>
          <w:sz w:val="20"/>
          <w:szCs w:val="20"/>
          <w:lang w:val="es-CR" w:eastAsia="en-US"/>
        </w:rPr>
        <w:t>ordar que las preguntas a dicho declarante</w:t>
      </w:r>
      <w:r w:rsidRPr="00A56FF9">
        <w:rPr>
          <w:rFonts w:ascii="Verdana" w:hAnsi="Verdana" w:cs="Verdana"/>
          <w:sz w:val="20"/>
          <w:szCs w:val="20"/>
          <w:lang w:val="es-CR" w:eastAsia="en-US"/>
        </w:rPr>
        <w:t xml:space="preserve"> deben ser planteadas de forma acorde a la naturaleza de un testimonio y deberán </w:t>
      </w:r>
      <w:r w:rsidRPr="00A56FF9">
        <w:rPr>
          <w:rFonts w:ascii="Verdana" w:hAnsi="Verdana" w:cs="Verdana"/>
          <w:color w:val="000000"/>
          <w:sz w:val="20"/>
          <w:szCs w:val="20"/>
        </w:rPr>
        <w:t>limitarse a declarar sobre los hechos y circunstancias que les consten o que conozcan en su carácter de testigo</w:t>
      </w:r>
      <w:r w:rsidRPr="00C40650">
        <w:rPr>
          <w:rStyle w:val="Refdenotaalpie"/>
          <w:rFonts w:ascii="Verdana" w:hAnsi="Verdana" w:cs="Verdana"/>
          <w:color w:val="000000"/>
          <w:sz w:val="20"/>
          <w:szCs w:val="20"/>
        </w:rPr>
        <w:footnoteReference w:id="19"/>
      </w:r>
      <w:r w:rsidRPr="00A56FF9">
        <w:rPr>
          <w:rFonts w:ascii="Verdana" w:hAnsi="Verdana" w:cs="Verdana"/>
          <w:color w:val="000000"/>
          <w:sz w:val="20"/>
          <w:szCs w:val="20"/>
        </w:rPr>
        <w:t>.</w:t>
      </w:r>
    </w:p>
    <w:p w:rsidR="002B3274" w:rsidRPr="00C40650" w:rsidRDefault="002B3274" w:rsidP="002B3274">
      <w:pPr>
        <w:pStyle w:val="Prrafodelista"/>
        <w:rPr>
          <w:rFonts w:ascii="Verdana" w:hAnsi="Verdana" w:cs="Verdana"/>
          <w:sz w:val="20"/>
          <w:szCs w:val="20"/>
          <w:lang w:val="es-CR"/>
        </w:rPr>
      </w:pPr>
    </w:p>
    <w:p w:rsidR="00B903FF" w:rsidRDefault="002B3274" w:rsidP="00DB28AA">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sidRPr="00C40650">
        <w:rPr>
          <w:rFonts w:ascii="Verdana" w:hAnsi="Verdana" w:cs="Verdana"/>
          <w:sz w:val="20"/>
          <w:szCs w:val="20"/>
          <w:lang w:val="es-CR"/>
        </w:rPr>
        <w:t xml:space="preserve">Respecto al argumento </w:t>
      </w:r>
      <w:r w:rsidR="00A56FF9">
        <w:rPr>
          <w:rFonts w:ascii="Verdana" w:hAnsi="Verdana" w:cs="Verdana"/>
          <w:sz w:val="20"/>
          <w:szCs w:val="20"/>
          <w:lang w:val="es-CR"/>
        </w:rPr>
        <w:t>de que</w:t>
      </w:r>
      <w:r w:rsidRPr="00C40650">
        <w:rPr>
          <w:rFonts w:ascii="Verdana" w:hAnsi="Verdana" w:cs="Verdana"/>
          <w:sz w:val="20"/>
          <w:szCs w:val="20"/>
          <w:lang w:val="es-CR"/>
        </w:rPr>
        <w:t xml:space="preserve"> el señor Castellano sería un “testigo profesional”, la Presidencia recuerda que </w:t>
      </w:r>
      <w:r w:rsidR="00C40650" w:rsidRPr="00C40650">
        <w:rPr>
          <w:rFonts w:ascii="Verdana" w:hAnsi="Verdana" w:cs="Verdana"/>
          <w:sz w:val="20"/>
          <w:szCs w:val="20"/>
        </w:rPr>
        <w:t>a los testigos no les es aplicable el deber de objetividad, el cual es exigible a los peritos y</w:t>
      </w:r>
      <w:r w:rsidR="00C40650">
        <w:rPr>
          <w:rFonts w:ascii="Verdana" w:hAnsi="Verdana" w:cs="Verdana"/>
          <w:sz w:val="20"/>
          <w:szCs w:val="20"/>
        </w:rPr>
        <w:t xml:space="preserve">, además, el </w:t>
      </w:r>
      <w:r w:rsidR="00A56FF9">
        <w:rPr>
          <w:rFonts w:ascii="Verdana" w:hAnsi="Verdana" w:cs="Verdana"/>
          <w:sz w:val="20"/>
          <w:szCs w:val="20"/>
        </w:rPr>
        <w:t xml:space="preserve">hecho de que el </w:t>
      </w:r>
      <w:r w:rsidR="00EF1274">
        <w:rPr>
          <w:rFonts w:ascii="Verdana" w:hAnsi="Verdana" w:cs="Verdana"/>
          <w:sz w:val="20"/>
          <w:szCs w:val="20"/>
        </w:rPr>
        <w:t>señor Castellano</w:t>
      </w:r>
      <w:r w:rsidR="00C40650">
        <w:rPr>
          <w:rFonts w:ascii="Verdana" w:hAnsi="Verdana" w:cs="Verdana"/>
          <w:sz w:val="20"/>
          <w:szCs w:val="20"/>
        </w:rPr>
        <w:t xml:space="preserve"> </w:t>
      </w:r>
      <w:r w:rsidR="00C40650">
        <w:rPr>
          <w:rFonts w:ascii="Verdana" w:hAnsi="Verdana" w:cs="Verdana"/>
          <w:sz w:val="20"/>
          <w:szCs w:val="20"/>
          <w:lang w:val="es-CR"/>
        </w:rPr>
        <w:t>haya rendido declaración</w:t>
      </w:r>
      <w:r w:rsidR="00C40650" w:rsidRPr="00C40650">
        <w:rPr>
          <w:rFonts w:ascii="Verdana" w:hAnsi="Verdana" w:cs="Verdana"/>
          <w:sz w:val="20"/>
          <w:szCs w:val="20"/>
          <w:lang w:val="es-CR"/>
        </w:rPr>
        <w:t xml:space="preserve"> en otros casos ante este Tribunal respecto del mismo Estado no </w:t>
      </w:r>
      <w:r w:rsidR="00C40650">
        <w:rPr>
          <w:rFonts w:ascii="Verdana" w:hAnsi="Verdana" w:cs="Verdana"/>
          <w:sz w:val="20"/>
          <w:szCs w:val="20"/>
          <w:lang w:val="es-CR"/>
        </w:rPr>
        <w:t>está relacionado con la admisibilidad de la prueba</w:t>
      </w:r>
      <w:r w:rsidR="00C40650" w:rsidRPr="00C40650">
        <w:rPr>
          <w:rFonts w:ascii="Verdana" w:hAnsi="Verdana" w:cs="Verdana"/>
          <w:sz w:val="20"/>
          <w:szCs w:val="20"/>
          <w:lang w:val="es-CR"/>
        </w:rPr>
        <w:t>.</w:t>
      </w:r>
      <w:r w:rsidR="00C40650">
        <w:rPr>
          <w:rFonts w:ascii="Verdana" w:hAnsi="Verdana" w:cs="Verdana"/>
          <w:sz w:val="20"/>
          <w:szCs w:val="20"/>
          <w:lang w:val="es-CR"/>
        </w:rPr>
        <w:t xml:space="preserve"> </w:t>
      </w:r>
      <w:r w:rsidR="00C40650" w:rsidRPr="00C40650">
        <w:rPr>
          <w:rFonts w:ascii="Verdana" w:hAnsi="Verdana" w:cs="Verdana"/>
          <w:sz w:val="20"/>
          <w:szCs w:val="20"/>
          <w:lang w:val="es-CR"/>
        </w:rPr>
        <w:t xml:space="preserve">Finalmente, con relación al argumentó según el cual la declaración del señor Castellano no estaría relacionada con los hechos del presente caso, </w:t>
      </w:r>
      <w:r w:rsidR="0025521C">
        <w:rPr>
          <w:rFonts w:ascii="Verdana" w:hAnsi="Verdana" w:cs="Verdana"/>
          <w:sz w:val="20"/>
          <w:szCs w:val="20"/>
          <w:lang w:val="es-CR"/>
        </w:rPr>
        <w:t>esta</w:t>
      </w:r>
      <w:r w:rsidR="00C40650" w:rsidRPr="00C40650">
        <w:rPr>
          <w:rFonts w:ascii="Verdana" w:hAnsi="Verdana" w:cs="Verdana"/>
          <w:sz w:val="20"/>
          <w:szCs w:val="20"/>
          <w:lang w:val="es-CR"/>
        </w:rPr>
        <w:t xml:space="preserve"> Presidencia </w:t>
      </w:r>
      <w:r w:rsidR="0025521C">
        <w:rPr>
          <w:rFonts w:ascii="Verdana" w:hAnsi="Verdana" w:cs="Verdana"/>
          <w:sz w:val="20"/>
          <w:szCs w:val="20"/>
          <w:lang w:val="es-CR"/>
        </w:rPr>
        <w:t>denota</w:t>
      </w:r>
      <w:r w:rsidR="00C40650" w:rsidRPr="00C40650">
        <w:rPr>
          <w:rFonts w:ascii="Verdana" w:hAnsi="Verdana" w:cs="Verdana"/>
          <w:sz w:val="20"/>
          <w:szCs w:val="20"/>
          <w:lang w:val="es-CR"/>
        </w:rPr>
        <w:t xml:space="preserve"> que en el informe de fondo presentado por la Comisión uno de los capítulos de hechos se relaciona con las diversas denuncia</w:t>
      </w:r>
      <w:r w:rsidR="00A56FF9">
        <w:rPr>
          <w:rFonts w:ascii="Verdana" w:hAnsi="Verdana" w:cs="Verdana"/>
          <w:sz w:val="20"/>
          <w:szCs w:val="20"/>
          <w:lang w:val="es-CR"/>
        </w:rPr>
        <w:t>s</w:t>
      </w:r>
      <w:r w:rsidR="00C40650" w:rsidRPr="00C40650">
        <w:rPr>
          <w:rFonts w:ascii="Verdana" w:hAnsi="Verdana" w:cs="Verdana"/>
          <w:sz w:val="20"/>
          <w:szCs w:val="20"/>
          <w:lang w:val="es-CR"/>
        </w:rPr>
        <w:t xml:space="preserve"> penales presentadas </w:t>
      </w:r>
      <w:r w:rsidR="00A56FF9">
        <w:rPr>
          <w:rFonts w:ascii="Verdana" w:hAnsi="Verdana" w:cs="Verdana"/>
          <w:sz w:val="20"/>
          <w:szCs w:val="20"/>
          <w:lang w:val="es-CR"/>
        </w:rPr>
        <w:t xml:space="preserve">por </w:t>
      </w:r>
      <w:r w:rsidR="0025521C">
        <w:rPr>
          <w:rFonts w:ascii="Verdana" w:hAnsi="Verdana" w:cs="Verdana"/>
          <w:sz w:val="20"/>
          <w:szCs w:val="20"/>
          <w:lang w:val="es-CR"/>
        </w:rPr>
        <w:t xml:space="preserve">RCTV y el señor Marcel </w:t>
      </w:r>
      <w:proofErr w:type="spellStart"/>
      <w:r w:rsidR="0025521C">
        <w:rPr>
          <w:rFonts w:ascii="Verdana" w:hAnsi="Verdana" w:cs="Verdana"/>
          <w:sz w:val="20"/>
          <w:szCs w:val="20"/>
          <w:lang w:val="es-CR"/>
        </w:rPr>
        <w:t>Granier</w:t>
      </w:r>
      <w:proofErr w:type="spellEnd"/>
      <w:r w:rsidR="0025521C">
        <w:rPr>
          <w:rFonts w:ascii="Verdana" w:hAnsi="Verdana" w:cs="Verdana"/>
          <w:sz w:val="20"/>
          <w:szCs w:val="20"/>
          <w:lang w:val="es-CR"/>
        </w:rPr>
        <w:t xml:space="preserve">, </w:t>
      </w:r>
      <w:r w:rsidR="00A56FF9">
        <w:rPr>
          <w:rFonts w:ascii="Verdana" w:hAnsi="Verdana" w:cs="Verdana"/>
          <w:sz w:val="20"/>
          <w:szCs w:val="20"/>
          <w:lang w:val="es-CR"/>
        </w:rPr>
        <w:t xml:space="preserve">por lo que dicha declaración sí tiene </w:t>
      </w:r>
      <w:r w:rsidR="0025521C">
        <w:rPr>
          <w:rFonts w:ascii="Verdana" w:hAnsi="Verdana" w:cs="Verdana"/>
          <w:sz w:val="20"/>
          <w:szCs w:val="20"/>
          <w:lang w:val="es-CR"/>
        </w:rPr>
        <w:t>relación con hechos que fueron presentado</w:t>
      </w:r>
      <w:r w:rsidR="00D6488A">
        <w:rPr>
          <w:rFonts w:ascii="Verdana" w:hAnsi="Verdana" w:cs="Verdana"/>
          <w:sz w:val="20"/>
          <w:szCs w:val="20"/>
          <w:lang w:val="es-CR"/>
        </w:rPr>
        <w:t>s</w:t>
      </w:r>
      <w:r w:rsidR="0025521C">
        <w:rPr>
          <w:rFonts w:ascii="Verdana" w:hAnsi="Verdana" w:cs="Verdana"/>
          <w:sz w:val="20"/>
          <w:szCs w:val="20"/>
          <w:lang w:val="es-CR"/>
        </w:rPr>
        <w:t xml:space="preserve"> ante </w:t>
      </w:r>
      <w:r w:rsidR="00A67D1B">
        <w:rPr>
          <w:rFonts w:ascii="Verdana" w:hAnsi="Verdana" w:cs="Verdana"/>
          <w:sz w:val="20"/>
          <w:szCs w:val="20"/>
          <w:lang w:val="es-CR"/>
        </w:rPr>
        <w:t>el</w:t>
      </w:r>
      <w:r w:rsidR="0025521C">
        <w:rPr>
          <w:rFonts w:ascii="Verdana" w:hAnsi="Verdana" w:cs="Verdana"/>
          <w:sz w:val="20"/>
          <w:szCs w:val="20"/>
          <w:lang w:val="es-CR"/>
        </w:rPr>
        <w:t xml:space="preserve"> Tribunal.</w:t>
      </w:r>
    </w:p>
    <w:p w:rsidR="00B903FF" w:rsidRPr="00B903FF" w:rsidRDefault="00B903FF" w:rsidP="00B903FF">
      <w:pPr>
        <w:pStyle w:val="Prrafodelista"/>
        <w:rPr>
          <w:rFonts w:ascii="Verdana" w:hAnsi="Verdana" w:cs="Verdana"/>
          <w:sz w:val="20"/>
          <w:szCs w:val="20"/>
        </w:rPr>
      </w:pPr>
    </w:p>
    <w:p w:rsidR="00DB28AA" w:rsidRPr="00B903FF" w:rsidRDefault="00DB28AA" w:rsidP="00DB28AA">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sidRPr="00B903FF">
        <w:rPr>
          <w:rFonts w:ascii="Verdana" w:hAnsi="Verdana" w:cs="Verdana"/>
          <w:sz w:val="20"/>
          <w:szCs w:val="20"/>
        </w:rPr>
        <w:t xml:space="preserve">En virtud de las anteriores consideraciones, esta Presidencia admite las declaraciones testimoniales de </w:t>
      </w:r>
      <w:r w:rsidR="00B903FF">
        <w:rPr>
          <w:rFonts w:ascii="Verdana" w:hAnsi="Verdana" w:cs="Verdana"/>
          <w:sz w:val="20"/>
          <w:szCs w:val="20"/>
          <w:lang w:val="es-CR"/>
        </w:rPr>
        <w:t>José Leonardo Suárez</w:t>
      </w:r>
      <w:r w:rsidR="00604EB9">
        <w:rPr>
          <w:rFonts w:ascii="Verdana" w:hAnsi="Verdana" w:cs="Verdana"/>
          <w:sz w:val="20"/>
          <w:szCs w:val="20"/>
          <w:lang w:val="es-CR"/>
        </w:rPr>
        <w:t xml:space="preserve"> </w:t>
      </w:r>
      <w:r w:rsidR="00EF1274">
        <w:rPr>
          <w:rFonts w:ascii="Verdana" w:hAnsi="Verdana" w:cs="Verdana"/>
          <w:sz w:val="20"/>
          <w:szCs w:val="20"/>
          <w:lang w:val="es-CR"/>
        </w:rPr>
        <w:t>y Néstor Castellano</w:t>
      </w:r>
      <w:r w:rsidRPr="00B903FF">
        <w:rPr>
          <w:rFonts w:ascii="Verdana" w:hAnsi="Verdana" w:cs="Verdana"/>
          <w:sz w:val="20"/>
          <w:szCs w:val="20"/>
        </w:rPr>
        <w:t>, propuestas por el Estado, las cuales deberán estar limitadas a los hechos y circunstancias que les consten o que conozcan en su carácter de testigos.</w:t>
      </w:r>
      <w:r w:rsidRPr="00B903FF">
        <w:rPr>
          <w:rFonts w:ascii="Verdana" w:hAnsi="Verdana" w:cs="Verdana"/>
          <w:color w:val="000000"/>
          <w:sz w:val="20"/>
          <w:szCs w:val="20"/>
        </w:rPr>
        <w:t xml:space="preserve"> El objeto y la modalidad de dichos testimonios se determina</w:t>
      </w:r>
      <w:r w:rsidR="00B903FF">
        <w:rPr>
          <w:rFonts w:ascii="Verdana" w:hAnsi="Verdana" w:cs="Verdana"/>
          <w:color w:val="000000"/>
          <w:sz w:val="20"/>
          <w:szCs w:val="20"/>
        </w:rPr>
        <w:t>rá</w:t>
      </w:r>
      <w:r w:rsidRPr="00B903FF">
        <w:rPr>
          <w:rFonts w:ascii="Verdana" w:hAnsi="Verdana" w:cs="Verdana"/>
          <w:color w:val="000000"/>
          <w:sz w:val="20"/>
          <w:szCs w:val="20"/>
        </w:rPr>
        <w:t xml:space="preserve"> en la parte resolutiva de la presente Resolución (</w:t>
      </w:r>
      <w:r w:rsidRPr="00B903FF">
        <w:rPr>
          <w:rFonts w:ascii="Verdana" w:hAnsi="Verdana" w:cs="Verdana"/>
          <w:i/>
          <w:color w:val="000000"/>
          <w:sz w:val="20"/>
          <w:szCs w:val="20"/>
        </w:rPr>
        <w:t>infra</w:t>
      </w:r>
      <w:r w:rsidRPr="00B903FF">
        <w:rPr>
          <w:rFonts w:ascii="Verdana" w:hAnsi="Verdana" w:cs="Verdana"/>
          <w:color w:val="000000"/>
          <w:sz w:val="20"/>
          <w:szCs w:val="20"/>
        </w:rPr>
        <w:t xml:space="preserve"> </w:t>
      </w:r>
      <w:r w:rsidR="00CF55FC">
        <w:rPr>
          <w:rFonts w:ascii="Verdana" w:hAnsi="Verdana" w:cs="Verdana"/>
          <w:color w:val="000000"/>
          <w:sz w:val="20"/>
          <w:szCs w:val="20"/>
        </w:rPr>
        <w:t>puntos resolutivos primero y quinto</w:t>
      </w:r>
      <w:r w:rsidRPr="00B903FF">
        <w:rPr>
          <w:rFonts w:ascii="Verdana" w:hAnsi="Verdana" w:cs="Verdana"/>
          <w:sz w:val="20"/>
          <w:szCs w:val="20"/>
        </w:rPr>
        <w:t xml:space="preserve">). </w:t>
      </w:r>
    </w:p>
    <w:p w:rsidR="00DD03EF" w:rsidRPr="006117FD" w:rsidRDefault="00DD03EF" w:rsidP="006117FD">
      <w:pPr>
        <w:tabs>
          <w:tab w:val="left" w:pos="567"/>
        </w:tabs>
        <w:autoSpaceDE w:val="0"/>
        <w:autoSpaceDN w:val="0"/>
        <w:adjustRightInd w:val="0"/>
        <w:jc w:val="both"/>
        <w:rPr>
          <w:rFonts w:ascii="Verdana" w:hAnsi="Verdana" w:cs="Verdana"/>
          <w:b/>
          <w:sz w:val="20"/>
          <w:szCs w:val="20"/>
          <w:lang w:val="es-CR"/>
        </w:rPr>
      </w:pPr>
    </w:p>
    <w:p w:rsidR="009938F4" w:rsidRDefault="00DD03EF" w:rsidP="009938F4">
      <w:pPr>
        <w:pStyle w:val="Prrafodelista"/>
        <w:tabs>
          <w:tab w:val="left" w:pos="567"/>
        </w:tabs>
        <w:autoSpaceDE w:val="0"/>
        <w:autoSpaceDN w:val="0"/>
        <w:adjustRightInd w:val="0"/>
        <w:ind w:left="0"/>
        <w:jc w:val="both"/>
        <w:rPr>
          <w:rFonts w:ascii="Verdana" w:hAnsi="Verdana" w:cs="Verdana"/>
          <w:b/>
          <w:bCs/>
          <w:sz w:val="20"/>
          <w:szCs w:val="20"/>
        </w:rPr>
      </w:pPr>
      <w:r>
        <w:rPr>
          <w:rFonts w:ascii="Verdana" w:hAnsi="Verdana" w:cs="Verdana"/>
          <w:b/>
          <w:sz w:val="20"/>
          <w:szCs w:val="20"/>
          <w:lang w:val="es-CR"/>
        </w:rPr>
        <w:t xml:space="preserve">C.2. </w:t>
      </w:r>
      <w:r w:rsidR="009938F4" w:rsidRPr="00D27F63">
        <w:rPr>
          <w:rFonts w:ascii="Verdana" w:hAnsi="Verdana" w:cs="Verdana"/>
          <w:b/>
          <w:bCs/>
          <w:sz w:val="20"/>
          <w:szCs w:val="20"/>
        </w:rPr>
        <w:t xml:space="preserve">Recusaciones y/u objeciones </w:t>
      </w:r>
      <w:r w:rsidR="009938F4">
        <w:rPr>
          <w:rFonts w:ascii="Verdana" w:hAnsi="Verdana" w:cs="Verdana"/>
          <w:b/>
          <w:bCs/>
          <w:sz w:val="20"/>
          <w:szCs w:val="20"/>
        </w:rPr>
        <w:t xml:space="preserve">de los representantes a los </w:t>
      </w:r>
      <w:r w:rsidR="009938F4" w:rsidRPr="00D27F63">
        <w:rPr>
          <w:rFonts w:ascii="Verdana" w:hAnsi="Verdana" w:cs="Verdana"/>
          <w:b/>
          <w:bCs/>
          <w:sz w:val="20"/>
          <w:szCs w:val="20"/>
        </w:rPr>
        <w:t>perit</w:t>
      </w:r>
      <w:r w:rsidR="009938F4">
        <w:rPr>
          <w:rFonts w:ascii="Verdana" w:hAnsi="Verdana" w:cs="Verdana"/>
          <w:b/>
          <w:bCs/>
          <w:sz w:val="20"/>
          <w:szCs w:val="20"/>
        </w:rPr>
        <w:t>os</w:t>
      </w:r>
      <w:r w:rsidR="009938F4" w:rsidRPr="00D27F63">
        <w:rPr>
          <w:rFonts w:ascii="Verdana" w:hAnsi="Verdana" w:cs="Verdana"/>
          <w:b/>
          <w:bCs/>
          <w:sz w:val="20"/>
          <w:szCs w:val="20"/>
        </w:rPr>
        <w:t xml:space="preserve"> ofrecid</w:t>
      </w:r>
      <w:r w:rsidR="009938F4">
        <w:rPr>
          <w:rFonts w:ascii="Verdana" w:hAnsi="Verdana" w:cs="Verdana"/>
          <w:b/>
          <w:bCs/>
          <w:sz w:val="20"/>
          <w:szCs w:val="20"/>
        </w:rPr>
        <w:t>os por el Estado</w:t>
      </w:r>
    </w:p>
    <w:p w:rsidR="009938F4" w:rsidRDefault="009938F4" w:rsidP="009938F4">
      <w:pPr>
        <w:pStyle w:val="Prrafodelista"/>
        <w:tabs>
          <w:tab w:val="left" w:pos="567"/>
        </w:tabs>
        <w:autoSpaceDE w:val="0"/>
        <w:autoSpaceDN w:val="0"/>
        <w:adjustRightInd w:val="0"/>
        <w:ind w:left="0"/>
        <w:jc w:val="both"/>
        <w:rPr>
          <w:rFonts w:ascii="Verdana" w:hAnsi="Verdana" w:cs="Verdana"/>
          <w:b/>
          <w:bCs/>
          <w:sz w:val="20"/>
          <w:szCs w:val="20"/>
        </w:rPr>
      </w:pPr>
    </w:p>
    <w:p w:rsidR="009938F4" w:rsidRDefault="009938F4" w:rsidP="009938F4">
      <w:pPr>
        <w:pStyle w:val="Prrafodelista"/>
        <w:numPr>
          <w:ilvl w:val="0"/>
          <w:numId w:val="35"/>
        </w:numPr>
        <w:tabs>
          <w:tab w:val="left" w:pos="567"/>
        </w:tabs>
        <w:autoSpaceDE w:val="0"/>
        <w:autoSpaceDN w:val="0"/>
        <w:adjustRightInd w:val="0"/>
        <w:jc w:val="both"/>
        <w:rPr>
          <w:rFonts w:ascii="Verdana" w:hAnsi="Verdana" w:cs="Verdana"/>
          <w:b/>
          <w:sz w:val="20"/>
          <w:szCs w:val="20"/>
          <w:lang w:val="es-CR"/>
        </w:rPr>
      </w:pPr>
      <w:proofErr w:type="spellStart"/>
      <w:r w:rsidRPr="009938F4">
        <w:rPr>
          <w:rFonts w:ascii="Verdana" w:hAnsi="Verdana" w:cs="Verdana"/>
          <w:b/>
          <w:sz w:val="20"/>
          <w:szCs w:val="20"/>
          <w:lang w:val="es-CR"/>
        </w:rPr>
        <w:t>Heli</w:t>
      </w:r>
      <w:proofErr w:type="spellEnd"/>
      <w:r w:rsidRPr="009938F4">
        <w:rPr>
          <w:rFonts w:ascii="Verdana" w:hAnsi="Verdana" w:cs="Verdana"/>
          <w:b/>
          <w:sz w:val="20"/>
          <w:szCs w:val="20"/>
          <w:lang w:val="es-CR"/>
        </w:rPr>
        <w:t xml:space="preserve"> Rafael Romero Graterol</w:t>
      </w:r>
    </w:p>
    <w:p w:rsidR="00926192" w:rsidRPr="00926192" w:rsidRDefault="00926192" w:rsidP="00926192">
      <w:pPr>
        <w:pStyle w:val="Prrafodelista"/>
        <w:tabs>
          <w:tab w:val="left" w:pos="567"/>
        </w:tabs>
        <w:autoSpaceDE w:val="0"/>
        <w:autoSpaceDN w:val="0"/>
        <w:adjustRightInd w:val="0"/>
        <w:ind w:left="0"/>
        <w:jc w:val="both"/>
        <w:rPr>
          <w:rFonts w:ascii="Verdana" w:hAnsi="Verdana" w:cs="Verdana"/>
          <w:b/>
          <w:sz w:val="20"/>
          <w:szCs w:val="20"/>
          <w:lang w:val="es-CR"/>
        </w:rPr>
      </w:pPr>
    </w:p>
    <w:p w:rsidR="00926192" w:rsidRDefault="00926192" w:rsidP="00926192">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lang w:val="es-CR"/>
        </w:rPr>
        <w:t>Los representantes recusaron al señor Romero, al considerar que se encuentra incurso en la causal prevista en el artículo 48.1.</w:t>
      </w:r>
      <w:r w:rsidR="00A56FF9">
        <w:rPr>
          <w:rFonts w:ascii="Verdana" w:hAnsi="Verdana" w:cs="Verdana"/>
          <w:sz w:val="20"/>
          <w:szCs w:val="20"/>
          <w:lang w:val="es-CR"/>
        </w:rPr>
        <w:t>c del Reglamento, según la cual</w:t>
      </w:r>
      <w:r>
        <w:rPr>
          <w:rFonts w:ascii="Verdana" w:hAnsi="Verdana" w:cs="Verdana"/>
          <w:sz w:val="20"/>
          <w:szCs w:val="20"/>
          <w:lang w:val="es-CR"/>
        </w:rPr>
        <w:t xml:space="preserve"> pueden ser recusados los peritos por “tener o haber tenido vínculos estrechos o relación de subordinación funcional con la parte que lo propone y que a juicio de la Corte pudiera afectar su imparcialidad”. En particular, indicaron que “el promovido perito se desempeña y se ha desempeñado desde el 2007 en cargos </w:t>
      </w:r>
      <w:r w:rsidR="00A56FF9">
        <w:rPr>
          <w:rFonts w:ascii="Verdana" w:hAnsi="Verdana" w:cs="Verdana"/>
          <w:sz w:val="20"/>
          <w:szCs w:val="20"/>
          <w:lang w:val="es-CR"/>
        </w:rPr>
        <w:t>[…]</w:t>
      </w:r>
      <w:r>
        <w:rPr>
          <w:rFonts w:ascii="Verdana" w:hAnsi="Verdana" w:cs="Verdana"/>
          <w:sz w:val="20"/>
          <w:szCs w:val="20"/>
          <w:lang w:val="es-CR"/>
        </w:rPr>
        <w:t xml:space="preserve"> seleccionados por contratación dentro de la administración pública conducida por el actual gobierno” y que actualmente es </w:t>
      </w:r>
      <w:r>
        <w:rPr>
          <w:rFonts w:ascii="Verdana" w:hAnsi="Verdana" w:cs="Verdana"/>
          <w:sz w:val="20"/>
          <w:szCs w:val="20"/>
          <w:lang w:val="es-CR"/>
        </w:rPr>
        <w:lastRenderedPageBreak/>
        <w:t>“consulto</w:t>
      </w:r>
      <w:r w:rsidR="00A56FF9">
        <w:rPr>
          <w:rFonts w:ascii="Verdana" w:hAnsi="Verdana" w:cs="Verdana"/>
          <w:sz w:val="20"/>
          <w:szCs w:val="20"/>
          <w:lang w:val="es-CR"/>
        </w:rPr>
        <w:t>r</w:t>
      </w:r>
      <w:r>
        <w:rPr>
          <w:rFonts w:ascii="Verdana" w:hAnsi="Verdana" w:cs="Verdana"/>
          <w:sz w:val="20"/>
          <w:szCs w:val="20"/>
          <w:lang w:val="es-CR"/>
        </w:rPr>
        <w:t xml:space="preserve"> jurídico del Ministerio de Ciencia, Tecnología e Innovación, cargo de confianza y por ende de libre nombramiento y remoción”, lo cual implicaría que “existe una relación de subordinación con el Estado venezolano que afecta su imparcialidad”. Asimismo, alegaron que “el Estado no desc</w:t>
      </w:r>
      <w:r w:rsidR="00063228">
        <w:rPr>
          <w:rFonts w:ascii="Verdana" w:hAnsi="Verdana" w:cs="Verdana"/>
          <w:sz w:val="20"/>
          <w:szCs w:val="20"/>
          <w:lang w:val="es-CR"/>
        </w:rPr>
        <w:t>ribió qué</w:t>
      </w:r>
      <w:r>
        <w:rPr>
          <w:rFonts w:ascii="Verdana" w:hAnsi="Verdana" w:cs="Verdana"/>
          <w:sz w:val="20"/>
          <w:szCs w:val="20"/>
          <w:lang w:val="es-CR"/>
        </w:rPr>
        <w:t xml:space="preserve"> acredita al [señor] Romero para realizar su peritaje”</w:t>
      </w:r>
      <w:r w:rsidR="00CF55FC">
        <w:rPr>
          <w:rFonts w:ascii="Verdana" w:hAnsi="Verdana" w:cs="Verdana"/>
          <w:sz w:val="20"/>
          <w:szCs w:val="20"/>
          <w:lang w:val="es-CR"/>
        </w:rPr>
        <w:t>.</w:t>
      </w:r>
      <w:r>
        <w:rPr>
          <w:rFonts w:ascii="Verdana" w:hAnsi="Verdana" w:cs="Verdana"/>
          <w:sz w:val="20"/>
          <w:szCs w:val="20"/>
          <w:lang w:val="es-CR"/>
        </w:rPr>
        <w:t xml:space="preserve"> </w:t>
      </w:r>
    </w:p>
    <w:p w:rsidR="00926192" w:rsidRDefault="00926192" w:rsidP="00926192">
      <w:pPr>
        <w:pStyle w:val="Prrafodelista"/>
        <w:tabs>
          <w:tab w:val="left" w:pos="567"/>
        </w:tabs>
        <w:autoSpaceDE w:val="0"/>
        <w:autoSpaceDN w:val="0"/>
        <w:adjustRightInd w:val="0"/>
        <w:ind w:left="0"/>
        <w:jc w:val="both"/>
        <w:rPr>
          <w:rFonts w:ascii="Verdana" w:hAnsi="Verdana" w:cs="Verdana"/>
          <w:sz w:val="20"/>
          <w:szCs w:val="20"/>
          <w:lang w:val="es-CR"/>
        </w:rPr>
      </w:pPr>
    </w:p>
    <w:p w:rsidR="00FD021E" w:rsidRDefault="00926192" w:rsidP="00FB169A">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lang w:val="es-CR"/>
        </w:rPr>
        <w:t xml:space="preserve">El señor Romero manifestó que ha “desempeñado cargos en empresas de telecomunicaciones donde el Estado tiene participación accionaria, pero […] han sido empresas que participan en el sector de telecomunicaciones desarrollando actividades económicas como cualquier otro actor en el área y no de función pública, en consecuencia, su régimen legal ha sido de derecho común y […] no tienen un régimen estatutario que [lo] haya colocado en condición de funcionario público dentro de estas”. Agregó que “por </w:t>
      </w:r>
      <w:r w:rsidRPr="002349AD">
        <w:rPr>
          <w:rFonts w:ascii="Verdana" w:hAnsi="Verdana" w:cs="Verdana"/>
          <w:sz w:val="20"/>
          <w:szCs w:val="20"/>
          <w:lang w:val="es-CR"/>
        </w:rPr>
        <w:t xml:space="preserve">consiguiente no </w:t>
      </w:r>
      <w:proofErr w:type="gramStart"/>
      <w:r w:rsidRPr="002349AD">
        <w:rPr>
          <w:rFonts w:ascii="Verdana" w:hAnsi="Verdana" w:cs="Verdana"/>
          <w:sz w:val="20"/>
          <w:szCs w:val="20"/>
          <w:lang w:val="es-CR"/>
        </w:rPr>
        <w:t>pos[</w:t>
      </w:r>
      <w:proofErr w:type="spellStart"/>
      <w:proofErr w:type="gramEnd"/>
      <w:r w:rsidRPr="002349AD">
        <w:rPr>
          <w:rFonts w:ascii="Verdana" w:hAnsi="Verdana" w:cs="Verdana"/>
          <w:sz w:val="20"/>
          <w:szCs w:val="20"/>
          <w:lang w:val="es-CR"/>
        </w:rPr>
        <w:t>ee</w:t>
      </w:r>
      <w:proofErr w:type="spellEnd"/>
      <w:r w:rsidRPr="002349AD">
        <w:rPr>
          <w:rFonts w:ascii="Verdana" w:hAnsi="Verdana" w:cs="Verdana"/>
          <w:sz w:val="20"/>
          <w:szCs w:val="20"/>
          <w:lang w:val="es-CR"/>
        </w:rPr>
        <w:t xml:space="preserve">] ningún tipo de obligación legal o dependencia de exclusividad en el área profesional que </w:t>
      </w:r>
      <w:proofErr w:type="spellStart"/>
      <w:r w:rsidRPr="002349AD">
        <w:rPr>
          <w:rFonts w:ascii="Verdana" w:hAnsi="Verdana" w:cs="Verdana"/>
          <w:sz w:val="20"/>
          <w:szCs w:val="20"/>
          <w:lang w:val="es-CR"/>
        </w:rPr>
        <w:t>desempeñ</w:t>
      </w:r>
      <w:proofErr w:type="spellEnd"/>
      <w:r w:rsidRPr="002349AD">
        <w:rPr>
          <w:rFonts w:ascii="Verdana" w:hAnsi="Verdana" w:cs="Verdana"/>
          <w:sz w:val="20"/>
          <w:szCs w:val="20"/>
          <w:lang w:val="es-CR"/>
        </w:rPr>
        <w:t xml:space="preserve">[a] con el Estado, por no haber obtenido en ningún momento la condición de funcionario público dentro de esas empresas, por lo que [su] </w:t>
      </w:r>
      <w:r w:rsidR="00063228">
        <w:rPr>
          <w:rFonts w:ascii="Verdana" w:hAnsi="Verdana" w:cs="Verdana"/>
          <w:sz w:val="20"/>
          <w:szCs w:val="20"/>
          <w:lang w:val="es-CR"/>
        </w:rPr>
        <w:t>[</w:t>
      </w:r>
      <w:proofErr w:type="spellStart"/>
      <w:r w:rsidR="00063228">
        <w:rPr>
          <w:rFonts w:ascii="Verdana" w:hAnsi="Verdana" w:cs="Verdana"/>
          <w:sz w:val="20"/>
          <w:szCs w:val="20"/>
          <w:lang w:val="es-CR"/>
        </w:rPr>
        <w:t>im</w:t>
      </w:r>
      <w:proofErr w:type="spellEnd"/>
      <w:r w:rsidR="00063228">
        <w:rPr>
          <w:rFonts w:ascii="Verdana" w:hAnsi="Verdana" w:cs="Verdana"/>
          <w:sz w:val="20"/>
          <w:szCs w:val="20"/>
          <w:lang w:val="es-CR"/>
        </w:rPr>
        <w:t>]</w:t>
      </w:r>
      <w:r w:rsidRPr="002349AD">
        <w:rPr>
          <w:rFonts w:ascii="Verdana" w:hAnsi="Verdana" w:cs="Verdana"/>
          <w:sz w:val="20"/>
          <w:szCs w:val="20"/>
          <w:lang w:val="es-CR"/>
        </w:rPr>
        <w:t xml:space="preserve">parcialidad en área de conocimiento de telecomunicaciones no se </w:t>
      </w:r>
      <w:proofErr w:type="spellStart"/>
      <w:r w:rsidRPr="002349AD">
        <w:rPr>
          <w:rFonts w:ascii="Verdana" w:hAnsi="Verdana" w:cs="Verdana"/>
          <w:sz w:val="20"/>
          <w:szCs w:val="20"/>
          <w:lang w:val="es-CR"/>
        </w:rPr>
        <w:t>vera</w:t>
      </w:r>
      <w:proofErr w:type="spellEnd"/>
      <w:r w:rsidRPr="002349AD">
        <w:rPr>
          <w:rFonts w:ascii="Verdana" w:hAnsi="Verdana" w:cs="Verdana"/>
          <w:sz w:val="20"/>
          <w:szCs w:val="20"/>
          <w:lang w:val="es-CR"/>
        </w:rPr>
        <w:t xml:space="preserve"> afectada”.</w:t>
      </w:r>
    </w:p>
    <w:p w:rsidR="00FD021E" w:rsidRPr="00FD021E" w:rsidRDefault="00FD021E" w:rsidP="00FD021E">
      <w:pPr>
        <w:pStyle w:val="Prrafodelista"/>
        <w:rPr>
          <w:rStyle w:val="nfasissutil"/>
          <w:rFonts w:ascii="Verdana" w:hAnsi="Verdana"/>
          <w:sz w:val="20"/>
          <w:szCs w:val="20"/>
        </w:rPr>
      </w:pPr>
    </w:p>
    <w:p w:rsidR="00926192" w:rsidRPr="00FD021E" w:rsidRDefault="00926192" w:rsidP="00FB169A">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sidRPr="00FD021E">
        <w:rPr>
          <w:rStyle w:val="nfasissutil"/>
          <w:rFonts w:ascii="Verdana" w:hAnsi="Verdana"/>
          <w:sz w:val="20"/>
          <w:szCs w:val="20"/>
        </w:rPr>
        <w:t>El Presidente recuerda que, de conformidad con el artículo 48.1.c del Reglamento, para que una recusación, sobre</w:t>
      </w:r>
      <w:r w:rsidR="00A56FF9">
        <w:rPr>
          <w:rStyle w:val="nfasissutil"/>
          <w:rFonts w:ascii="Verdana" w:hAnsi="Verdana"/>
          <w:sz w:val="20"/>
          <w:szCs w:val="20"/>
        </w:rPr>
        <w:t>,</w:t>
      </w:r>
      <w:r w:rsidRPr="00FD021E">
        <w:rPr>
          <w:rStyle w:val="nfasissutil"/>
          <w:rFonts w:ascii="Verdana" w:hAnsi="Verdana"/>
          <w:sz w:val="20"/>
          <w:szCs w:val="20"/>
        </w:rPr>
        <w:t xml:space="preserve"> esa base</w:t>
      </w:r>
      <w:r w:rsidR="00A56FF9">
        <w:rPr>
          <w:rStyle w:val="nfasissutil"/>
          <w:rFonts w:ascii="Verdana" w:hAnsi="Verdana"/>
          <w:sz w:val="20"/>
          <w:szCs w:val="20"/>
        </w:rPr>
        <w:t>,</w:t>
      </w:r>
      <w:r w:rsidRPr="00FD021E">
        <w:rPr>
          <w:rStyle w:val="nfasissutil"/>
          <w:rFonts w:ascii="Verdana" w:hAnsi="Verdana"/>
          <w:sz w:val="20"/>
          <w:szCs w:val="20"/>
        </w:rPr>
        <w:t xml:space="preserve"> resulte procedente, está condicionada a que concurran dos supuestos: un </w:t>
      </w:r>
      <w:proofErr w:type="spellStart"/>
      <w:r w:rsidRPr="00FD021E">
        <w:rPr>
          <w:rStyle w:val="nfasissutil"/>
          <w:rFonts w:ascii="Verdana" w:hAnsi="Verdana"/>
          <w:sz w:val="20"/>
          <w:szCs w:val="20"/>
        </w:rPr>
        <w:t>vinculo</w:t>
      </w:r>
      <w:proofErr w:type="spellEnd"/>
      <w:r w:rsidRPr="00FD021E">
        <w:rPr>
          <w:rStyle w:val="nfasissutil"/>
          <w:rFonts w:ascii="Verdana" w:hAnsi="Verdana"/>
          <w:sz w:val="20"/>
          <w:szCs w:val="20"/>
        </w:rPr>
        <w:t xml:space="preserve"> determinado del perito con la parte proponente y que, adicionalmente, esa relación, a criterio del Tribunal, afecte su imparcialidad. En anteriores oportunidades, este Tribunal ha señalado que el ejercicio de una función pública no debe ser automáticamente entendido como una causal de impedimento para participar como perito en un proceso internacional ante este Tribunal, ya que es necesario valorar si los cargos ocupados por el perito ofrecido pudieran afectar su imparcialidad para rendir el dictamen pericial para el cual fue propuesto. </w:t>
      </w:r>
      <w:r w:rsidRPr="00FD021E">
        <w:rPr>
          <w:rFonts w:ascii="Verdana" w:hAnsi="Verdana" w:cs="Verdana"/>
          <w:sz w:val="20"/>
          <w:szCs w:val="20"/>
          <w:lang w:bidi="en-US"/>
        </w:rPr>
        <w:t xml:space="preserve">En cuanto a la recusación planteada por los representantes, el Presidente estima que no se demostró que en la actualidad </w:t>
      </w:r>
      <w:r w:rsidR="00A56FF9">
        <w:rPr>
          <w:rFonts w:ascii="Verdana" w:hAnsi="Verdana" w:cs="Verdana"/>
          <w:sz w:val="20"/>
          <w:szCs w:val="20"/>
          <w:lang w:bidi="en-US"/>
        </w:rPr>
        <w:t xml:space="preserve">el señor Romero </w:t>
      </w:r>
      <w:r w:rsidRPr="00FD021E">
        <w:rPr>
          <w:rFonts w:ascii="Verdana" w:hAnsi="Verdana" w:cs="Verdana"/>
          <w:sz w:val="20"/>
          <w:szCs w:val="20"/>
          <w:lang w:bidi="en-US"/>
        </w:rPr>
        <w:t>ejerciera alguna función pública incompatible con su eventual declaración como perito y, no se encuentra probado que haya existido una subordinación funcional que pudiera afecta</w:t>
      </w:r>
      <w:r w:rsidR="00FF16C6">
        <w:rPr>
          <w:rFonts w:ascii="Verdana" w:hAnsi="Verdana" w:cs="Verdana"/>
          <w:sz w:val="20"/>
          <w:szCs w:val="20"/>
          <w:lang w:bidi="en-US"/>
        </w:rPr>
        <w:t>r</w:t>
      </w:r>
      <w:r w:rsidRPr="00FD021E">
        <w:rPr>
          <w:rFonts w:ascii="Verdana" w:hAnsi="Verdana" w:cs="Verdana"/>
          <w:sz w:val="20"/>
          <w:szCs w:val="20"/>
          <w:lang w:bidi="en-US"/>
        </w:rPr>
        <w:t xml:space="preserve"> su independencia. </w:t>
      </w:r>
      <w:r w:rsidR="00793522" w:rsidRPr="00FD021E">
        <w:rPr>
          <w:rFonts w:ascii="Verdana" w:hAnsi="Verdana" w:cs="Verdana"/>
          <w:sz w:val="20"/>
          <w:szCs w:val="20"/>
          <w:lang w:bidi="en-US"/>
        </w:rPr>
        <w:t>Respecto a la experticia del señor Romero sobre la materia</w:t>
      </w:r>
      <w:r w:rsidR="00076917" w:rsidRPr="00FD021E">
        <w:rPr>
          <w:rFonts w:ascii="Verdana" w:hAnsi="Verdana" w:cs="Verdana"/>
          <w:sz w:val="20"/>
          <w:szCs w:val="20"/>
          <w:lang w:bidi="en-US"/>
        </w:rPr>
        <w:t xml:space="preserve"> del peritaje ofrecido</w:t>
      </w:r>
      <w:r w:rsidR="00FB169A" w:rsidRPr="00FD021E">
        <w:rPr>
          <w:rFonts w:ascii="Verdana" w:hAnsi="Verdana" w:cs="Verdana"/>
          <w:sz w:val="20"/>
          <w:szCs w:val="20"/>
          <w:lang w:bidi="en-US"/>
        </w:rPr>
        <w:t>,</w:t>
      </w:r>
      <w:r w:rsidR="00076917" w:rsidRPr="00FD021E">
        <w:rPr>
          <w:rFonts w:ascii="Verdana" w:hAnsi="Verdana" w:cs="Verdana"/>
          <w:sz w:val="20"/>
          <w:szCs w:val="20"/>
          <w:lang w:bidi="en-US"/>
        </w:rPr>
        <w:t xml:space="preserve"> de un análisis</w:t>
      </w:r>
      <w:r w:rsidR="00FB169A" w:rsidRPr="00FD021E">
        <w:rPr>
          <w:rFonts w:ascii="Verdana" w:hAnsi="Verdana"/>
          <w:sz w:val="20"/>
          <w:szCs w:val="20"/>
        </w:rPr>
        <w:t xml:space="preserve">, </w:t>
      </w:r>
      <w:r w:rsidR="00FB169A" w:rsidRPr="00FD021E">
        <w:rPr>
          <w:rFonts w:ascii="Verdana" w:hAnsi="Verdana"/>
          <w:i/>
          <w:sz w:val="20"/>
          <w:szCs w:val="20"/>
        </w:rPr>
        <w:t>prima facie</w:t>
      </w:r>
      <w:r w:rsidR="00FB169A" w:rsidRPr="00FD021E">
        <w:rPr>
          <w:rFonts w:ascii="Verdana" w:hAnsi="Verdana"/>
          <w:sz w:val="20"/>
          <w:szCs w:val="20"/>
        </w:rPr>
        <w:t xml:space="preserve">, de su </w:t>
      </w:r>
      <w:proofErr w:type="spellStart"/>
      <w:r w:rsidR="00FB169A" w:rsidRPr="00FD021E">
        <w:rPr>
          <w:rFonts w:ascii="Verdana" w:hAnsi="Verdana"/>
          <w:i/>
          <w:sz w:val="20"/>
          <w:szCs w:val="20"/>
        </w:rPr>
        <w:t>curriculum</w:t>
      </w:r>
      <w:proofErr w:type="spellEnd"/>
      <w:r w:rsidR="00FB169A" w:rsidRPr="00FD021E">
        <w:rPr>
          <w:rFonts w:ascii="Verdana" w:hAnsi="Verdana"/>
          <w:sz w:val="20"/>
          <w:szCs w:val="20"/>
        </w:rPr>
        <w:t xml:space="preserve"> se desprende que ofrece la experticia relevante para darle a ese objeto algún contenido que pudiera ser útil a este caso</w:t>
      </w:r>
      <w:r w:rsidR="00FB169A" w:rsidRPr="00FB169A">
        <w:rPr>
          <w:rStyle w:val="Refdenotaalpie"/>
          <w:rFonts w:ascii="Verdana" w:hAnsi="Verdana"/>
          <w:sz w:val="20"/>
          <w:szCs w:val="20"/>
        </w:rPr>
        <w:footnoteReference w:id="20"/>
      </w:r>
      <w:r w:rsidR="00FB169A" w:rsidRPr="00FD021E">
        <w:rPr>
          <w:rFonts w:ascii="Verdana" w:hAnsi="Verdana"/>
          <w:sz w:val="20"/>
          <w:szCs w:val="20"/>
        </w:rPr>
        <w:t xml:space="preserve">. </w:t>
      </w:r>
      <w:r w:rsidRPr="00FD021E">
        <w:rPr>
          <w:rFonts w:ascii="Verdana" w:hAnsi="Verdana" w:cs="Verdana"/>
          <w:sz w:val="20"/>
          <w:szCs w:val="20"/>
          <w:lang w:bidi="en-US"/>
        </w:rPr>
        <w:t>En razón de lo anterior, al no haberse comprobado que el desempeño profesional del señor Romero pudiese comprometer el deber de objetividad de perito ante la Corte, el Presidente considera que no hay razones suficientes para dejar de recabar tal peritaje, sin perjuicio de la oportuna valoración del mismo por parte del Tribunal, tomando en consideración las observaciones pertinentes de las partes. Por lo anterior, se desestima la recusación planteada contra el señor Romero</w:t>
      </w:r>
      <w:r w:rsidRPr="002349AD">
        <w:rPr>
          <w:rStyle w:val="Refdenotaalpie"/>
          <w:rFonts w:ascii="Verdana" w:hAnsi="Verdana" w:cs="Verdana"/>
          <w:sz w:val="20"/>
          <w:szCs w:val="20"/>
          <w:lang w:bidi="en-US"/>
        </w:rPr>
        <w:footnoteReference w:id="21"/>
      </w:r>
      <w:r w:rsidRPr="00FD021E">
        <w:rPr>
          <w:rFonts w:ascii="Verdana" w:hAnsi="Verdana" w:cs="Verdana"/>
          <w:sz w:val="20"/>
          <w:szCs w:val="20"/>
          <w:lang w:bidi="en-US"/>
        </w:rPr>
        <w:t xml:space="preserve">. </w:t>
      </w:r>
    </w:p>
    <w:p w:rsidR="00926192" w:rsidRPr="00926192" w:rsidRDefault="00926192" w:rsidP="00926192">
      <w:pPr>
        <w:tabs>
          <w:tab w:val="left" w:pos="567"/>
        </w:tabs>
        <w:autoSpaceDE w:val="0"/>
        <w:autoSpaceDN w:val="0"/>
        <w:adjustRightInd w:val="0"/>
        <w:jc w:val="both"/>
        <w:rPr>
          <w:rFonts w:ascii="Verdana" w:hAnsi="Verdana" w:cs="Verdana"/>
          <w:b/>
          <w:sz w:val="20"/>
          <w:szCs w:val="20"/>
          <w:lang w:val="es-CR"/>
        </w:rPr>
      </w:pPr>
    </w:p>
    <w:p w:rsidR="00926192" w:rsidRDefault="00926192" w:rsidP="009938F4">
      <w:pPr>
        <w:pStyle w:val="Prrafodelista"/>
        <w:numPr>
          <w:ilvl w:val="0"/>
          <w:numId w:val="35"/>
        </w:numPr>
        <w:tabs>
          <w:tab w:val="left" w:pos="567"/>
        </w:tabs>
        <w:autoSpaceDE w:val="0"/>
        <w:autoSpaceDN w:val="0"/>
        <w:adjustRightInd w:val="0"/>
        <w:jc w:val="both"/>
        <w:rPr>
          <w:rFonts w:ascii="Verdana" w:hAnsi="Verdana" w:cs="Verdana"/>
          <w:b/>
          <w:sz w:val="20"/>
          <w:szCs w:val="20"/>
          <w:lang w:val="es-CR"/>
        </w:rPr>
      </w:pPr>
      <w:r w:rsidRPr="00926192">
        <w:rPr>
          <w:rFonts w:ascii="Verdana" w:hAnsi="Verdana" w:cs="Verdana"/>
          <w:b/>
          <w:sz w:val="20"/>
          <w:szCs w:val="20"/>
          <w:lang w:val="es-CR"/>
        </w:rPr>
        <w:t>Ana María Hernández Vallen</w:t>
      </w:r>
    </w:p>
    <w:p w:rsidR="00B65CD9" w:rsidRDefault="00B65CD9" w:rsidP="00B65CD9">
      <w:pPr>
        <w:tabs>
          <w:tab w:val="left" w:pos="567"/>
        </w:tabs>
        <w:autoSpaceDE w:val="0"/>
        <w:autoSpaceDN w:val="0"/>
        <w:adjustRightInd w:val="0"/>
        <w:jc w:val="both"/>
        <w:rPr>
          <w:rFonts w:ascii="Verdana" w:hAnsi="Verdana" w:cs="Verdana"/>
          <w:b/>
          <w:sz w:val="20"/>
          <w:szCs w:val="20"/>
          <w:lang w:val="es-CR"/>
        </w:rPr>
      </w:pPr>
    </w:p>
    <w:p w:rsidR="00B65CD9" w:rsidRDefault="00B65CD9" w:rsidP="00B65CD9">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lang w:val="es-CR"/>
        </w:rPr>
        <w:t xml:space="preserve">Los representantes recusaron a la señora Hernández de conformidad con el artículo 48.1.c del Reglamento. </w:t>
      </w:r>
      <w:r w:rsidR="00A56FF9">
        <w:rPr>
          <w:rFonts w:ascii="Verdana" w:hAnsi="Verdana" w:cs="Verdana"/>
          <w:sz w:val="20"/>
          <w:szCs w:val="20"/>
          <w:lang w:val="es-CR"/>
        </w:rPr>
        <w:t>M</w:t>
      </w:r>
      <w:r>
        <w:rPr>
          <w:rFonts w:ascii="Verdana" w:hAnsi="Verdana" w:cs="Verdana"/>
          <w:sz w:val="20"/>
          <w:szCs w:val="20"/>
          <w:lang w:val="es-CR"/>
        </w:rPr>
        <w:t>anifestaron que la señora Hernández “ha desempeñado cargos muy importante</w:t>
      </w:r>
      <w:r w:rsidR="00A56FF9">
        <w:rPr>
          <w:rFonts w:ascii="Verdana" w:hAnsi="Verdana" w:cs="Verdana"/>
          <w:sz w:val="20"/>
          <w:szCs w:val="20"/>
          <w:lang w:val="es-CR"/>
        </w:rPr>
        <w:t>s</w:t>
      </w:r>
      <w:r>
        <w:rPr>
          <w:rFonts w:ascii="Verdana" w:hAnsi="Verdana" w:cs="Verdana"/>
          <w:sz w:val="20"/>
          <w:szCs w:val="20"/>
          <w:lang w:val="es-CR"/>
        </w:rPr>
        <w:t xml:space="preserve"> dentro del Sistema Nacional de Medios Públicos”, los cuales serían “cargos de confianza, en instituciones públicas y designados todos durante el mismo gobierno”, por lo que sería “un[a] </w:t>
      </w:r>
      <w:proofErr w:type="spellStart"/>
      <w:r>
        <w:rPr>
          <w:rFonts w:ascii="Verdana" w:hAnsi="Verdana" w:cs="Verdana"/>
          <w:sz w:val="20"/>
          <w:szCs w:val="20"/>
          <w:lang w:val="es-CR"/>
        </w:rPr>
        <w:t>funcionari</w:t>
      </w:r>
      <w:proofErr w:type="spellEnd"/>
      <w:r>
        <w:rPr>
          <w:rFonts w:ascii="Verdana" w:hAnsi="Verdana" w:cs="Verdana"/>
          <w:sz w:val="20"/>
          <w:szCs w:val="20"/>
          <w:lang w:val="es-CR"/>
        </w:rPr>
        <w:t>[a] de estricta confianza d</w:t>
      </w:r>
      <w:r w:rsidR="00A56FF9">
        <w:rPr>
          <w:rFonts w:ascii="Verdana" w:hAnsi="Verdana" w:cs="Verdana"/>
          <w:sz w:val="20"/>
          <w:szCs w:val="20"/>
          <w:lang w:val="es-CR"/>
        </w:rPr>
        <w:t xml:space="preserve">el gobierno venezolano y </w:t>
      </w:r>
      <w:proofErr w:type="gramStart"/>
      <w:r w:rsidR="00A56FF9">
        <w:rPr>
          <w:rFonts w:ascii="Verdana" w:hAnsi="Verdana" w:cs="Verdana"/>
          <w:sz w:val="20"/>
          <w:szCs w:val="20"/>
          <w:lang w:val="es-CR"/>
        </w:rPr>
        <w:t>estar[</w:t>
      </w:r>
      <w:proofErr w:type="spellStart"/>
      <w:proofErr w:type="gramEnd"/>
      <w:r w:rsidR="00A56FF9">
        <w:rPr>
          <w:rFonts w:ascii="Verdana" w:hAnsi="Verdana" w:cs="Verdana"/>
          <w:sz w:val="20"/>
          <w:szCs w:val="20"/>
          <w:lang w:val="es-CR"/>
        </w:rPr>
        <w:t>í</w:t>
      </w:r>
      <w:r>
        <w:rPr>
          <w:rFonts w:ascii="Verdana" w:hAnsi="Verdana" w:cs="Verdana"/>
          <w:sz w:val="20"/>
          <w:szCs w:val="20"/>
          <w:lang w:val="es-CR"/>
        </w:rPr>
        <w:t>a</w:t>
      </w:r>
      <w:proofErr w:type="spellEnd"/>
      <w:r>
        <w:rPr>
          <w:rFonts w:ascii="Verdana" w:hAnsi="Verdana" w:cs="Verdana"/>
          <w:sz w:val="20"/>
          <w:szCs w:val="20"/>
          <w:lang w:val="es-CR"/>
        </w:rPr>
        <w:t xml:space="preserve">] bajo una relación de subordinación con el Estado venezolano”. Agregaron que “ocupó un cargo dentro de la Televisora Venezolana (TVES), estación de televisión que […] ocupó la señal de RCTV y utiliza los equipos que le fueron confiscados”.  </w:t>
      </w:r>
    </w:p>
    <w:p w:rsidR="00B65CD9" w:rsidRDefault="00B65CD9" w:rsidP="00B65CD9">
      <w:pPr>
        <w:pStyle w:val="Prrafodelista"/>
        <w:tabs>
          <w:tab w:val="left" w:pos="567"/>
        </w:tabs>
        <w:autoSpaceDE w:val="0"/>
        <w:autoSpaceDN w:val="0"/>
        <w:adjustRightInd w:val="0"/>
        <w:ind w:left="0"/>
        <w:jc w:val="both"/>
        <w:rPr>
          <w:rFonts w:ascii="Verdana" w:hAnsi="Verdana" w:cs="Verdana"/>
          <w:sz w:val="20"/>
          <w:szCs w:val="20"/>
          <w:lang w:val="es-CR"/>
        </w:rPr>
      </w:pPr>
    </w:p>
    <w:p w:rsidR="00B65CD9" w:rsidRPr="00FF16C6" w:rsidRDefault="00B65CD9" w:rsidP="00B65CD9">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lang w:val="es-CR"/>
        </w:rPr>
        <w:lastRenderedPageBreak/>
        <w:t xml:space="preserve">La señora Hernández indicó que ha “laborado en cargos dentro de la administración pública y </w:t>
      </w:r>
      <w:proofErr w:type="spellStart"/>
      <w:r>
        <w:rPr>
          <w:rFonts w:ascii="Verdana" w:hAnsi="Verdana" w:cs="Verdana"/>
          <w:sz w:val="20"/>
          <w:szCs w:val="20"/>
          <w:lang w:val="es-CR"/>
        </w:rPr>
        <w:t>desempeñ</w:t>
      </w:r>
      <w:proofErr w:type="spellEnd"/>
      <w:r>
        <w:rPr>
          <w:rFonts w:ascii="Verdana" w:hAnsi="Verdana" w:cs="Verdana"/>
          <w:sz w:val="20"/>
          <w:szCs w:val="20"/>
          <w:lang w:val="es-CR"/>
        </w:rPr>
        <w:t xml:space="preserve">[a] con conciencia las labores propias de un comunicador social y </w:t>
      </w:r>
      <w:proofErr w:type="spellStart"/>
      <w:r>
        <w:rPr>
          <w:rFonts w:ascii="Verdana" w:hAnsi="Verdana" w:cs="Verdana"/>
          <w:sz w:val="20"/>
          <w:szCs w:val="20"/>
          <w:lang w:val="es-CR"/>
        </w:rPr>
        <w:t>dej</w:t>
      </w:r>
      <w:proofErr w:type="spellEnd"/>
      <w:r>
        <w:rPr>
          <w:rFonts w:ascii="Verdana" w:hAnsi="Verdana" w:cs="Verdana"/>
          <w:sz w:val="20"/>
          <w:szCs w:val="20"/>
          <w:lang w:val="es-CR"/>
        </w:rPr>
        <w:t xml:space="preserve">[a] constancia que, ni en el pasado ni en el presente, ninguno de los distintos jefes directos que h[a] tenido [le] han solicitado afiliación política para desempeñar el ejercicio ético del periodismo en prensa, radio o televisión, así como el desempeño como docente o investigadora”. Añadió que “el hecho de trabajar para el Estado venezolano no es </w:t>
      </w:r>
      <w:r w:rsidRPr="00FF16C6">
        <w:rPr>
          <w:rFonts w:ascii="Verdana" w:hAnsi="Verdana" w:cs="Verdana"/>
          <w:sz w:val="20"/>
          <w:szCs w:val="20"/>
          <w:lang w:val="es-CR"/>
        </w:rPr>
        <w:t>impedimento para aportar desde la experiencia y con 27 años dentro de la carrera funcional participar como testigo”.</w:t>
      </w:r>
    </w:p>
    <w:p w:rsidR="00B65CD9" w:rsidRPr="00FF16C6" w:rsidRDefault="00B65CD9" w:rsidP="00B65CD9">
      <w:pPr>
        <w:rPr>
          <w:rFonts w:ascii="Verdana" w:hAnsi="Verdana" w:cs="Verdana"/>
          <w:b/>
          <w:sz w:val="20"/>
          <w:szCs w:val="20"/>
          <w:lang w:val="es-CR"/>
        </w:rPr>
      </w:pPr>
    </w:p>
    <w:p w:rsidR="00B65CD9" w:rsidRPr="00FF16C6" w:rsidRDefault="00B65CD9" w:rsidP="00B65CD9">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sidRPr="00FF16C6">
        <w:rPr>
          <w:rFonts w:ascii="Verdana" w:hAnsi="Verdana" w:cs="Verdana"/>
          <w:sz w:val="20"/>
          <w:szCs w:val="20"/>
          <w:lang w:val="es-CR"/>
        </w:rPr>
        <w:t xml:space="preserve">Esta Presidencia reitera que el hecho de ejercer la función pública no implica inmediatamente que se afecte la imparcialidad del perito, por lo que se debe realizar el análisis del impacto que el cargo pueda tener. Al respecto, del </w:t>
      </w:r>
      <w:proofErr w:type="spellStart"/>
      <w:r w:rsidRPr="00FF16C6">
        <w:rPr>
          <w:rFonts w:ascii="Verdana" w:hAnsi="Verdana" w:cs="Verdana"/>
          <w:i/>
          <w:sz w:val="20"/>
          <w:szCs w:val="20"/>
          <w:lang w:val="es-CR"/>
        </w:rPr>
        <w:t>curriculum</w:t>
      </w:r>
      <w:proofErr w:type="spellEnd"/>
      <w:r w:rsidRPr="00FF16C6">
        <w:rPr>
          <w:rFonts w:ascii="Verdana" w:hAnsi="Verdana" w:cs="Verdana"/>
          <w:sz w:val="20"/>
          <w:szCs w:val="20"/>
          <w:lang w:val="es-CR"/>
        </w:rPr>
        <w:t xml:space="preserve"> de la señora Hernández se observa que trabajó desde septiembre de 2007 hasta febrero de 2008 como coordinadora de programas especiales en la Fundación Televisora Venezolana Social (TVES)</w:t>
      </w:r>
      <w:r w:rsidRPr="00FF16C6">
        <w:rPr>
          <w:rStyle w:val="Refdenotaalpie"/>
          <w:rFonts w:ascii="Verdana" w:hAnsi="Verdana" w:cs="Verdana"/>
          <w:sz w:val="20"/>
          <w:szCs w:val="20"/>
          <w:lang w:val="es-CR"/>
        </w:rPr>
        <w:footnoteReference w:id="22"/>
      </w:r>
      <w:r w:rsidRPr="00FF16C6">
        <w:rPr>
          <w:rFonts w:ascii="Verdana" w:hAnsi="Verdana" w:cs="Verdana"/>
          <w:sz w:val="20"/>
          <w:szCs w:val="20"/>
          <w:lang w:val="es-CR"/>
        </w:rPr>
        <w:t xml:space="preserve">. En el informe de fondo remitido por la Comisión Interamericana se manifiesta que la </w:t>
      </w:r>
      <w:r w:rsidRPr="00FF16C6">
        <w:rPr>
          <w:rFonts w:ascii="Verdana" w:hAnsi="Verdana"/>
          <w:sz w:val="20"/>
          <w:szCs w:val="20"/>
          <w:lang w:val="es-CL"/>
        </w:rPr>
        <w:t>concesión habría sido entregada a la Televisora Venezolana Social (</w:t>
      </w:r>
      <w:proofErr w:type="spellStart"/>
      <w:r w:rsidRPr="00FF16C6">
        <w:rPr>
          <w:rFonts w:ascii="Verdana" w:hAnsi="Verdana"/>
          <w:sz w:val="20"/>
          <w:szCs w:val="20"/>
          <w:lang w:val="es-CL"/>
        </w:rPr>
        <w:t>TVes</w:t>
      </w:r>
      <w:proofErr w:type="spellEnd"/>
      <w:r w:rsidRPr="00FF16C6">
        <w:rPr>
          <w:rFonts w:ascii="Verdana" w:hAnsi="Verdana"/>
          <w:sz w:val="20"/>
          <w:szCs w:val="20"/>
          <w:lang w:val="es-CL"/>
        </w:rPr>
        <w:t>) y se indica que e</w:t>
      </w:r>
      <w:r w:rsidRPr="00FF16C6">
        <w:rPr>
          <w:rFonts w:ascii="Verdana" w:hAnsi="Verdana"/>
          <w:sz w:val="20"/>
          <w:szCs w:val="20"/>
        </w:rPr>
        <w:t xml:space="preserve">l Estado habría señalado que “resulta falso que dichos equipos se han dañado en manos del Estado, ya que a través de los mismos se están realizando actualmente las transmisiones de la Televisora Venezolana Social”. </w:t>
      </w:r>
      <w:r w:rsidRPr="00FF16C6">
        <w:rPr>
          <w:rFonts w:ascii="Verdana" w:hAnsi="Verdana" w:cs="Verdana"/>
          <w:sz w:val="20"/>
          <w:szCs w:val="20"/>
          <w:lang w:bidi="en-US"/>
        </w:rPr>
        <w:t xml:space="preserve">En este sentido, </w:t>
      </w:r>
      <w:r w:rsidR="00785D0A" w:rsidRPr="00FF16C6">
        <w:rPr>
          <w:rFonts w:ascii="Verdana" w:hAnsi="Verdana" w:cs="Verdana"/>
          <w:sz w:val="20"/>
          <w:szCs w:val="20"/>
          <w:lang w:bidi="en-US"/>
        </w:rPr>
        <w:t xml:space="preserve">se podría estar ante una relación de subordinación con la entidad estatal que tendría interés directo en el caso siendo aplicable lo establecido en el artículo 48.1.f del Reglamento de la Corte por lo que no es pertinente convocarla como perita. </w:t>
      </w:r>
    </w:p>
    <w:p w:rsidR="00B65CD9" w:rsidRDefault="00B65CD9" w:rsidP="00B65CD9">
      <w:pPr>
        <w:pStyle w:val="Prrafodelista"/>
        <w:tabs>
          <w:tab w:val="left" w:pos="567"/>
        </w:tabs>
        <w:autoSpaceDE w:val="0"/>
        <w:autoSpaceDN w:val="0"/>
        <w:adjustRightInd w:val="0"/>
        <w:ind w:left="0"/>
        <w:jc w:val="both"/>
        <w:rPr>
          <w:rFonts w:ascii="Verdana" w:hAnsi="Verdana" w:cs="Verdana"/>
          <w:b/>
          <w:sz w:val="20"/>
          <w:szCs w:val="20"/>
          <w:lang w:val="es-CR"/>
        </w:rPr>
      </w:pPr>
    </w:p>
    <w:p w:rsidR="00B65CD9" w:rsidRPr="007B0D5A" w:rsidRDefault="00FF16C6" w:rsidP="00B65CD9">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lang w:val="es-CR" w:bidi="en-US"/>
        </w:rPr>
        <w:t>Teniendo en cuenta lo anterior</w:t>
      </w:r>
      <w:r w:rsidR="00B65CD9">
        <w:rPr>
          <w:rFonts w:ascii="Verdana" w:hAnsi="Verdana" w:cs="Verdana"/>
          <w:sz w:val="20"/>
          <w:szCs w:val="20"/>
          <w:lang w:val="es-CR" w:bidi="en-US"/>
        </w:rPr>
        <w:t xml:space="preserve">, </w:t>
      </w:r>
      <w:r w:rsidR="00B65CD9">
        <w:rPr>
          <w:rFonts w:ascii="Verdana" w:hAnsi="Verdana" w:cs="Verdana"/>
          <w:sz w:val="20"/>
          <w:szCs w:val="20"/>
          <w:lang w:bidi="en-US"/>
        </w:rPr>
        <w:t>l</w:t>
      </w:r>
      <w:r w:rsidR="00B65CD9" w:rsidRPr="007B0D5A">
        <w:rPr>
          <w:rFonts w:ascii="Verdana" w:hAnsi="Verdana" w:cs="Verdana"/>
          <w:sz w:val="20"/>
          <w:szCs w:val="20"/>
          <w:lang w:bidi="en-US"/>
        </w:rPr>
        <w:t xml:space="preserve">a Presidencia </w:t>
      </w:r>
      <w:r w:rsidR="00B65CD9">
        <w:rPr>
          <w:rFonts w:ascii="Verdana" w:hAnsi="Verdana" w:cs="Verdana"/>
          <w:sz w:val="20"/>
          <w:szCs w:val="20"/>
          <w:lang w:bidi="en-US"/>
        </w:rPr>
        <w:t>considera</w:t>
      </w:r>
      <w:r w:rsidR="00B65CD9" w:rsidRPr="007B0D5A">
        <w:rPr>
          <w:rFonts w:ascii="Verdana" w:hAnsi="Verdana" w:cs="Verdana"/>
          <w:sz w:val="20"/>
          <w:szCs w:val="20"/>
          <w:lang w:bidi="en-US"/>
        </w:rPr>
        <w:t xml:space="preserve"> pertinente recibir su declaración a título informativo, dado la experiencia </w:t>
      </w:r>
      <w:r w:rsidR="00B65CD9">
        <w:rPr>
          <w:rFonts w:ascii="Verdana" w:hAnsi="Verdana" w:cs="Verdana"/>
          <w:sz w:val="20"/>
          <w:szCs w:val="20"/>
          <w:lang w:bidi="en-US"/>
        </w:rPr>
        <w:t>de la señora Hernández</w:t>
      </w:r>
      <w:r w:rsidR="00B65CD9" w:rsidRPr="007B0D5A">
        <w:rPr>
          <w:rFonts w:ascii="Verdana" w:hAnsi="Verdana" w:cs="Verdana"/>
          <w:sz w:val="20"/>
          <w:szCs w:val="20"/>
          <w:lang w:bidi="en-US"/>
        </w:rPr>
        <w:t xml:space="preserve"> sobre el tema. El objeto de su declaración como declarante a título informativo será definido en la parte resolutiva de esta Resolución, a efectos de que el Tribunal pueda apreciar su valor en la debida oportunidad, dentro del contexto del acervo probatorio existente y según las reglas de la sana crítica. </w:t>
      </w:r>
    </w:p>
    <w:p w:rsidR="00B65CD9" w:rsidRPr="00B65CD9" w:rsidRDefault="00B65CD9" w:rsidP="00B65CD9">
      <w:pPr>
        <w:tabs>
          <w:tab w:val="left" w:pos="567"/>
        </w:tabs>
        <w:autoSpaceDE w:val="0"/>
        <w:autoSpaceDN w:val="0"/>
        <w:adjustRightInd w:val="0"/>
        <w:jc w:val="both"/>
        <w:rPr>
          <w:rFonts w:ascii="Verdana" w:hAnsi="Verdana" w:cs="Verdana"/>
          <w:b/>
          <w:sz w:val="20"/>
          <w:szCs w:val="20"/>
          <w:lang w:val="es-CR"/>
        </w:rPr>
      </w:pPr>
    </w:p>
    <w:p w:rsidR="00B65CD9" w:rsidRPr="00B65CD9" w:rsidRDefault="00B65CD9" w:rsidP="009938F4">
      <w:pPr>
        <w:pStyle w:val="Prrafodelista"/>
        <w:numPr>
          <w:ilvl w:val="0"/>
          <w:numId w:val="35"/>
        </w:numPr>
        <w:tabs>
          <w:tab w:val="left" w:pos="567"/>
        </w:tabs>
        <w:autoSpaceDE w:val="0"/>
        <w:autoSpaceDN w:val="0"/>
        <w:adjustRightInd w:val="0"/>
        <w:jc w:val="both"/>
        <w:rPr>
          <w:rFonts w:ascii="Verdana" w:hAnsi="Verdana" w:cs="Verdana"/>
          <w:b/>
          <w:sz w:val="20"/>
          <w:szCs w:val="20"/>
          <w:lang w:val="es-CR"/>
        </w:rPr>
      </w:pPr>
      <w:r w:rsidRPr="00B65CD9">
        <w:rPr>
          <w:rFonts w:ascii="Verdana" w:hAnsi="Verdana" w:cs="Verdana"/>
          <w:b/>
          <w:sz w:val="20"/>
          <w:szCs w:val="20"/>
          <w:lang w:val="es-CR"/>
        </w:rPr>
        <w:t>Francisco Artigas Pérez</w:t>
      </w:r>
    </w:p>
    <w:p w:rsidR="00B65CD9" w:rsidRPr="00B57A80" w:rsidRDefault="00B65CD9" w:rsidP="00B65CD9">
      <w:pPr>
        <w:pStyle w:val="Prrafodelista"/>
        <w:tabs>
          <w:tab w:val="left" w:pos="567"/>
        </w:tabs>
        <w:autoSpaceDE w:val="0"/>
        <w:autoSpaceDN w:val="0"/>
        <w:adjustRightInd w:val="0"/>
        <w:ind w:left="0"/>
        <w:jc w:val="both"/>
        <w:rPr>
          <w:rFonts w:ascii="Verdana" w:hAnsi="Verdana" w:cs="Verdana"/>
          <w:b/>
          <w:sz w:val="20"/>
          <w:szCs w:val="20"/>
          <w:lang w:val="es-CR"/>
        </w:rPr>
      </w:pPr>
    </w:p>
    <w:p w:rsidR="00B65CD9" w:rsidRDefault="005D67FA" w:rsidP="00B65CD9">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Pr>
          <w:rFonts w:ascii="Verdana" w:hAnsi="Verdana" w:cs="Verdana"/>
          <w:sz w:val="20"/>
          <w:szCs w:val="20"/>
          <w:lang w:val="es-CR" w:bidi="en-US"/>
        </w:rPr>
        <w:t xml:space="preserve">Los representantes alegaron que </w:t>
      </w:r>
      <w:r w:rsidR="000073D2">
        <w:rPr>
          <w:rFonts w:ascii="Verdana" w:hAnsi="Verdana" w:cs="Verdana"/>
          <w:sz w:val="20"/>
          <w:szCs w:val="20"/>
          <w:lang w:val="es-CR" w:bidi="en-US"/>
        </w:rPr>
        <w:t xml:space="preserve">el señor Artigas “ha desempeñado múltiples cargos”, pero que “ninguno de ellos es credencial de ‘especial saber o experiencia’ sobre la materia en base a la cual rendirá su declaración, es decir, sobre ‘los proceso de democratización y acceso a los medios de comunicación social como garantía de la libertad de expresión’”, por lo que concluyeron que sería “una declaración impertinente para el objeto de la prueba y para este proceso […] al no ser el medio idóneo para brindar información suficiente y creíble”. Por otra parte, los representantes indicaron que el señor Artigas “en la actualidad […] se desempeña como juez suplente del Tribunal Disciplinario </w:t>
      </w:r>
      <w:proofErr w:type="gramStart"/>
      <w:r w:rsidR="000073D2">
        <w:rPr>
          <w:rFonts w:ascii="Verdana" w:hAnsi="Verdana" w:cs="Verdana"/>
          <w:sz w:val="20"/>
          <w:szCs w:val="20"/>
          <w:lang w:val="es-CR" w:bidi="en-US"/>
        </w:rPr>
        <w:t>Judicial[</w:t>
      </w:r>
      <w:proofErr w:type="gramEnd"/>
      <w:r w:rsidR="000073D2">
        <w:rPr>
          <w:rFonts w:ascii="Verdana" w:hAnsi="Verdana" w:cs="Verdana"/>
          <w:sz w:val="20"/>
          <w:szCs w:val="20"/>
          <w:lang w:val="es-CR" w:bidi="en-US"/>
        </w:rPr>
        <w:t>…], información [que] no [habría sido] incluida en su síntesis curricular, pero que aporta</w:t>
      </w:r>
      <w:r w:rsidR="00C64F91">
        <w:rPr>
          <w:rFonts w:ascii="Verdana" w:hAnsi="Verdana" w:cs="Verdana"/>
          <w:sz w:val="20"/>
          <w:szCs w:val="20"/>
          <w:lang w:val="es-CR" w:bidi="en-US"/>
        </w:rPr>
        <w:t xml:space="preserve"> al argumento de su impertinencia como perito</w:t>
      </w:r>
      <w:r w:rsidR="000073D2">
        <w:rPr>
          <w:rFonts w:ascii="Verdana" w:hAnsi="Verdana" w:cs="Verdana"/>
          <w:sz w:val="20"/>
          <w:szCs w:val="20"/>
          <w:lang w:val="es-CR" w:bidi="en-US"/>
        </w:rPr>
        <w:t>”</w:t>
      </w:r>
      <w:r w:rsidR="00C64F91">
        <w:rPr>
          <w:rFonts w:ascii="Verdana" w:hAnsi="Verdana" w:cs="Verdana"/>
          <w:sz w:val="20"/>
          <w:szCs w:val="20"/>
          <w:lang w:val="es-CR" w:bidi="en-US"/>
        </w:rPr>
        <w:t xml:space="preserve">. Por último, agregaron que “el perito se ha desempeñado en cargos de confianza y donde existe subordinación hacía el gobierno de Venezuela”. </w:t>
      </w:r>
    </w:p>
    <w:p w:rsidR="00027F3F" w:rsidRPr="00744B2B" w:rsidRDefault="00027F3F" w:rsidP="00027F3F">
      <w:pPr>
        <w:pStyle w:val="Prrafodelista"/>
        <w:tabs>
          <w:tab w:val="left" w:pos="567"/>
        </w:tabs>
        <w:autoSpaceDE w:val="0"/>
        <w:autoSpaceDN w:val="0"/>
        <w:adjustRightInd w:val="0"/>
        <w:ind w:left="0"/>
        <w:jc w:val="both"/>
        <w:rPr>
          <w:rFonts w:ascii="Verdana" w:hAnsi="Verdana" w:cs="Verdana"/>
          <w:sz w:val="20"/>
          <w:szCs w:val="20"/>
          <w:lang w:val="es-CR"/>
        </w:rPr>
      </w:pPr>
    </w:p>
    <w:p w:rsidR="00AF721B" w:rsidRPr="00744B2B" w:rsidRDefault="00027F3F" w:rsidP="00AF721B">
      <w:pPr>
        <w:pStyle w:val="Prrafodelista"/>
        <w:numPr>
          <w:ilvl w:val="0"/>
          <w:numId w:val="30"/>
        </w:numPr>
        <w:tabs>
          <w:tab w:val="left" w:pos="567"/>
        </w:tabs>
        <w:autoSpaceDE w:val="0"/>
        <w:autoSpaceDN w:val="0"/>
        <w:adjustRightInd w:val="0"/>
        <w:jc w:val="both"/>
        <w:rPr>
          <w:rFonts w:ascii="Verdana" w:hAnsi="Verdana" w:cs="Verdana"/>
          <w:sz w:val="20"/>
          <w:szCs w:val="20"/>
          <w:lang w:val="es-CR"/>
        </w:rPr>
      </w:pPr>
      <w:r w:rsidRPr="00744B2B">
        <w:rPr>
          <w:rFonts w:ascii="Verdana" w:hAnsi="Verdana" w:cs="Verdana"/>
          <w:sz w:val="20"/>
          <w:szCs w:val="20"/>
          <w:lang w:val="es-CR"/>
        </w:rPr>
        <w:t xml:space="preserve">El señor Artigas manifestó que </w:t>
      </w:r>
      <w:r w:rsidR="00744B2B" w:rsidRPr="00744B2B">
        <w:rPr>
          <w:rFonts w:ascii="Verdana" w:hAnsi="Verdana" w:cs="Verdana"/>
          <w:sz w:val="20"/>
          <w:szCs w:val="20"/>
          <w:lang w:val="es-CR"/>
        </w:rPr>
        <w:t>“</w:t>
      </w:r>
      <w:r w:rsidR="00AF721B" w:rsidRPr="00744B2B">
        <w:rPr>
          <w:rFonts w:ascii="Verdana" w:eastAsia="Calibri" w:hAnsi="Verdana" w:cs="Arial"/>
          <w:sz w:val="20"/>
          <w:szCs w:val="20"/>
          <w:lang w:val="es-CR" w:eastAsia="en-US"/>
        </w:rPr>
        <w:t>debió</w:t>
      </w:r>
      <w:r w:rsidR="00744B2B" w:rsidRPr="00744B2B">
        <w:rPr>
          <w:rFonts w:ascii="Verdana" w:eastAsia="Calibri" w:hAnsi="Verdana" w:cs="Arial"/>
          <w:sz w:val="20"/>
          <w:szCs w:val="20"/>
          <w:lang w:val="es-CR" w:eastAsia="en-US"/>
        </w:rPr>
        <w:t xml:space="preserve"> hacerse el </w:t>
      </w:r>
      <w:r w:rsidR="00AF721B" w:rsidRPr="00744B2B">
        <w:rPr>
          <w:rFonts w:ascii="Verdana" w:eastAsia="Calibri" w:hAnsi="Verdana" w:cs="Arial"/>
          <w:sz w:val="20"/>
          <w:szCs w:val="20"/>
          <w:lang w:val="es-CR" w:eastAsia="en-US"/>
        </w:rPr>
        <w:t xml:space="preserve">análisis integral de </w:t>
      </w:r>
      <w:r w:rsidR="00744B2B" w:rsidRPr="00744B2B">
        <w:rPr>
          <w:rFonts w:ascii="Verdana" w:eastAsia="Calibri" w:hAnsi="Verdana" w:cs="Arial"/>
          <w:sz w:val="20"/>
          <w:szCs w:val="20"/>
          <w:lang w:val="es-CR" w:eastAsia="en-US"/>
        </w:rPr>
        <w:t xml:space="preserve">[su </w:t>
      </w:r>
      <w:proofErr w:type="spellStart"/>
      <w:r w:rsidR="00744B2B" w:rsidRPr="00A56FF9">
        <w:rPr>
          <w:rFonts w:ascii="Verdana" w:eastAsia="Calibri" w:hAnsi="Verdana" w:cs="Arial"/>
          <w:i/>
          <w:sz w:val="20"/>
          <w:szCs w:val="20"/>
          <w:lang w:val="es-CR" w:eastAsia="en-US"/>
        </w:rPr>
        <w:t>curriculum</w:t>
      </w:r>
      <w:proofErr w:type="spellEnd"/>
      <w:r w:rsidR="00744B2B" w:rsidRPr="00744B2B">
        <w:rPr>
          <w:rFonts w:ascii="Verdana" w:eastAsia="Calibri" w:hAnsi="Verdana" w:cs="Arial"/>
          <w:sz w:val="20"/>
          <w:szCs w:val="20"/>
          <w:lang w:val="es-CR" w:eastAsia="en-US"/>
        </w:rPr>
        <w:t>]</w:t>
      </w:r>
      <w:r w:rsidR="00AF721B" w:rsidRPr="00744B2B">
        <w:rPr>
          <w:rFonts w:ascii="Verdana" w:eastAsia="Calibri" w:hAnsi="Verdana" w:cs="Arial"/>
          <w:sz w:val="20"/>
          <w:szCs w:val="20"/>
          <w:lang w:val="es-CR" w:eastAsia="en-US"/>
        </w:rPr>
        <w:t>, es decir, debió</w:t>
      </w:r>
      <w:r w:rsidR="00744B2B" w:rsidRPr="00744B2B">
        <w:rPr>
          <w:rFonts w:ascii="Verdana" w:eastAsia="Calibri" w:hAnsi="Verdana" w:cs="Arial"/>
          <w:sz w:val="20"/>
          <w:szCs w:val="20"/>
          <w:lang w:val="es-CR" w:eastAsia="en-US"/>
        </w:rPr>
        <w:t xml:space="preserve"> observarse toda la carrera que como servidor público h[a]</w:t>
      </w:r>
      <w:r w:rsidR="00AF721B" w:rsidRPr="00744B2B">
        <w:rPr>
          <w:rFonts w:ascii="Verdana" w:eastAsia="Calibri" w:hAnsi="Verdana" w:cs="Arial"/>
          <w:sz w:val="20"/>
          <w:szCs w:val="20"/>
          <w:lang w:val="es-CR" w:eastAsia="en-US"/>
        </w:rPr>
        <w:t xml:space="preserve"> desempeñado, entre o</w:t>
      </w:r>
      <w:r w:rsidR="00744B2B" w:rsidRPr="00744B2B">
        <w:rPr>
          <w:rFonts w:ascii="Verdana" w:eastAsia="Calibri" w:hAnsi="Verdana" w:cs="Arial"/>
          <w:sz w:val="20"/>
          <w:szCs w:val="20"/>
          <w:lang w:val="es-CR" w:eastAsia="en-US"/>
        </w:rPr>
        <w:t>tras y que no fueron enumeradas por los recurrentes, [su]</w:t>
      </w:r>
      <w:r w:rsidR="00AF721B" w:rsidRPr="00744B2B">
        <w:rPr>
          <w:rFonts w:ascii="Verdana" w:eastAsia="Calibri" w:hAnsi="Verdana" w:cs="Arial"/>
          <w:sz w:val="20"/>
          <w:szCs w:val="20"/>
          <w:lang w:val="es-CR" w:eastAsia="en-US"/>
        </w:rPr>
        <w:t xml:space="preserve"> condición de Funcionario d</w:t>
      </w:r>
      <w:r w:rsidR="00744B2B" w:rsidRPr="00744B2B">
        <w:rPr>
          <w:rFonts w:ascii="Verdana" w:eastAsia="Calibri" w:hAnsi="Verdana" w:cs="Arial"/>
          <w:sz w:val="20"/>
          <w:szCs w:val="20"/>
          <w:lang w:val="es-CR" w:eastAsia="en-US"/>
        </w:rPr>
        <w:t xml:space="preserve">el Metro de Caracas por espacio </w:t>
      </w:r>
      <w:r w:rsidR="00AF721B" w:rsidRPr="00744B2B">
        <w:rPr>
          <w:rFonts w:ascii="Verdana" w:eastAsia="Calibri" w:hAnsi="Verdana" w:cs="Arial"/>
          <w:sz w:val="20"/>
          <w:szCs w:val="20"/>
          <w:lang w:val="es-CR" w:eastAsia="en-US"/>
        </w:rPr>
        <w:t xml:space="preserve">de tiempo de más de 16 años, además, debió </w:t>
      </w:r>
      <w:r w:rsidR="00744B2B" w:rsidRPr="00744B2B">
        <w:rPr>
          <w:rFonts w:ascii="Verdana" w:eastAsia="Calibri" w:hAnsi="Verdana" w:cs="Arial"/>
          <w:sz w:val="20"/>
          <w:szCs w:val="20"/>
          <w:lang w:val="es-CR" w:eastAsia="en-US"/>
        </w:rPr>
        <w:t xml:space="preserve">hacerse referencia a la carrera </w:t>
      </w:r>
      <w:r w:rsidR="00AF721B" w:rsidRPr="00744B2B">
        <w:rPr>
          <w:rFonts w:ascii="Verdana" w:eastAsia="Calibri" w:hAnsi="Verdana" w:cs="Arial"/>
          <w:sz w:val="20"/>
          <w:szCs w:val="20"/>
          <w:lang w:val="es-CR" w:eastAsia="en-US"/>
        </w:rPr>
        <w:t>profesional de abogado y al ejercicio que como liti</w:t>
      </w:r>
      <w:r w:rsidR="00744B2B" w:rsidRPr="00744B2B">
        <w:rPr>
          <w:rFonts w:ascii="Verdana" w:eastAsia="Calibri" w:hAnsi="Verdana" w:cs="Arial"/>
          <w:sz w:val="20"/>
          <w:szCs w:val="20"/>
          <w:lang w:val="es-CR" w:eastAsia="en-US"/>
        </w:rPr>
        <w:t>gante h</w:t>
      </w:r>
      <w:r w:rsidR="00364754">
        <w:rPr>
          <w:rFonts w:ascii="Verdana" w:eastAsia="Calibri" w:hAnsi="Verdana" w:cs="Arial"/>
          <w:sz w:val="20"/>
          <w:szCs w:val="20"/>
          <w:lang w:val="es-CR" w:eastAsia="en-US"/>
        </w:rPr>
        <w:t>[a]</w:t>
      </w:r>
      <w:r w:rsidR="00744B2B" w:rsidRPr="00744B2B">
        <w:rPr>
          <w:rFonts w:ascii="Verdana" w:eastAsia="Calibri" w:hAnsi="Verdana" w:cs="Arial"/>
          <w:sz w:val="20"/>
          <w:szCs w:val="20"/>
          <w:lang w:val="es-CR" w:eastAsia="en-US"/>
        </w:rPr>
        <w:t xml:space="preserve"> realizado y de miembro </w:t>
      </w:r>
      <w:r w:rsidR="00AF721B" w:rsidRPr="00744B2B">
        <w:rPr>
          <w:rFonts w:ascii="Verdana" w:eastAsia="Calibri" w:hAnsi="Verdana" w:cs="Arial"/>
          <w:sz w:val="20"/>
          <w:szCs w:val="20"/>
          <w:lang w:val="es-CR" w:eastAsia="en-US"/>
        </w:rPr>
        <w:t>del CODECON Organi</w:t>
      </w:r>
      <w:r w:rsidR="00744B2B" w:rsidRPr="00744B2B">
        <w:rPr>
          <w:rFonts w:ascii="Verdana" w:eastAsia="Calibri" w:hAnsi="Verdana" w:cs="Arial"/>
          <w:sz w:val="20"/>
          <w:szCs w:val="20"/>
          <w:lang w:val="es-CR" w:eastAsia="en-US"/>
        </w:rPr>
        <w:t xml:space="preserve">zación Civil sin fines de lucro”. Agregó que </w:t>
      </w:r>
      <w:r w:rsidR="00744B2B" w:rsidRPr="00744B2B">
        <w:rPr>
          <w:rFonts w:ascii="Verdana" w:eastAsia="Calibri" w:hAnsi="Verdana" w:cs="Arial"/>
          <w:sz w:val="20"/>
          <w:szCs w:val="20"/>
          <w:lang w:val="es-CR" w:eastAsia="en-US"/>
        </w:rPr>
        <w:lastRenderedPageBreak/>
        <w:t>“</w:t>
      </w:r>
      <w:r w:rsidR="00AF721B" w:rsidRPr="00744B2B">
        <w:rPr>
          <w:rFonts w:ascii="Verdana" w:eastAsia="Calibri" w:hAnsi="Verdana" w:cs="Arial"/>
          <w:sz w:val="20"/>
          <w:szCs w:val="20"/>
          <w:lang w:val="es-CR" w:eastAsia="en-US"/>
        </w:rPr>
        <w:t>es impo</w:t>
      </w:r>
      <w:r w:rsidR="00744B2B" w:rsidRPr="00744B2B">
        <w:rPr>
          <w:rFonts w:ascii="Verdana" w:eastAsia="Calibri" w:hAnsi="Verdana" w:cs="Arial"/>
          <w:sz w:val="20"/>
          <w:szCs w:val="20"/>
          <w:lang w:val="es-CR" w:eastAsia="en-US"/>
        </w:rPr>
        <w:t xml:space="preserve">rtante destacar que la presunta </w:t>
      </w:r>
      <w:r w:rsidR="00AF721B" w:rsidRPr="00744B2B">
        <w:rPr>
          <w:rFonts w:ascii="Verdana" w:eastAsia="Calibri" w:hAnsi="Verdana" w:cs="Arial"/>
          <w:sz w:val="20"/>
          <w:szCs w:val="20"/>
          <w:lang w:val="es-CR" w:eastAsia="en-US"/>
        </w:rPr>
        <w:t>e infundada carencia de conocimientos no está pre</w:t>
      </w:r>
      <w:r w:rsidR="00744B2B" w:rsidRPr="00744B2B">
        <w:rPr>
          <w:rFonts w:ascii="Verdana" w:eastAsia="Calibri" w:hAnsi="Verdana" w:cs="Arial"/>
          <w:sz w:val="20"/>
          <w:szCs w:val="20"/>
          <w:lang w:val="es-CR" w:eastAsia="en-US"/>
        </w:rPr>
        <w:t xml:space="preserve">vista como causal de recusación </w:t>
      </w:r>
      <w:r w:rsidR="00AF721B" w:rsidRPr="00744B2B">
        <w:rPr>
          <w:rFonts w:ascii="Verdana" w:eastAsia="Calibri" w:hAnsi="Verdana" w:cs="Arial"/>
          <w:sz w:val="20"/>
          <w:szCs w:val="20"/>
          <w:lang w:val="es-CR" w:eastAsia="en-US"/>
        </w:rPr>
        <w:t xml:space="preserve">ni en el Reglamento ni en el estatuto de la Corte Interamericana </w:t>
      </w:r>
      <w:r w:rsidR="00744B2B" w:rsidRPr="00744B2B">
        <w:rPr>
          <w:rFonts w:ascii="Verdana" w:eastAsia="Calibri" w:hAnsi="Verdana" w:cs="Arial"/>
          <w:sz w:val="20"/>
          <w:szCs w:val="20"/>
          <w:lang w:val="es-CR" w:eastAsia="en-US"/>
        </w:rPr>
        <w:t>[…]</w:t>
      </w:r>
      <w:r w:rsidR="00AF721B" w:rsidRPr="00744B2B">
        <w:rPr>
          <w:rFonts w:ascii="Verdana" w:eastAsia="Calibri" w:hAnsi="Verdana" w:cs="Arial"/>
          <w:sz w:val="20"/>
          <w:szCs w:val="20"/>
          <w:lang w:val="es-CR" w:eastAsia="en-US"/>
        </w:rPr>
        <w:t>, motivo por el cual con el debido</w:t>
      </w:r>
      <w:r w:rsidR="00364754">
        <w:rPr>
          <w:rFonts w:ascii="Verdana" w:eastAsia="Calibri" w:hAnsi="Verdana" w:cs="Arial"/>
          <w:sz w:val="20"/>
          <w:szCs w:val="20"/>
          <w:lang w:val="es-CR" w:eastAsia="en-US"/>
        </w:rPr>
        <w:t xml:space="preserve"> respeto y acatamiento, </w:t>
      </w:r>
      <w:proofErr w:type="spellStart"/>
      <w:r w:rsidR="00364754">
        <w:rPr>
          <w:rFonts w:ascii="Verdana" w:eastAsia="Calibri" w:hAnsi="Verdana" w:cs="Arial"/>
          <w:sz w:val="20"/>
          <w:szCs w:val="20"/>
          <w:lang w:val="es-CR" w:eastAsia="en-US"/>
        </w:rPr>
        <w:t>solicit</w:t>
      </w:r>
      <w:proofErr w:type="spellEnd"/>
      <w:r w:rsidR="00364754">
        <w:rPr>
          <w:rFonts w:ascii="Verdana" w:eastAsia="Calibri" w:hAnsi="Verdana" w:cs="Arial"/>
          <w:sz w:val="20"/>
          <w:szCs w:val="20"/>
          <w:lang w:val="es-CR" w:eastAsia="en-US"/>
        </w:rPr>
        <w:t>[</w:t>
      </w:r>
      <w:proofErr w:type="spellStart"/>
      <w:r w:rsidR="00364754">
        <w:rPr>
          <w:rFonts w:ascii="Verdana" w:eastAsia="Calibri" w:hAnsi="Verdana" w:cs="Arial"/>
          <w:sz w:val="20"/>
          <w:szCs w:val="20"/>
          <w:lang w:val="es-CR" w:eastAsia="en-US"/>
        </w:rPr>
        <w:t>ó</w:t>
      </w:r>
      <w:proofErr w:type="spellEnd"/>
      <w:r w:rsidR="00364754">
        <w:rPr>
          <w:rFonts w:ascii="Verdana" w:eastAsia="Calibri" w:hAnsi="Verdana" w:cs="Arial"/>
          <w:sz w:val="20"/>
          <w:szCs w:val="20"/>
          <w:lang w:val="es-CR" w:eastAsia="en-US"/>
        </w:rPr>
        <w:t>]</w:t>
      </w:r>
      <w:r w:rsidR="00AF721B" w:rsidRPr="00744B2B">
        <w:rPr>
          <w:rFonts w:ascii="Verdana" w:eastAsia="Calibri" w:hAnsi="Verdana" w:cs="Arial"/>
          <w:sz w:val="20"/>
          <w:szCs w:val="20"/>
          <w:lang w:val="es-CR" w:eastAsia="en-US"/>
        </w:rPr>
        <w:t xml:space="preserve"> que tal</w:t>
      </w:r>
      <w:r w:rsidR="00744B2B" w:rsidRPr="00744B2B">
        <w:rPr>
          <w:rFonts w:ascii="Verdana" w:eastAsia="Calibri" w:hAnsi="Verdana" w:cs="Arial"/>
          <w:sz w:val="20"/>
          <w:szCs w:val="20"/>
          <w:lang w:val="es-CR" w:eastAsia="en-US"/>
        </w:rPr>
        <w:t xml:space="preserve"> </w:t>
      </w:r>
      <w:r w:rsidR="00AF721B" w:rsidRPr="00744B2B">
        <w:rPr>
          <w:rFonts w:ascii="Verdana" w:eastAsia="Calibri" w:hAnsi="Verdana" w:cs="Arial"/>
          <w:sz w:val="20"/>
          <w:szCs w:val="20"/>
          <w:lang w:val="es-CR" w:eastAsia="en-US"/>
        </w:rPr>
        <w:t>petición sea desechada y por ende, declarada sin lugar</w:t>
      </w:r>
      <w:r w:rsidR="00744B2B" w:rsidRPr="00744B2B">
        <w:rPr>
          <w:rFonts w:ascii="Verdana" w:eastAsia="Calibri" w:hAnsi="Verdana" w:cs="Arial"/>
          <w:sz w:val="20"/>
          <w:szCs w:val="20"/>
          <w:lang w:val="es-CR" w:eastAsia="en-US"/>
        </w:rPr>
        <w:t>”. Finalmente, indicó que “</w:t>
      </w:r>
      <w:r w:rsidR="00AF721B" w:rsidRPr="00744B2B">
        <w:rPr>
          <w:rFonts w:ascii="Verdana" w:eastAsia="Calibri" w:hAnsi="Verdana" w:cs="Arial"/>
          <w:sz w:val="20"/>
          <w:szCs w:val="20"/>
          <w:lang w:val="es-CR" w:eastAsia="en-US"/>
        </w:rPr>
        <w:t>el Tribunal Disciplinario Judicial es un Órgano del Poder Judicial y no</w:t>
      </w:r>
      <w:r w:rsidR="00744B2B" w:rsidRPr="00744B2B">
        <w:rPr>
          <w:rFonts w:ascii="Verdana" w:eastAsia="Calibri" w:hAnsi="Verdana" w:cs="Arial"/>
          <w:sz w:val="20"/>
          <w:szCs w:val="20"/>
          <w:lang w:val="es-CR" w:eastAsia="en-US"/>
        </w:rPr>
        <w:t xml:space="preserve"> </w:t>
      </w:r>
      <w:r w:rsidR="00AF721B" w:rsidRPr="00744B2B">
        <w:rPr>
          <w:rFonts w:ascii="Verdana" w:eastAsia="Calibri" w:hAnsi="Verdana" w:cs="Arial"/>
          <w:sz w:val="20"/>
          <w:szCs w:val="20"/>
          <w:lang w:val="es-CR" w:eastAsia="en-US"/>
        </w:rPr>
        <w:t>del ejecutivo nacional, lo que a todas luces evidencia que es un órgano autónomo e</w:t>
      </w:r>
      <w:r w:rsidR="00744B2B" w:rsidRPr="00744B2B">
        <w:rPr>
          <w:rFonts w:ascii="Verdana" w:eastAsia="Calibri" w:hAnsi="Verdana" w:cs="Arial"/>
          <w:sz w:val="20"/>
          <w:szCs w:val="20"/>
          <w:lang w:val="es-CR" w:eastAsia="en-US"/>
        </w:rPr>
        <w:t xml:space="preserve"> </w:t>
      </w:r>
      <w:r w:rsidR="00AF721B" w:rsidRPr="00744B2B">
        <w:rPr>
          <w:rFonts w:ascii="Verdana" w:eastAsia="Calibri" w:hAnsi="Verdana" w:cs="Arial"/>
          <w:sz w:val="20"/>
          <w:szCs w:val="20"/>
          <w:lang w:val="es-CR" w:eastAsia="en-US"/>
        </w:rPr>
        <w:t>independiente que goza de autonomía funcional</w:t>
      </w:r>
      <w:r w:rsidR="00744B2B" w:rsidRPr="00744B2B">
        <w:rPr>
          <w:rFonts w:ascii="Verdana" w:eastAsia="Calibri" w:hAnsi="Verdana" w:cs="Arial"/>
          <w:sz w:val="20"/>
          <w:szCs w:val="20"/>
          <w:lang w:val="es-CR" w:eastAsia="en-US"/>
        </w:rPr>
        <w:t>”</w:t>
      </w:r>
      <w:r w:rsidR="00AF721B" w:rsidRPr="00744B2B">
        <w:rPr>
          <w:rFonts w:ascii="Verdana" w:eastAsia="Calibri" w:hAnsi="Verdana" w:cs="Arial"/>
          <w:sz w:val="20"/>
          <w:szCs w:val="20"/>
          <w:lang w:val="es-CR" w:eastAsia="en-US"/>
        </w:rPr>
        <w:t>.</w:t>
      </w:r>
    </w:p>
    <w:p w:rsidR="00744B2B" w:rsidRPr="00481139" w:rsidRDefault="00744B2B" w:rsidP="00744B2B">
      <w:pPr>
        <w:pStyle w:val="Prrafodelista"/>
        <w:rPr>
          <w:rFonts w:ascii="Verdana" w:hAnsi="Verdana" w:cs="Verdana"/>
          <w:sz w:val="20"/>
          <w:szCs w:val="20"/>
          <w:lang w:val="es-CR"/>
        </w:rPr>
      </w:pPr>
    </w:p>
    <w:p w:rsidR="00B33357" w:rsidRPr="00AE5224" w:rsidRDefault="00CD5750" w:rsidP="00AE5224">
      <w:pPr>
        <w:pStyle w:val="Prrafodelista"/>
        <w:numPr>
          <w:ilvl w:val="0"/>
          <w:numId w:val="30"/>
        </w:numPr>
        <w:tabs>
          <w:tab w:val="left" w:pos="567"/>
        </w:tabs>
        <w:autoSpaceDE w:val="0"/>
        <w:autoSpaceDN w:val="0"/>
        <w:adjustRightInd w:val="0"/>
        <w:jc w:val="both"/>
        <w:rPr>
          <w:rFonts w:ascii="Verdana" w:hAnsi="Verdana"/>
          <w:sz w:val="20"/>
          <w:szCs w:val="20"/>
        </w:rPr>
      </w:pPr>
      <w:r w:rsidRPr="00AE5224">
        <w:rPr>
          <w:rFonts w:ascii="Verdana" w:hAnsi="Verdana" w:cs="Verdana"/>
          <w:sz w:val="20"/>
          <w:szCs w:val="20"/>
          <w:lang w:val="es-CR"/>
        </w:rPr>
        <w:t>En primer</w:t>
      </w:r>
      <w:r w:rsidR="008804FD" w:rsidRPr="00AE5224">
        <w:rPr>
          <w:rFonts w:ascii="Verdana" w:hAnsi="Verdana" w:cs="Verdana"/>
          <w:sz w:val="20"/>
          <w:szCs w:val="20"/>
          <w:lang w:val="es-CR"/>
        </w:rPr>
        <w:t xml:space="preserve">, </w:t>
      </w:r>
      <w:r w:rsidRPr="00AE5224">
        <w:rPr>
          <w:rFonts w:ascii="Verdana" w:hAnsi="Verdana" w:cs="Verdana"/>
          <w:sz w:val="20"/>
          <w:szCs w:val="20"/>
          <w:lang w:val="es-CR"/>
        </w:rPr>
        <w:t xml:space="preserve">se observa de una lectura del </w:t>
      </w:r>
      <w:proofErr w:type="spellStart"/>
      <w:r w:rsidRPr="00AE5224">
        <w:rPr>
          <w:rFonts w:ascii="Verdana" w:hAnsi="Verdana" w:cs="Verdana"/>
          <w:i/>
          <w:sz w:val="20"/>
          <w:szCs w:val="20"/>
          <w:lang w:val="es-CR"/>
        </w:rPr>
        <w:t>curriculum</w:t>
      </w:r>
      <w:proofErr w:type="spellEnd"/>
      <w:r w:rsidRPr="00AE5224">
        <w:rPr>
          <w:rFonts w:ascii="Verdana" w:hAnsi="Verdana" w:cs="Verdana"/>
          <w:sz w:val="20"/>
          <w:szCs w:val="20"/>
          <w:lang w:val="es-CR"/>
        </w:rPr>
        <w:t xml:space="preserve"> los estudios realizados o la experiencia laboral acreditada</w:t>
      </w:r>
      <w:r w:rsidR="00481139" w:rsidRPr="00AE5224">
        <w:rPr>
          <w:rFonts w:ascii="Verdana" w:hAnsi="Verdana" w:cs="Verdana"/>
          <w:sz w:val="20"/>
          <w:szCs w:val="20"/>
          <w:lang w:val="es-CR"/>
        </w:rPr>
        <w:t xml:space="preserve"> por el señor </w:t>
      </w:r>
      <w:proofErr w:type="spellStart"/>
      <w:r w:rsidR="00481139" w:rsidRPr="00AE5224">
        <w:rPr>
          <w:rFonts w:ascii="Verdana" w:hAnsi="Verdana" w:cs="Verdana"/>
          <w:sz w:val="20"/>
          <w:szCs w:val="20"/>
          <w:lang w:val="es-CR"/>
        </w:rPr>
        <w:t>Artega</w:t>
      </w:r>
      <w:proofErr w:type="spellEnd"/>
      <w:r w:rsidRPr="00AE5224">
        <w:rPr>
          <w:rFonts w:ascii="Verdana" w:hAnsi="Verdana" w:cs="Verdana"/>
          <w:sz w:val="20"/>
          <w:szCs w:val="20"/>
          <w:lang w:val="es-CR"/>
        </w:rPr>
        <w:t xml:space="preserve"> no tienen relación con</w:t>
      </w:r>
      <w:r w:rsidR="00481139" w:rsidRPr="00AE5224">
        <w:rPr>
          <w:rFonts w:ascii="Verdana" w:hAnsi="Verdana" w:cs="Verdana"/>
          <w:sz w:val="20"/>
          <w:szCs w:val="20"/>
          <w:lang w:val="es-CR"/>
        </w:rPr>
        <w:t xml:space="preserve"> el objeto de la declaración propuesta que sería sobre </w:t>
      </w:r>
      <w:r w:rsidR="00481139" w:rsidRPr="00AE5224">
        <w:rPr>
          <w:rFonts w:ascii="Verdana" w:hAnsi="Verdana"/>
          <w:sz w:val="20"/>
          <w:szCs w:val="20"/>
        </w:rPr>
        <w:t>“</w:t>
      </w:r>
      <w:r w:rsidR="00481139" w:rsidRPr="00AE5224">
        <w:rPr>
          <w:rFonts w:ascii="Verdana" w:eastAsia="Calibri" w:hAnsi="Verdana" w:cs="Calibri"/>
          <w:sz w:val="20"/>
          <w:szCs w:val="20"/>
          <w:lang w:val="es-CR" w:eastAsia="en-US"/>
        </w:rPr>
        <w:t>los procesos de democratización y acceso a los medios de comunicación social como garantía de la libertad de expresión y sus estándares internacionales en los organismos de derechos humanos”. Asimismo</w:t>
      </w:r>
      <w:r w:rsidR="00481139" w:rsidRPr="00AE5224">
        <w:rPr>
          <w:rFonts w:ascii="Verdana" w:hAnsi="Verdana" w:cs="Verdana"/>
          <w:sz w:val="20"/>
          <w:szCs w:val="20"/>
          <w:lang w:val="es-CR"/>
        </w:rPr>
        <w:t xml:space="preserve">, </w:t>
      </w:r>
      <w:r w:rsidR="006E1EC0" w:rsidRPr="00AE5224">
        <w:rPr>
          <w:rFonts w:ascii="Verdana" w:hAnsi="Verdana" w:cs="Verdana"/>
          <w:sz w:val="20"/>
          <w:szCs w:val="20"/>
          <w:lang w:val="es-CR"/>
        </w:rPr>
        <w:t xml:space="preserve">en el </w:t>
      </w:r>
      <w:proofErr w:type="spellStart"/>
      <w:r w:rsidR="006E1EC0" w:rsidRPr="00AE5224">
        <w:rPr>
          <w:rFonts w:ascii="Verdana" w:hAnsi="Verdana" w:cs="Verdana"/>
          <w:i/>
          <w:sz w:val="20"/>
          <w:szCs w:val="20"/>
          <w:lang w:val="es-CR"/>
        </w:rPr>
        <w:t>curriculum</w:t>
      </w:r>
      <w:proofErr w:type="spellEnd"/>
      <w:r w:rsidR="006E1EC0" w:rsidRPr="00AE5224">
        <w:rPr>
          <w:rFonts w:ascii="Verdana" w:hAnsi="Verdana" w:cs="Verdana"/>
          <w:sz w:val="20"/>
          <w:szCs w:val="20"/>
          <w:lang w:val="es-CR"/>
        </w:rPr>
        <w:t xml:space="preserve"> del señor Art</w:t>
      </w:r>
      <w:r w:rsidR="00063228">
        <w:rPr>
          <w:rFonts w:ascii="Verdana" w:hAnsi="Verdana" w:cs="Verdana"/>
          <w:sz w:val="20"/>
          <w:szCs w:val="20"/>
          <w:lang w:val="es-CR"/>
        </w:rPr>
        <w:t>i</w:t>
      </w:r>
      <w:r w:rsidR="006E1EC0" w:rsidRPr="00AE5224">
        <w:rPr>
          <w:rFonts w:ascii="Verdana" w:hAnsi="Verdana" w:cs="Verdana"/>
          <w:sz w:val="20"/>
          <w:szCs w:val="20"/>
          <w:lang w:val="es-CR"/>
        </w:rPr>
        <w:t>ga</w:t>
      </w:r>
      <w:r w:rsidR="00063228">
        <w:rPr>
          <w:rFonts w:ascii="Verdana" w:hAnsi="Verdana" w:cs="Verdana"/>
          <w:sz w:val="20"/>
          <w:szCs w:val="20"/>
          <w:lang w:val="es-CR"/>
        </w:rPr>
        <w:t>s</w:t>
      </w:r>
      <w:r w:rsidR="006E1EC0" w:rsidRPr="00AE5224">
        <w:rPr>
          <w:rFonts w:ascii="Verdana" w:hAnsi="Verdana" w:cs="Verdana"/>
          <w:sz w:val="20"/>
          <w:szCs w:val="20"/>
          <w:lang w:val="es-CR"/>
        </w:rPr>
        <w:t xml:space="preserve"> aportado por el Estado se declara que posee “una amplia experiencia en las materias de derecho público, específicamente derecho administrativo, derecho laboral, administración de personal, bienes y recursos materiales y monetarios derivadas de las labores realizadas en la C.A, Metro de Caracas, Instituto venezolano de seguros sociales, fondo de garantías de depósitos y protección bancaria, Comisión permanente de contraloría de la asamblea nacional y </w:t>
      </w:r>
      <w:proofErr w:type="spellStart"/>
      <w:r w:rsidR="006E1EC0" w:rsidRPr="00AE5224">
        <w:rPr>
          <w:rFonts w:ascii="Verdana" w:hAnsi="Verdana" w:cs="Verdana"/>
          <w:sz w:val="20"/>
          <w:szCs w:val="20"/>
          <w:lang w:val="es-CR"/>
        </w:rPr>
        <w:t>AlCASA</w:t>
      </w:r>
      <w:proofErr w:type="spellEnd"/>
      <w:r w:rsidR="006E1EC0" w:rsidRPr="00AE5224">
        <w:rPr>
          <w:rFonts w:ascii="Verdana" w:hAnsi="Verdana" w:cs="Verdana"/>
          <w:sz w:val="20"/>
          <w:szCs w:val="20"/>
          <w:lang w:val="es-CR"/>
        </w:rPr>
        <w:t>”</w:t>
      </w:r>
      <w:r w:rsidR="006E1EC0" w:rsidRPr="00AE5224">
        <w:rPr>
          <w:rStyle w:val="Refdenotaalpie"/>
          <w:rFonts w:ascii="Verdana" w:hAnsi="Verdana" w:cs="Verdana"/>
          <w:sz w:val="20"/>
          <w:szCs w:val="20"/>
          <w:lang w:val="es-CR"/>
        </w:rPr>
        <w:footnoteReference w:id="23"/>
      </w:r>
      <w:r w:rsidR="006E1EC0" w:rsidRPr="00AE5224">
        <w:rPr>
          <w:rFonts w:ascii="Verdana" w:hAnsi="Verdana" w:cs="Verdana"/>
          <w:sz w:val="20"/>
          <w:szCs w:val="20"/>
          <w:lang w:val="es-CR"/>
        </w:rPr>
        <w:t xml:space="preserve">. Asimismo, en el </w:t>
      </w:r>
      <w:proofErr w:type="spellStart"/>
      <w:r w:rsidR="006E1EC0" w:rsidRPr="00AE5224">
        <w:rPr>
          <w:rFonts w:ascii="Verdana" w:hAnsi="Verdana" w:cs="Verdana"/>
          <w:i/>
          <w:sz w:val="20"/>
          <w:szCs w:val="20"/>
          <w:lang w:val="es-CR"/>
        </w:rPr>
        <w:t>curriculum</w:t>
      </w:r>
      <w:proofErr w:type="spellEnd"/>
      <w:r w:rsidR="006E1EC0" w:rsidRPr="00AE5224">
        <w:rPr>
          <w:rFonts w:ascii="Verdana" w:hAnsi="Verdana" w:cs="Verdana"/>
          <w:sz w:val="20"/>
          <w:szCs w:val="20"/>
          <w:lang w:val="es-CR"/>
        </w:rPr>
        <w:t xml:space="preserve"> se indica que a “través del ejercicio de la profesión de abogado y de los cargos ocupados en la administración pública, h[a] desarrollado conocimientos y destrezas correspondientes al ordenamiento jurídico, tanto en lo que concierne a los instrumentos normativos constitucionales y legales de carácter sustantivo, [</w:t>
      </w:r>
      <w:r w:rsidR="008A632E" w:rsidRPr="00AE5224">
        <w:rPr>
          <w:rFonts w:ascii="Verdana" w:hAnsi="Verdana" w:cs="Verdana"/>
          <w:sz w:val="20"/>
          <w:szCs w:val="20"/>
          <w:lang w:val="es-CR"/>
        </w:rPr>
        <w:t>y se ha</w:t>
      </w:r>
      <w:r w:rsidR="006E1EC0" w:rsidRPr="00AE5224">
        <w:rPr>
          <w:rFonts w:ascii="Verdana" w:hAnsi="Verdana" w:cs="Verdana"/>
          <w:sz w:val="20"/>
          <w:szCs w:val="20"/>
          <w:lang w:val="es-CR"/>
        </w:rPr>
        <w:t>]</w:t>
      </w:r>
      <w:r w:rsidR="008A632E" w:rsidRPr="00AE5224">
        <w:rPr>
          <w:rFonts w:ascii="Verdana" w:hAnsi="Verdana" w:cs="Verdana"/>
          <w:sz w:val="20"/>
          <w:szCs w:val="20"/>
          <w:lang w:val="es-CR"/>
        </w:rPr>
        <w:t xml:space="preserve"> desenvuelto en el uso de las áreas de derecho administrativo, penal ordinario y derecho penal extraordinario, tales como, las competencias especiales de ambiental y salvaguarda del patrimonio público</w:t>
      </w:r>
      <w:r w:rsidR="006E1EC0" w:rsidRPr="00AE5224">
        <w:rPr>
          <w:rFonts w:ascii="Verdana" w:hAnsi="Verdana" w:cs="Verdana"/>
          <w:sz w:val="20"/>
          <w:szCs w:val="20"/>
          <w:lang w:val="es-CR"/>
        </w:rPr>
        <w:t>”</w:t>
      </w:r>
      <w:r w:rsidR="008A632E" w:rsidRPr="00AE5224">
        <w:rPr>
          <w:rFonts w:ascii="Verdana" w:hAnsi="Verdana" w:cs="Verdana"/>
          <w:sz w:val="20"/>
          <w:szCs w:val="20"/>
          <w:lang w:val="es-CR"/>
        </w:rPr>
        <w:t xml:space="preserve">. </w:t>
      </w:r>
      <w:r w:rsidRPr="00AE5224">
        <w:rPr>
          <w:rFonts w:ascii="Verdana" w:hAnsi="Verdana" w:cs="Verdana"/>
          <w:sz w:val="20"/>
          <w:szCs w:val="20"/>
          <w:lang w:val="es-CR"/>
        </w:rPr>
        <w:t>De lo anteri</w:t>
      </w:r>
      <w:r w:rsidR="00481139" w:rsidRPr="00AE5224">
        <w:rPr>
          <w:rFonts w:ascii="Verdana" w:hAnsi="Verdana" w:cs="Verdana"/>
          <w:sz w:val="20"/>
          <w:szCs w:val="20"/>
          <w:lang w:val="es-CR"/>
        </w:rPr>
        <w:t>or, el Presidente considera que, como se ha manifestado en casos anteriores</w:t>
      </w:r>
      <w:r w:rsidR="00AE5224" w:rsidRPr="00AE5224">
        <w:rPr>
          <w:rStyle w:val="Refdenotaalpie"/>
          <w:rFonts w:ascii="Verdana" w:hAnsi="Verdana" w:cs="Verdana"/>
          <w:sz w:val="20"/>
          <w:szCs w:val="20"/>
          <w:lang w:val="es-CR"/>
        </w:rPr>
        <w:footnoteReference w:id="24"/>
      </w:r>
      <w:r w:rsidR="00481139" w:rsidRPr="00AE5224">
        <w:rPr>
          <w:rFonts w:ascii="Verdana" w:hAnsi="Verdana" w:cs="Verdana"/>
          <w:sz w:val="20"/>
          <w:szCs w:val="20"/>
          <w:lang w:val="es-CR"/>
        </w:rPr>
        <w:t xml:space="preserve">, </w:t>
      </w:r>
      <w:r w:rsidR="00AE5224" w:rsidRPr="00AE5224">
        <w:rPr>
          <w:rFonts w:ascii="Verdana" w:hAnsi="Verdana" w:cs="Verdana"/>
          <w:sz w:val="20"/>
          <w:szCs w:val="20"/>
          <w:lang w:val="es-CR"/>
        </w:rPr>
        <w:t xml:space="preserve"> el </w:t>
      </w:r>
      <w:proofErr w:type="spellStart"/>
      <w:r w:rsidR="00AE5224" w:rsidRPr="00AE5224">
        <w:rPr>
          <w:rFonts w:ascii="Verdana" w:hAnsi="Verdana"/>
          <w:i/>
          <w:sz w:val="20"/>
          <w:szCs w:val="20"/>
        </w:rPr>
        <w:t>curriculum</w:t>
      </w:r>
      <w:proofErr w:type="spellEnd"/>
      <w:r w:rsidR="00AE5224" w:rsidRPr="00AE5224">
        <w:rPr>
          <w:rFonts w:ascii="Verdana" w:hAnsi="Verdana"/>
          <w:sz w:val="20"/>
          <w:szCs w:val="20"/>
        </w:rPr>
        <w:t xml:space="preserve"> no </w:t>
      </w:r>
      <w:r w:rsidR="00AE5224">
        <w:rPr>
          <w:rFonts w:ascii="Verdana" w:hAnsi="Verdana"/>
          <w:sz w:val="20"/>
          <w:szCs w:val="20"/>
        </w:rPr>
        <w:t>se desprende</w:t>
      </w:r>
      <w:r w:rsidR="00AE5224" w:rsidRPr="00AE5224">
        <w:rPr>
          <w:rFonts w:ascii="Verdana" w:hAnsi="Verdana"/>
          <w:sz w:val="20"/>
          <w:szCs w:val="20"/>
        </w:rPr>
        <w:t xml:space="preserve">, </w:t>
      </w:r>
      <w:r w:rsidR="00AE5224" w:rsidRPr="00AE5224">
        <w:rPr>
          <w:rFonts w:ascii="Verdana" w:hAnsi="Verdana"/>
          <w:i/>
          <w:sz w:val="20"/>
          <w:szCs w:val="20"/>
        </w:rPr>
        <w:t>prima facie</w:t>
      </w:r>
      <w:r w:rsidR="00AE5224" w:rsidRPr="00AE5224">
        <w:rPr>
          <w:rFonts w:ascii="Verdana" w:hAnsi="Verdana"/>
          <w:sz w:val="20"/>
          <w:szCs w:val="20"/>
        </w:rPr>
        <w:t>,</w:t>
      </w:r>
      <w:r w:rsidR="00AE5224">
        <w:rPr>
          <w:rFonts w:ascii="Verdana" w:hAnsi="Verdana"/>
          <w:sz w:val="20"/>
          <w:szCs w:val="20"/>
        </w:rPr>
        <w:t xml:space="preserve"> </w:t>
      </w:r>
      <w:r w:rsidR="00B33357" w:rsidRPr="00AE5224">
        <w:rPr>
          <w:rFonts w:ascii="Verdana" w:hAnsi="Verdana"/>
          <w:sz w:val="20"/>
          <w:szCs w:val="20"/>
        </w:rPr>
        <w:t xml:space="preserve">la relación de su especialidad con el objeto de la prueba. En consecuencia, </w:t>
      </w:r>
      <w:r w:rsidR="00AE5224">
        <w:rPr>
          <w:rFonts w:ascii="Verdana" w:hAnsi="Verdana"/>
          <w:sz w:val="20"/>
          <w:szCs w:val="20"/>
        </w:rPr>
        <w:t>el Presidente no admite</w:t>
      </w:r>
      <w:r w:rsidR="00B33357" w:rsidRPr="00AE5224">
        <w:rPr>
          <w:rFonts w:ascii="Verdana" w:hAnsi="Verdana"/>
          <w:sz w:val="20"/>
          <w:szCs w:val="20"/>
        </w:rPr>
        <w:t xml:space="preserve"> su declaración</w:t>
      </w:r>
      <w:r w:rsidR="00B33357" w:rsidRPr="00AE5224">
        <w:rPr>
          <w:rStyle w:val="Refdenotaalpie"/>
          <w:rFonts w:ascii="Verdana" w:hAnsi="Verdana"/>
          <w:sz w:val="20"/>
          <w:szCs w:val="20"/>
        </w:rPr>
        <w:footnoteReference w:id="25"/>
      </w:r>
      <w:r w:rsidR="00B33357" w:rsidRPr="00AE5224">
        <w:rPr>
          <w:rFonts w:ascii="Verdana" w:hAnsi="Verdana"/>
          <w:sz w:val="20"/>
          <w:szCs w:val="20"/>
        </w:rPr>
        <w:t>.</w:t>
      </w:r>
    </w:p>
    <w:p w:rsidR="00236466" w:rsidRDefault="00236466" w:rsidP="00A43BA7">
      <w:pPr>
        <w:jc w:val="both"/>
        <w:rPr>
          <w:rFonts w:ascii="Verdana" w:hAnsi="Verdana" w:cs="Verdana"/>
          <w:sz w:val="20"/>
          <w:szCs w:val="20"/>
          <w:lang w:val="es-CR"/>
        </w:rPr>
      </w:pPr>
    </w:p>
    <w:p w:rsidR="00C45F7B" w:rsidRDefault="00C45F7B" w:rsidP="00C45F7B">
      <w:pPr>
        <w:pStyle w:val="Prrafodelista"/>
        <w:numPr>
          <w:ilvl w:val="0"/>
          <w:numId w:val="33"/>
        </w:numPr>
        <w:jc w:val="both"/>
        <w:rPr>
          <w:rFonts w:ascii="Verdana" w:hAnsi="Verdana" w:cs="Verdana"/>
          <w:b/>
          <w:i/>
          <w:sz w:val="20"/>
          <w:szCs w:val="20"/>
        </w:rPr>
      </w:pPr>
      <w:r w:rsidRPr="00C45F7B">
        <w:rPr>
          <w:rFonts w:ascii="Verdana" w:hAnsi="Verdana" w:cs="Verdana"/>
          <w:b/>
          <w:i/>
          <w:sz w:val="20"/>
          <w:szCs w:val="20"/>
        </w:rPr>
        <w:t>La solicitud realizada por la Comisión de que se trasladen determinados peritajes rendidos en el caso Ríos y otros Vs. Venezuela</w:t>
      </w:r>
    </w:p>
    <w:p w:rsidR="00D73D07" w:rsidRPr="0096303C" w:rsidRDefault="00D73D07" w:rsidP="00D73D07">
      <w:pPr>
        <w:pStyle w:val="Prrafodelista"/>
        <w:tabs>
          <w:tab w:val="left" w:pos="567"/>
        </w:tabs>
        <w:autoSpaceDE w:val="0"/>
        <w:autoSpaceDN w:val="0"/>
        <w:adjustRightInd w:val="0"/>
        <w:ind w:left="0"/>
        <w:jc w:val="both"/>
        <w:rPr>
          <w:rFonts w:ascii="Verdana" w:hAnsi="Verdana" w:cs="Verdana"/>
          <w:sz w:val="20"/>
          <w:szCs w:val="20"/>
          <w:lang w:val="es-CR"/>
        </w:rPr>
      </w:pPr>
    </w:p>
    <w:p w:rsidR="0096303C" w:rsidRPr="003378E6" w:rsidRDefault="00D73D07" w:rsidP="0096303C">
      <w:pPr>
        <w:pStyle w:val="Prrafodelista"/>
        <w:numPr>
          <w:ilvl w:val="0"/>
          <w:numId w:val="30"/>
        </w:numPr>
        <w:tabs>
          <w:tab w:val="left" w:pos="567"/>
        </w:tabs>
        <w:autoSpaceDE w:val="0"/>
        <w:autoSpaceDN w:val="0"/>
        <w:adjustRightInd w:val="0"/>
        <w:jc w:val="both"/>
        <w:rPr>
          <w:rFonts w:ascii="Verdana" w:hAnsi="Verdana" w:cs="Verdana"/>
          <w:i/>
          <w:sz w:val="20"/>
          <w:szCs w:val="20"/>
        </w:rPr>
      </w:pPr>
      <w:r w:rsidRPr="0096303C">
        <w:rPr>
          <w:rFonts w:ascii="Verdana" w:hAnsi="Verdana" w:cs="Verdana"/>
          <w:sz w:val="20"/>
          <w:szCs w:val="20"/>
        </w:rPr>
        <w:t xml:space="preserve">En su escrito de </w:t>
      </w:r>
      <w:r w:rsidR="00BF428B" w:rsidRPr="0096303C">
        <w:rPr>
          <w:rFonts w:ascii="Verdana" w:hAnsi="Verdana" w:cs="Verdana"/>
          <w:sz w:val="20"/>
          <w:szCs w:val="20"/>
        </w:rPr>
        <w:t>solicitudes y argumentos, los representantes</w:t>
      </w:r>
      <w:r w:rsidRPr="0096303C">
        <w:rPr>
          <w:rFonts w:ascii="Verdana" w:hAnsi="Verdana" w:cs="Verdana"/>
          <w:sz w:val="20"/>
          <w:szCs w:val="20"/>
        </w:rPr>
        <w:t xml:space="preserve"> solicit</w:t>
      </w:r>
      <w:r w:rsidR="00BF428B" w:rsidRPr="0096303C">
        <w:rPr>
          <w:rFonts w:ascii="Verdana" w:hAnsi="Verdana" w:cs="Verdana"/>
          <w:sz w:val="20"/>
          <w:szCs w:val="20"/>
        </w:rPr>
        <w:t xml:space="preserve">aron el traslado de dos peritajes rendidos </w:t>
      </w:r>
      <w:r w:rsidR="00A56FF9">
        <w:rPr>
          <w:rFonts w:ascii="Verdana" w:hAnsi="Verdana" w:cs="Verdana"/>
          <w:sz w:val="20"/>
          <w:szCs w:val="20"/>
        </w:rPr>
        <w:t xml:space="preserve">en el </w:t>
      </w:r>
      <w:r w:rsidR="00BF428B" w:rsidRPr="0096303C">
        <w:rPr>
          <w:rFonts w:ascii="Verdana" w:hAnsi="Verdana" w:cs="Verdana"/>
          <w:sz w:val="20"/>
          <w:szCs w:val="20"/>
        </w:rPr>
        <w:t>caso</w:t>
      </w:r>
      <w:r w:rsidR="00BF428B" w:rsidRPr="0096303C">
        <w:rPr>
          <w:rFonts w:ascii="Verdana" w:hAnsi="Verdana" w:cs="Verdana"/>
          <w:i/>
          <w:sz w:val="20"/>
          <w:szCs w:val="20"/>
        </w:rPr>
        <w:t xml:space="preserve"> Ríos y otros Vs. Venezuela</w:t>
      </w:r>
      <w:r w:rsidR="00BF428B" w:rsidRPr="0096303C">
        <w:rPr>
          <w:rFonts w:ascii="Verdana" w:hAnsi="Verdana" w:cs="Verdana"/>
          <w:sz w:val="20"/>
          <w:szCs w:val="20"/>
        </w:rPr>
        <w:t>, a saber: i) “</w:t>
      </w:r>
      <w:r w:rsidR="0096303C" w:rsidRPr="0096303C">
        <w:rPr>
          <w:rFonts w:ascii="Verdana" w:eastAsia="Calibri" w:hAnsi="Verdana" w:cs="BookAntiqua"/>
          <w:sz w:val="20"/>
          <w:szCs w:val="20"/>
          <w:lang w:val="es-CR" w:eastAsia="en-US"/>
        </w:rPr>
        <w:t xml:space="preserve">peritaje rendido por </w:t>
      </w:r>
      <w:proofErr w:type="spellStart"/>
      <w:r w:rsidR="0096303C" w:rsidRPr="00BA29D8">
        <w:rPr>
          <w:rFonts w:ascii="Verdana" w:eastAsia="Calibri" w:hAnsi="Verdana" w:cs="BookAntiqua-BoldItalic"/>
          <w:bCs/>
          <w:iCs/>
          <w:sz w:val="20"/>
          <w:szCs w:val="20"/>
          <w:lang w:val="es-CR" w:eastAsia="en-US"/>
        </w:rPr>
        <w:t>Toby</w:t>
      </w:r>
      <w:proofErr w:type="spellEnd"/>
      <w:r w:rsidR="0096303C" w:rsidRPr="00BA29D8">
        <w:rPr>
          <w:rFonts w:ascii="Verdana" w:eastAsia="Calibri" w:hAnsi="Verdana" w:cs="BookAntiqua-BoldItalic"/>
          <w:bCs/>
          <w:iCs/>
          <w:sz w:val="20"/>
          <w:szCs w:val="20"/>
          <w:lang w:val="es-CR" w:eastAsia="en-US"/>
        </w:rPr>
        <w:t xml:space="preserve"> Daniel Mendel</w:t>
      </w:r>
      <w:r w:rsidR="0096303C" w:rsidRPr="00BA29D8">
        <w:rPr>
          <w:rFonts w:ascii="Verdana" w:eastAsia="Calibri" w:hAnsi="Verdana" w:cs="BookAntiqua"/>
          <w:sz w:val="20"/>
          <w:szCs w:val="20"/>
          <w:lang w:val="es-CR" w:eastAsia="en-US"/>
        </w:rPr>
        <w:t xml:space="preserve">, Director </w:t>
      </w:r>
      <w:r w:rsidR="0096303C" w:rsidRPr="00BA29D8">
        <w:rPr>
          <w:rFonts w:ascii="Verdana" w:eastAsia="Calibri" w:hAnsi="Verdana" w:cs="BookAntiqua-Italic"/>
          <w:iCs/>
          <w:sz w:val="20"/>
          <w:szCs w:val="20"/>
          <w:lang w:val="es-CR" w:eastAsia="en-US"/>
        </w:rPr>
        <w:t xml:space="preserve">Senior </w:t>
      </w:r>
      <w:r w:rsidR="0096303C" w:rsidRPr="00BA29D8">
        <w:rPr>
          <w:rFonts w:ascii="Verdana" w:eastAsia="Calibri" w:hAnsi="Verdana" w:cs="BookAntiqua"/>
          <w:sz w:val="20"/>
          <w:szCs w:val="20"/>
          <w:lang w:val="es-CR" w:eastAsia="en-US"/>
        </w:rPr>
        <w:t xml:space="preserve">del Programa de Derecho de la ONG “Artículo 19”, sobre, </w:t>
      </w:r>
      <w:r w:rsidR="0096303C" w:rsidRPr="00364754">
        <w:rPr>
          <w:rFonts w:ascii="Verdana" w:eastAsia="Calibri" w:hAnsi="Verdana" w:cs="BookAntiqua-Italic"/>
          <w:i/>
          <w:iCs/>
          <w:sz w:val="20"/>
          <w:szCs w:val="20"/>
          <w:lang w:val="es-CR" w:eastAsia="en-US"/>
        </w:rPr>
        <w:t xml:space="preserve">inter </w:t>
      </w:r>
      <w:proofErr w:type="spellStart"/>
      <w:r w:rsidR="0096303C" w:rsidRPr="00364754">
        <w:rPr>
          <w:rFonts w:ascii="Verdana" w:eastAsia="Calibri" w:hAnsi="Verdana" w:cs="BookAntiqua-Italic"/>
          <w:i/>
          <w:iCs/>
          <w:sz w:val="20"/>
          <w:szCs w:val="20"/>
          <w:lang w:val="es-CR" w:eastAsia="en-US"/>
        </w:rPr>
        <w:t>alia</w:t>
      </w:r>
      <w:proofErr w:type="spellEnd"/>
      <w:r w:rsidR="0096303C" w:rsidRPr="00BA29D8">
        <w:rPr>
          <w:rFonts w:ascii="Verdana" w:eastAsia="Calibri" w:hAnsi="Verdana" w:cs="BookAntiqua"/>
          <w:sz w:val="20"/>
          <w:szCs w:val="20"/>
          <w:lang w:val="es-CR" w:eastAsia="en-US"/>
        </w:rPr>
        <w:t xml:space="preserve">, la libertad de expresión como derecho humano y las restricciones permisibles; la libertad de expresión en relación con los funcionarios públicos y las cuestiones de interés público; actos de intimidación, hostigamiento, persecución y ataques contra comunicadores sociales cometidos por actores estatales y/o particulares, así como sobre la obligación positiva del Estado de proteger a RCTV”, y ii) “peritaje rendido por </w:t>
      </w:r>
      <w:r w:rsidR="0096303C" w:rsidRPr="00BA29D8">
        <w:rPr>
          <w:rFonts w:ascii="Verdana" w:eastAsia="Calibri" w:hAnsi="Verdana" w:cs="BookAntiqua-BoldItalic"/>
          <w:bCs/>
          <w:iCs/>
          <w:sz w:val="20"/>
          <w:szCs w:val="20"/>
          <w:lang w:val="es-CR" w:eastAsia="en-US"/>
        </w:rPr>
        <w:t xml:space="preserve">Eduardo </w:t>
      </w:r>
      <w:proofErr w:type="spellStart"/>
      <w:r w:rsidR="0096303C" w:rsidRPr="00BA29D8">
        <w:rPr>
          <w:rFonts w:ascii="Verdana" w:eastAsia="Calibri" w:hAnsi="Verdana" w:cs="BookAntiqua-BoldItalic"/>
          <w:bCs/>
          <w:iCs/>
          <w:sz w:val="20"/>
          <w:szCs w:val="20"/>
          <w:lang w:val="es-CR" w:eastAsia="en-US"/>
        </w:rPr>
        <w:t>Ulibarri</w:t>
      </w:r>
      <w:proofErr w:type="spellEnd"/>
      <w:r w:rsidR="0096303C" w:rsidRPr="00BA29D8">
        <w:rPr>
          <w:rFonts w:ascii="Verdana" w:eastAsia="Calibri" w:hAnsi="Verdana" w:cs="BookAntiqua-BoldItalic"/>
          <w:bCs/>
          <w:iCs/>
          <w:sz w:val="20"/>
          <w:szCs w:val="20"/>
          <w:lang w:val="es-CR" w:eastAsia="en-US"/>
        </w:rPr>
        <w:t xml:space="preserve"> Bilbao</w:t>
      </w:r>
      <w:r w:rsidR="0096303C" w:rsidRPr="00BA29D8">
        <w:rPr>
          <w:rFonts w:ascii="Verdana" w:eastAsia="Calibri" w:hAnsi="Verdana" w:cs="BookAntiqua"/>
          <w:sz w:val="20"/>
          <w:szCs w:val="20"/>
          <w:lang w:val="es-CR" w:eastAsia="en-US"/>
        </w:rPr>
        <w:t xml:space="preserve">, periodista, sobre, </w:t>
      </w:r>
      <w:r w:rsidR="0096303C" w:rsidRPr="00364754">
        <w:rPr>
          <w:rFonts w:ascii="Verdana" w:eastAsia="Calibri" w:hAnsi="Verdana" w:cs="BookAntiqua-Italic"/>
          <w:i/>
          <w:iCs/>
          <w:sz w:val="20"/>
          <w:szCs w:val="20"/>
          <w:lang w:val="es-CR" w:eastAsia="en-US"/>
        </w:rPr>
        <w:t xml:space="preserve">inter </w:t>
      </w:r>
      <w:proofErr w:type="spellStart"/>
      <w:r w:rsidR="0096303C" w:rsidRPr="00364754">
        <w:rPr>
          <w:rFonts w:ascii="Verdana" w:eastAsia="Calibri" w:hAnsi="Verdana" w:cs="BookAntiqua-Italic"/>
          <w:i/>
          <w:iCs/>
          <w:sz w:val="20"/>
          <w:szCs w:val="20"/>
          <w:lang w:val="es-CR" w:eastAsia="en-US"/>
        </w:rPr>
        <w:t>alia</w:t>
      </w:r>
      <w:proofErr w:type="spellEnd"/>
      <w:r w:rsidR="0096303C" w:rsidRPr="00BA29D8">
        <w:rPr>
          <w:rFonts w:ascii="Verdana" w:eastAsia="Calibri" w:hAnsi="Verdana" w:cs="BookAntiqua"/>
          <w:sz w:val="20"/>
          <w:szCs w:val="20"/>
          <w:lang w:val="es-CR" w:eastAsia="en-US"/>
        </w:rPr>
        <w:t>, estándares internacionales relevantes para la libertad de expresión y el ejercicio</w:t>
      </w:r>
      <w:r w:rsidR="0096303C" w:rsidRPr="00BA29D8">
        <w:rPr>
          <w:rFonts w:ascii="Verdana" w:hAnsi="Verdana" w:cs="Verdana"/>
          <w:sz w:val="20"/>
          <w:szCs w:val="20"/>
        </w:rPr>
        <w:t xml:space="preserve"> </w:t>
      </w:r>
      <w:r w:rsidR="0096303C" w:rsidRPr="00BA29D8">
        <w:rPr>
          <w:rFonts w:ascii="Verdana" w:eastAsia="Calibri" w:hAnsi="Verdana" w:cs="BookAntiqua"/>
          <w:sz w:val="20"/>
          <w:szCs w:val="20"/>
          <w:lang w:val="es-CR" w:eastAsia="en-US"/>
        </w:rPr>
        <w:t xml:space="preserve">del periodismo”. </w:t>
      </w:r>
    </w:p>
    <w:p w:rsidR="003378E6" w:rsidRPr="003378E6" w:rsidRDefault="003378E6" w:rsidP="003378E6">
      <w:pPr>
        <w:pStyle w:val="Prrafodelista"/>
        <w:tabs>
          <w:tab w:val="left" w:pos="567"/>
        </w:tabs>
        <w:autoSpaceDE w:val="0"/>
        <w:autoSpaceDN w:val="0"/>
        <w:adjustRightInd w:val="0"/>
        <w:ind w:left="0"/>
        <w:jc w:val="both"/>
        <w:rPr>
          <w:rFonts w:ascii="Verdana" w:hAnsi="Verdana" w:cs="Verdana"/>
          <w:i/>
          <w:sz w:val="20"/>
          <w:szCs w:val="20"/>
        </w:rPr>
      </w:pPr>
    </w:p>
    <w:p w:rsidR="003378E6" w:rsidRPr="00926829" w:rsidRDefault="003378E6" w:rsidP="0096303C">
      <w:pPr>
        <w:pStyle w:val="Prrafodelista"/>
        <w:numPr>
          <w:ilvl w:val="0"/>
          <w:numId w:val="30"/>
        </w:numPr>
        <w:tabs>
          <w:tab w:val="left" w:pos="567"/>
        </w:tabs>
        <w:autoSpaceDE w:val="0"/>
        <w:autoSpaceDN w:val="0"/>
        <w:adjustRightInd w:val="0"/>
        <w:jc w:val="both"/>
        <w:rPr>
          <w:rFonts w:ascii="Verdana" w:hAnsi="Verdana" w:cs="Verdana"/>
          <w:i/>
          <w:sz w:val="20"/>
          <w:szCs w:val="20"/>
        </w:rPr>
      </w:pPr>
      <w:r>
        <w:rPr>
          <w:rFonts w:ascii="Verdana" w:hAnsi="Verdana" w:cs="Verdana"/>
          <w:sz w:val="20"/>
          <w:szCs w:val="20"/>
        </w:rPr>
        <w:t xml:space="preserve">El Estado se opuso al traslado de dichos peritajes, por cuanto consideró que “fueron promovidas en un juicio cuyo objeto fue distinto al </w:t>
      </w:r>
      <w:proofErr w:type="gramStart"/>
      <w:r>
        <w:rPr>
          <w:rFonts w:ascii="Verdana" w:hAnsi="Verdana" w:cs="Verdana"/>
          <w:sz w:val="20"/>
          <w:szCs w:val="20"/>
        </w:rPr>
        <w:t>presente[</w:t>
      </w:r>
      <w:proofErr w:type="gramEnd"/>
      <w:r>
        <w:rPr>
          <w:rFonts w:ascii="Verdana" w:hAnsi="Verdana" w:cs="Verdana"/>
          <w:sz w:val="20"/>
          <w:szCs w:val="20"/>
        </w:rPr>
        <w:t xml:space="preserve">, por lo que] </w:t>
      </w:r>
      <w:proofErr w:type="spellStart"/>
      <w:r>
        <w:rPr>
          <w:rFonts w:ascii="Verdana" w:hAnsi="Verdana" w:cs="Verdana"/>
          <w:sz w:val="20"/>
          <w:szCs w:val="20"/>
        </w:rPr>
        <w:t>somet</w:t>
      </w:r>
      <w:proofErr w:type="spellEnd"/>
      <w:r>
        <w:rPr>
          <w:rFonts w:ascii="Verdana" w:hAnsi="Verdana" w:cs="Verdana"/>
          <w:sz w:val="20"/>
          <w:szCs w:val="20"/>
        </w:rPr>
        <w:t>[</w:t>
      </w:r>
      <w:proofErr w:type="spellStart"/>
      <w:r>
        <w:rPr>
          <w:rFonts w:ascii="Verdana" w:hAnsi="Verdana" w:cs="Verdana"/>
          <w:sz w:val="20"/>
          <w:szCs w:val="20"/>
        </w:rPr>
        <w:t>ieron</w:t>
      </w:r>
      <w:proofErr w:type="spellEnd"/>
      <w:r>
        <w:rPr>
          <w:rFonts w:ascii="Verdana" w:hAnsi="Verdana" w:cs="Verdana"/>
          <w:sz w:val="20"/>
          <w:szCs w:val="20"/>
        </w:rPr>
        <w:t xml:space="preserve">] al </w:t>
      </w:r>
      <w:r>
        <w:rPr>
          <w:rFonts w:ascii="Verdana" w:hAnsi="Verdana" w:cs="Verdana"/>
          <w:sz w:val="20"/>
          <w:szCs w:val="20"/>
        </w:rPr>
        <w:lastRenderedPageBreak/>
        <w:t xml:space="preserve">criterio de la Corte que verifique su pertinencia con la presente causa y si las referidas declaraciones periciales resultan </w:t>
      </w:r>
      <w:r w:rsidR="00926829">
        <w:rPr>
          <w:rFonts w:ascii="Verdana" w:hAnsi="Verdana" w:cs="Verdana"/>
          <w:sz w:val="20"/>
          <w:szCs w:val="20"/>
        </w:rPr>
        <w:t>útiles en el proceso</w:t>
      </w:r>
      <w:r>
        <w:rPr>
          <w:rFonts w:ascii="Verdana" w:hAnsi="Verdana" w:cs="Verdana"/>
          <w:sz w:val="20"/>
          <w:szCs w:val="20"/>
        </w:rPr>
        <w:t>”</w:t>
      </w:r>
      <w:r w:rsidR="00926829">
        <w:rPr>
          <w:rFonts w:ascii="Verdana" w:hAnsi="Verdana" w:cs="Verdana"/>
          <w:sz w:val="20"/>
          <w:szCs w:val="20"/>
        </w:rPr>
        <w:t>.</w:t>
      </w:r>
    </w:p>
    <w:p w:rsidR="00926829" w:rsidRPr="00926829" w:rsidRDefault="00926829" w:rsidP="00926829">
      <w:pPr>
        <w:pStyle w:val="Prrafodelista"/>
        <w:rPr>
          <w:rFonts w:ascii="Verdana" w:hAnsi="Verdana" w:cs="Verdana"/>
          <w:i/>
          <w:sz w:val="20"/>
          <w:szCs w:val="20"/>
        </w:rPr>
      </w:pPr>
    </w:p>
    <w:p w:rsidR="009C2A17" w:rsidRPr="00BA29D8" w:rsidRDefault="009C2A17" w:rsidP="009C2A17">
      <w:pPr>
        <w:pStyle w:val="Prrafodelista"/>
        <w:numPr>
          <w:ilvl w:val="0"/>
          <w:numId w:val="30"/>
        </w:numPr>
        <w:tabs>
          <w:tab w:val="left" w:pos="567"/>
        </w:tabs>
        <w:autoSpaceDE w:val="0"/>
        <w:autoSpaceDN w:val="0"/>
        <w:adjustRightInd w:val="0"/>
        <w:jc w:val="both"/>
        <w:rPr>
          <w:rFonts w:ascii="Verdana" w:hAnsi="Verdana" w:cs="Verdana"/>
          <w:i/>
          <w:sz w:val="20"/>
          <w:szCs w:val="20"/>
        </w:rPr>
      </w:pPr>
      <w:r w:rsidRPr="009C2A17">
        <w:rPr>
          <w:rFonts w:ascii="Verdana" w:hAnsi="Verdana" w:cs="Verdana"/>
          <w:sz w:val="20"/>
          <w:szCs w:val="20"/>
        </w:rPr>
        <w:t xml:space="preserve">En primer lugar, el Presidente reitera que </w:t>
      </w:r>
      <w:r w:rsidRPr="009C2A17">
        <w:rPr>
          <w:rFonts w:ascii="Verdana" w:hAnsi="Verdana"/>
          <w:sz w:val="20"/>
          <w:szCs w:val="20"/>
          <w:lang w:val="es-CR"/>
        </w:rPr>
        <w:t xml:space="preserve">la incorporación de dictámenes periciales rendidos en otros casos al expediente de un caso en trámite, no significa que tales elementos tengan el valor o peso probatorio de un dictamen pericial evacuado bajo los </w:t>
      </w:r>
      <w:r w:rsidRPr="00BA29D8">
        <w:rPr>
          <w:rFonts w:ascii="Verdana" w:hAnsi="Verdana"/>
          <w:sz w:val="20"/>
          <w:szCs w:val="20"/>
          <w:lang w:val="es-CR"/>
        </w:rPr>
        <w:t>principios de contradictorio y derecho de defensa. De tal modo, en oportunidades anteriores la Presidencia de la Corte ha considerado pertinente el traslado de peritajes rendidos en otros casos, incluso contra Estados distintos, únicamente como elementos documentales y para que la Corte determine su admisibilidad y valor probatorio en el momento procesal oportuno, tomando en consideración las observaciones presentadas por las partes en ejercicio de su derecho de defensa</w:t>
      </w:r>
      <w:r w:rsidRPr="00BA29D8">
        <w:rPr>
          <w:rFonts w:ascii="Verdana" w:hAnsi="Verdana"/>
          <w:sz w:val="20"/>
          <w:szCs w:val="20"/>
          <w:vertAlign w:val="superscript"/>
          <w:lang w:val="es-CR"/>
        </w:rPr>
        <w:footnoteReference w:id="26"/>
      </w:r>
      <w:r w:rsidRPr="00BA29D8">
        <w:rPr>
          <w:rFonts w:ascii="Verdana" w:hAnsi="Verdana" w:cs="Verdana"/>
          <w:sz w:val="20"/>
          <w:szCs w:val="20"/>
        </w:rPr>
        <w:t>.</w:t>
      </w:r>
    </w:p>
    <w:p w:rsidR="00BA29D8" w:rsidRPr="00BA29D8" w:rsidRDefault="00BA29D8" w:rsidP="00BA29D8">
      <w:pPr>
        <w:pStyle w:val="Prrafodelista"/>
        <w:rPr>
          <w:rFonts w:ascii="Verdana" w:hAnsi="Verdana" w:cs="Verdana"/>
          <w:i/>
          <w:sz w:val="20"/>
          <w:szCs w:val="20"/>
        </w:rPr>
      </w:pPr>
    </w:p>
    <w:p w:rsidR="00996094" w:rsidRPr="004C4EA6" w:rsidRDefault="00BA29D8" w:rsidP="009D7D56">
      <w:pPr>
        <w:pStyle w:val="Prrafodelista"/>
        <w:numPr>
          <w:ilvl w:val="0"/>
          <w:numId w:val="30"/>
        </w:numPr>
        <w:tabs>
          <w:tab w:val="left" w:pos="567"/>
        </w:tabs>
        <w:autoSpaceDE w:val="0"/>
        <w:autoSpaceDN w:val="0"/>
        <w:adjustRightInd w:val="0"/>
        <w:jc w:val="both"/>
        <w:rPr>
          <w:rFonts w:ascii="Verdana" w:hAnsi="Verdana" w:cs="Verdana"/>
          <w:b/>
          <w:i/>
          <w:sz w:val="20"/>
          <w:szCs w:val="20"/>
        </w:rPr>
      </w:pPr>
      <w:r w:rsidRPr="00BA29D8">
        <w:rPr>
          <w:rFonts w:ascii="Verdana" w:hAnsi="Verdana" w:cs="Verdana"/>
          <w:sz w:val="20"/>
          <w:szCs w:val="20"/>
        </w:rPr>
        <w:t xml:space="preserve">En particular, el Presidente considera que, </w:t>
      </w:r>
      <w:r w:rsidRPr="00BA29D8">
        <w:rPr>
          <w:rFonts w:ascii="Verdana" w:hAnsi="Verdana"/>
          <w:sz w:val="20"/>
        </w:rPr>
        <w:t xml:space="preserve">sin prejuzgar sobre el fondo del asunto, </w:t>
      </w:r>
      <w:r>
        <w:rPr>
          <w:rFonts w:ascii="Verdana" w:hAnsi="Verdana"/>
          <w:sz w:val="20"/>
        </w:rPr>
        <w:t>los dos peritajes propuestos</w:t>
      </w:r>
      <w:r w:rsidRPr="00BA29D8">
        <w:rPr>
          <w:rFonts w:ascii="Verdana" w:hAnsi="Verdana"/>
          <w:sz w:val="20"/>
        </w:rPr>
        <w:t xml:space="preserve"> podría</w:t>
      </w:r>
      <w:r>
        <w:rPr>
          <w:rFonts w:ascii="Verdana" w:hAnsi="Verdana"/>
          <w:sz w:val="20"/>
        </w:rPr>
        <w:t>n</w:t>
      </w:r>
      <w:r w:rsidRPr="00BA29D8">
        <w:rPr>
          <w:rFonts w:ascii="Verdana" w:hAnsi="Verdana"/>
          <w:sz w:val="20"/>
        </w:rPr>
        <w:t xml:space="preserve"> ser útil</w:t>
      </w:r>
      <w:r>
        <w:rPr>
          <w:rFonts w:ascii="Verdana" w:hAnsi="Verdana"/>
          <w:sz w:val="20"/>
        </w:rPr>
        <w:t>es</w:t>
      </w:r>
      <w:r w:rsidRPr="00BA29D8">
        <w:rPr>
          <w:rFonts w:ascii="Verdana" w:hAnsi="Verdana"/>
          <w:sz w:val="20"/>
        </w:rPr>
        <w:t xml:space="preserve"> en función de los alegatos que l</w:t>
      </w:r>
      <w:r>
        <w:rPr>
          <w:rFonts w:ascii="Verdana" w:hAnsi="Verdana"/>
          <w:sz w:val="20"/>
        </w:rPr>
        <w:t>os</w:t>
      </w:r>
      <w:r w:rsidRPr="00BA29D8">
        <w:rPr>
          <w:rFonts w:ascii="Verdana" w:hAnsi="Verdana"/>
          <w:sz w:val="20"/>
        </w:rPr>
        <w:t xml:space="preserve"> representante</w:t>
      </w:r>
      <w:r>
        <w:rPr>
          <w:rFonts w:ascii="Verdana" w:hAnsi="Verdana"/>
          <w:sz w:val="20"/>
        </w:rPr>
        <w:t>s</w:t>
      </w:r>
      <w:r w:rsidRPr="00BA29D8">
        <w:rPr>
          <w:rFonts w:ascii="Verdana" w:hAnsi="Verdana"/>
          <w:sz w:val="20"/>
        </w:rPr>
        <w:t xml:space="preserve"> pretende</w:t>
      </w:r>
      <w:r>
        <w:rPr>
          <w:rFonts w:ascii="Verdana" w:hAnsi="Verdana"/>
          <w:sz w:val="20"/>
        </w:rPr>
        <w:t>n</w:t>
      </w:r>
      <w:r w:rsidRPr="00BA29D8">
        <w:rPr>
          <w:rFonts w:ascii="Verdana" w:hAnsi="Verdana"/>
          <w:sz w:val="20"/>
        </w:rPr>
        <w:t xml:space="preserve"> demostrar en el presente litigio. La prueba y alegatos que forman parte de la posición sostenida por l</w:t>
      </w:r>
      <w:r>
        <w:rPr>
          <w:rFonts w:ascii="Verdana" w:hAnsi="Verdana"/>
          <w:sz w:val="20"/>
        </w:rPr>
        <w:t>o</w:t>
      </w:r>
      <w:r w:rsidRPr="00BA29D8">
        <w:rPr>
          <w:rFonts w:ascii="Verdana" w:hAnsi="Verdana"/>
          <w:sz w:val="20"/>
        </w:rPr>
        <w:t xml:space="preserve"> representante</w:t>
      </w:r>
      <w:r>
        <w:rPr>
          <w:rFonts w:ascii="Verdana" w:hAnsi="Verdana"/>
          <w:sz w:val="20"/>
        </w:rPr>
        <w:t>s</w:t>
      </w:r>
      <w:r w:rsidRPr="00BA29D8">
        <w:rPr>
          <w:rFonts w:ascii="Verdana" w:hAnsi="Verdana"/>
          <w:sz w:val="20"/>
        </w:rPr>
        <w:t xml:space="preserve"> en el presente proceso serán considerados y valorados por el Tribunal en su debida oportunidad, teniendo en cuenta las observaciones del Estado al respecto. De manera que, en atención a los principios de economía y celeridad procesales, esta Presidencia considera oportuno incorporar al acervo probatorio del presente caso, en lo que resulte p</w:t>
      </w:r>
      <w:r w:rsidRPr="009D7D56">
        <w:rPr>
          <w:rFonts w:ascii="Verdana" w:hAnsi="Verdana"/>
          <w:sz w:val="20"/>
        </w:rPr>
        <w:t xml:space="preserve">ertinente, los peritajes rendidos por </w:t>
      </w:r>
      <w:proofErr w:type="spellStart"/>
      <w:r w:rsidRPr="009D7D56">
        <w:rPr>
          <w:rFonts w:ascii="Verdana" w:eastAsia="Calibri" w:hAnsi="Verdana" w:cs="BookAntiqua-BoldItalic"/>
          <w:bCs/>
          <w:iCs/>
          <w:sz w:val="20"/>
          <w:szCs w:val="20"/>
          <w:lang w:val="es-CR" w:eastAsia="en-US"/>
        </w:rPr>
        <w:t>Toby</w:t>
      </w:r>
      <w:proofErr w:type="spellEnd"/>
      <w:r w:rsidRPr="009D7D56">
        <w:rPr>
          <w:rFonts w:ascii="Verdana" w:eastAsia="Calibri" w:hAnsi="Verdana" w:cs="BookAntiqua-BoldItalic"/>
          <w:bCs/>
          <w:iCs/>
          <w:sz w:val="20"/>
          <w:szCs w:val="20"/>
          <w:lang w:val="es-CR" w:eastAsia="en-US"/>
        </w:rPr>
        <w:t xml:space="preserve"> Daniel Mendel y Eduardo </w:t>
      </w:r>
      <w:proofErr w:type="spellStart"/>
      <w:r w:rsidRPr="009D7D56">
        <w:rPr>
          <w:rFonts w:ascii="Verdana" w:eastAsia="Calibri" w:hAnsi="Verdana" w:cs="BookAntiqua-BoldItalic"/>
          <w:bCs/>
          <w:iCs/>
          <w:sz w:val="20"/>
          <w:szCs w:val="20"/>
          <w:lang w:val="es-CR" w:eastAsia="en-US"/>
        </w:rPr>
        <w:t>Ulibarri</w:t>
      </w:r>
      <w:proofErr w:type="spellEnd"/>
      <w:r w:rsidRPr="009D7D56">
        <w:rPr>
          <w:rFonts w:ascii="Verdana" w:eastAsia="Calibri" w:hAnsi="Verdana" w:cs="BookAntiqua-BoldItalic"/>
          <w:bCs/>
          <w:iCs/>
          <w:sz w:val="20"/>
          <w:szCs w:val="20"/>
          <w:lang w:val="es-CR" w:eastAsia="en-US"/>
        </w:rPr>
        <w:t xml:space="preserve"> Bilbao en el caso</w:t>
      </w:r>
      <w:r>
        <w:rPr>
          <w:rFonts w:ascii="Verdana" w:eastAsia="Calibri" w:hAnsi="Verdana" w:cs="BookAntiqua-BoldItalic"/>
          <w:bCs/>
          <w:i/>
          <w:iCs/>
          <w:sz w:val="20"/>
          <w:szCs w:val="20"/>
          <w:lang w:val="es-CR" w:eastAsia="en-US"/>
        </w:rPr>
        <w:t xml:space="preserve"> </w:t>
      </w:r>
      <w:r w:rsidRPr="0096303C">
        <w:rPr>
          <w:rFonts w:ascii="Verdana" w:hAnsi="Verdana" w:cs="Verdana"/>
          <w:i/>
          <w:sz w:val="20"/>
          <w:szCs w:val="20"/>
        </w:rPr>
        <w:t>Ríos y otros Vs. Venezuela</w:t>
      </w:r>
      <w:r w:rsidRPr="009D7D56">
        <w:rPr>
          <w:rFonts w:ascii="Verdana" w:hAnsi="Verdana"/>
          <w:sz w:val="20"/>
        </w:rPr>
        <w:t>, ya que podría</w:t>
      </w:r>
      <w:r w:rsidR="009D7D56">
        <w:rPr>
          <w:rFonts w:ascii="Verdana" w:hAnsi="Verdana"/>
          <w:sz w:val="20"/>
        </w:rPr>
        <w:t>n</w:t>
      </w:r>
      <w:r w:rsidRPr="009D7D56">
        <w:rPr>
          <w:rFonts w:ascii="Verdana" w:hAnsi="Verdana"/>
          <w:sz w:val="20"/>
        </w:rPr>
        <w:t xml:space="preserve"> resultar útil</w:t>
      </w:r>
      <w:r w:rsidR="009D7D56">
        <w:rPr>
          <w:rFonts w:ascii="Verdana" w:hAnsi="Verdana"/>
          <w:sz w:val="20"/>
        </w:rPr>
        <w:t>es</w:t>
      </w:r>
      <w:r w:rsidRPr="009D7D56">
        <w:rPr>
          <w:rFonts w:ascii="Verdana" w:hAnsi="Verdana"/>
          <w:sz w:val="20"/>
        </w:rPr>
        <w:t xml:space="preserve"> para la resolución del presente caso.</w:t>
      </w:r>
      <w:r w:rsidR="00AA40DA">
        <w:rPr>
          <w:rFonts w:ascii="Verdana" w:hAnsi="Verdana"/>
          <w:sz w:val="20"/>
        </w:rPr>
        <w:t xml:space="preserve"> Las partes y la Comisión podrán presentar las observaciones que estimen pertinentes a dichos peritajes </w:t>
      </w:r>
      <w:r w:rsidR="00AA40DA">
        <w:rPr>
          <w:rFonts w:ascii="Verdana" w:hAnsi="Verdana" w:cs="Verdana"/>
          <w:sz w:val="20"/>
          <w:szCs w:val="20"/>
        </w:rPr>
        <w:t>a más tardar con sus alegatos u observaciones finales escritos.</w:t>
      </w:r>
    </w:p>
    <w:p w:rsidR="004C4EA6" w:rsidRPr="009D7D56" w:rsidRDefault="004C4EA6" w:rsidP="004C4EA6">
      <w:pPr>
        <w:pStyle w:val="Prrafodelista"/>
        <w:tabs>
          <w:tab w:val="left" w:pos="567"/>
        </w:tabs>
        <w:autoSpaceDE w:val="0"/>
        <w:autoSpaceDN w:val="0"/>
        <w:adjustRightInd w:val="0"/>
        <w:ind w:left="0"/>
        <w:jc w:val="both"/>
        <w:rPr>
          <w:rFonts w:ascii="Verdana" w:hAnsi="Verdana" w:cs="Verdana"/>
          <w:b/>
          <w:i/>
          <w:sz w:val="20"/>
          <w:szCs w:val="20"/>
        </w:rPr>
      </w:pPr>
    </w:p>
    <w:p w:rsidR="00996094" w:rsidRDefault="00996094" w:rsidP="00996094">
      <w:pPr>
        <w:pStyle w:val="Prrafodelista"/>
        <w:widowControl w:val="0"/>
        <w:numPr>
          <w:ilvl w:val="0"/>
          <w:numId w:val="33"/>
        </w:numPr>
        <w:tabs>
          <w:tab w:val="left" w:pos="567"/>
        </w:tabs>
        <w:autoSpaceDE w:val="0"/>
        <w:autoSpaceDN w:val="0"/>
        <w:adjustRightInd w:val="0"/>
        <w:ind w:right="22"/>
        <w:jc w:val="both"/>
        <w:rPr>
          <w:rFonts w:ascii="Verdana" w:hAnsi="Verdana" w:cs="Verdana"/>
          <w:b/>
          <w:bCs/>
          <w:i/>
          <w:sz w:val="20"/>
          <w:szCs w:val="20"/>
        </w:rPr>
      </w:pPr>
      <w:r w:rsidRPr="00996094">
        <w:rPr>
          <w:rFonts w:ascii="Verdana" w:hAnsi="Verdana" w:cs="Verdana"/>
          <w:b/>
          <w:bCs/>
          <w:i/>
          <w:sz w:val="20"/>
          <w:szCs w:val="20"/>
        </w:rPr>
        <w:t>Modalidad de las declaraciones y dictámenes periciales</w:t>
      </w:r>
    </w:p>
    <w:p w:rsidR="00EF57AB" w:rsidRPr="00EF57AB" w:rsidRDefault="00EF57AB" w:rsidP="00EF57AB">
      <w:pPr>
        <w:rPr>
          <w:rFonts w:ascii="Verdana" w:hAnsi="Verdana" w:cs="Verdana"/>
          <w:i/>
          <w:sz w:val="20"/>
          <w:szCs w:val="20"/>
        </w:rPr>
      </w:pPr>
    </w:p>
    <w:p w:rsidR="00EF57AB" w:rsidRPr="00D37038" w:rsidRDefault="00EF57AB" w:rsidP="00D37038">
      <w:pPr>
        <w:pStyle w:val="Prrafodelista"/>
        <w:numPr>
          <w:ilvl w:val="0"/>
          <w:numId w:val="30"/>
        </w:numPr>
        <w:tabs>
          <w:tab w:val="left" w:pos="567"/>
        </w:tabs>
        <w:autoSpaceDE w:val="0"/>
        <w:autoSpaceDN w:val="0"/>
        <w:adjustRightInd w:val="0"/>
        <w:jc w:val="both"/>
        <w:rPr>
          <w:rFonts w:ascii="Verdana" w:hAnsi="Verdana" w:cs="Verdana"/>
          <w:b/>
          <w:bCs/>
          <w:i/>
          <w:sz w:val="20"/>
          <w:szCs w:val="20"/>
        </w:rPr>
      </w:pPr>
      <w:r>
        <w:rPr>
          <w:rFonts w:ascii="Verdana" w:hAnsi="Verdana" w:cs="Verdana"/>
          <w:sz w:val="20"/>
          <w:szCs w:val="20"/>
        </w:rPr>
        <w:t xml:space="preserve">Es necesario asegurar la más amplia presentación de hechos y argumentos por las partes en todo lo que sea pertinente para la solución de las cuestiones controvertidas, garantizando a éstas tanto el derecho a la defensa de sus respectivas posiciones como la posibilidad de atender adecuadamente los casos sujetos a consideración de la Corte, teniendo en cuenta que su número ha crecido considerablemente y se incrementa de manera constante. Asimismo, es necesario que se garantice un plazo razonable en la duración del proceso, como lo requiere el efectivo acceso a la justicia. En razón de lo anterior, es preciso recibir por declaración rendida ante fedatario público el mayor número posible de testimonios y dictámenes periciales, y escuchar en audiencia pública a las </w:t>
      </w:r>
      <w:r w:rsidRPr="00D37038">
        <w:rPr>
          <w:rFonts w:ascii="Verdana" w:hAnsi="Verdana" w:cs="Verdana"/>
          <w:sz w:val="20"/>
          <w:szCs w:val="20"/>
        </w:rPr>
        <w:t>presuntas víctimas, testigos y peritos cuya declaración directa resulte verdaderamente indispensable, tomando en consideración las circunstancias del caso y el objeto de las declaraciones y dictámenes.</w:t>
      </w:r>
    </w:p>
    <w:p w:rsidR="00D37038" w:rsidRPr="00D37038" w:rsidRDefault="00D37038" w:rsidP="00D37038">
      <w:pPr>
        <w:pStyle w:val="Prrafodelista"/>
        <w:tabs>
          <w:tab w:val="left" w:pos="567"/>
        </w:tabs>
        <w:autoSpaceDE w:val="0"/>
        <w:autoSpaceDN w:val="0"/>
        <w:adjustRightInd w:val="0"/>
        <w:ind w:left="0"/>
        <w:jc w:val="both"/>
        <w:rPr>
          <w:rFonts w:ascii="Verdana" w:hAnsi="Verdana" w:cs="Verdana"/>
          <w:b/>
          <w:bCs/>
          <w:i/>
          <w:sz w:val="20"/>
          <w:szCs w:val="20"/>
        </w:rPr>
      </w:pPr>
    </w:p>
    <w:p w:rsidR="00D37038" w:rsidRPr="00D37038" w:rsidRDefault="00D37038" w:rsidP="00D37038">
      <w:pPr>
        <w:pStyle w:val="Prrafodelista"/>
        <w:tabs>
          <w:tab w:val="left" w:pos="567"/>
        </w:tabs>
        <w:autoSpaceDE w:val="0"/>
        <w:autoSpaceDN w:val="0"/>
        <w:adjustRightInd w:val="0"/>
        <w:ind w:left="0"/>
        <w:jc w:val="both"/>
        <w:rPr>
          <w:rFonts w:ascii="Verdana" w:hAnsi="Verdana"/>
          <w:b/>
          <w:sz w:val="20"/>
          <w:szCs w:val="20"/>
        </w:rPr>
      </w:pPr>
      <w:r w:rsidRPr="00D37038">
        <w:rPr>
          <w:rFonts w:ascii="Verdana" w:hAnsi="Verdana" w:cs="Verdana"/>
          <w:b/>
          <w:bCs/>
          <w:sz w:val="20"/>
          <w:szCs w:val="20"/>
        </w:rPr>
        <w:t xml:space="preserve">E.1. </w:t>
      </w:r>
      <w:r w:rsidRPr="00D37038">
        <w:rPr>
          <w:rFonts w:ascii="Verdana" w:hAnsi="Verdana"/>
          <w:b/>
          <w:sz w:val="20"/>
          <w:szCs w:val="20"/>
        </w:rPr>
        <w:t>Declaraciones y dictámenes periciales a ser rendidos por affidavit</w:t>
      </w:r>
    </w:p>
    <w:p w:rsidR="00D37038" w:rsidRPr="00D37038" w:rsidRDefault="00D37038" w:rsidP="00D37038">
      <w:pPr>
        <w:pStyle w:val="Prrafodelista"/>
        <w:tabs>
          <w:tab w:val="left" w:pos="567"/>
        </w:tabs>
        <w:autoSpaceDE w:val="0"/>
        <w:autoSpaceDN w:val="0"/>
        <w:adjustRightInd w:val="0"/>
        <w:ind w:left="0"/>
        <w:jc w:val="both"/>
        <w:rPr>
          <w:rFonts w:ascii="Verdana" w:hAnsi="Verdana" w:cs="Verdana"/>
          <w:b/>
          <w:bCs/>
          <w:sz w:val="20"/>
          <w:szCs w:val="20"/>
        </w:rPr>
      </w:pPr>
    </w:p>
    <w:p w:rsidR="00D37038" w:rsidRPr="00D37038" w:rsidRDefault="00D37038" w:rsidP="00D37038">
      <w:pPr>
        <w:numPr>
          <w:ilvl w:val="0"/>
          <w:numId w:val="30"/>
        </w:numPr>
        <w:autoSpaceDE w:val="0"/>
        <w:autoSpaceDN w:val="0"/>
        <w:adjustRightInd w:val="0"/>
        <w:jc w:val="both"/>
        <w:rPr>
          <w:rFonts w:ascii="Verdana" w:hAnsi="Verdana"/>
          <w:bCs/>
          <w:sz w:val="20"/>
          <w:szCs w:val="20"/>
        </w:rPr>
      </w:pPr>
      <w:r w:rsidRPr="00D37038">
        <w:rPr>
          <w:rFonts w:ascii="Verdana" w:hAnsi="Verdana"/>
          <w:bCs/>
          <w:sz w:val="20"/>
          <w:szCs w:val="20"/>
        </w:rPr>
        <w:t xml:space="preserve">Teniendo </w:t>
      </w:r>
      <w:r w:rsidRPr="00D37038">
        <w:rPr>
          <w:rFonts w:ascii="Verdana" w:hAnsi="Verdana"/>
          <w:sz w:val="20"/>
          <w:szCs w:val="20"/>
        </w:rPr>
        <w:t>en cuenta lo estipulado en el artículo 50.1 del Reglamento, lo indicado por la Comisión, los representantes y el Estado en sus listas definitivas de declarantes, el objeto de las declaraciones ofrecidas, así como el principio de economía procesal, el Presidente estima conveniente recibir, por medio de declaración rendida ante fedatario público, las declaraciones descritas en el punto resolutivo primero de esta decisión</w:t>
      </w:r>
      <w:r w:rsidRPr="00D37038">
        <w:rPr>
          <w:rFonts w:ascii="Verdana" w:hAnsi="Verdana" w:cs="Verdana"/>
          <w:sz w:val="20"/>
          <w:szCs w:val="20"/>
        </w:rPr>
        <w:t>.</w:t>
      </w:r>
    </w:p>
    <w:p w:rsidR="00EA3914" w:rsidRPr="00291DB5" w:rsidRDefault="00D37038" w:rsidP="00EA3914">
      <w:pPr>
        <w:autoSpaceDE w:val="0"/>
        <w:autoSpaceDN w:val="0"/>
        <w:adjustRightInd w:val="0"/>
        <w:jc w:val="both"/>
        <w:rPr>
          <w:rFonts w:ascii="Verdana" w:hAnsi="Verdana"/>
          <w:bCs/>
          <w:sz w:val="20"/>
          <w:szCs w:val="20"/>
        </w:rPr>
      </w:pPr>
      <w:r w:rsidRPr="00D37038">
        <w:rPr>
          <w:rFonts w:ascii="Verdana" w:hAnsi="Verdana"/>
          <w:sz w:val="20"/>
          <w:szCs w:val="20"/>
        </w:rPr>
        <w:t xml:space="preserve"> </w:t>
      </w:r>
    </w:p>
    <w:p w:rsidR="00EA3914" w:rsidRPr="00291DB5" w:rsidRDefault="00EA3914" w:rsidP="00EA3914">
      <w:pPr>
        <w:pStyle w:val="Prrafodelista"/>
        <w:tabs>
          <w:tab w:val="left" w:pos="567"/>
        </w:tabs>
        <w:autoSpaceDE w:val="0"/>
        <w:autoSpaceDN w:val="0"/>
        <w:adjustRightInd w:val="0"/>
        <w:ind w:left="0"/>
        <w:jc w:val="both"/>
        <w:rPr>
          <w:rFonts w:ascii="Verdana" w:hAnsi="Verdana"/>
          <w:b/>
          <w:sz w:val="20"/>
          <w:szCs w:val="20"/>
        </w:rPr>
      </w:pPr>
      <w:r w:rsidRPr="00291DB5">
        <w:rPr>
          <w:rFonts w:ascii="Verdana" w:hAnsi="Verdana" w:cs="Verdana"/>
          <w:b/>
          <w:bCs/>
          <w:sz w:val="20"/>
          <w:szCs w:val="20"/>
        </w:rPr>
        <w:lastRenderedPageBreak/>
        <w:t>E.1. Declaraciones y dictámenes a ser rendidos en audiencia pública</w:t>
      </w:r>
    </w:p>
    <w:p w:rsidR="00EA3914" w:rsidRPr="00291DB5" w:rsidRDefault="00EA3914" w:rsidP="00EA3914">
      <w:pPr>
        <w:autoSpaceDE w:val="0"/>
        <w:autoSpaceDN w:val="0"/>
        <w:adjustRightInd w:val="0"/>
        <w:jc w:val="both"/>
        <w:rPr>
          <w:rFonts w:ascii="Verdana" w:hAnsi="Verdana"/>
          <w:bCs/>
          <w:sz w:val="20"/>
          <w:szCs w:val="20"/>
        </w:rPr>
      </w:pPr>
    </w:p>
    <w:p w:rsidR="00C3654A" w:rsidRPr="00291DB5" w:rsidRDefault="00C3654A" w:rsidP="00C3654A">
      <w:pPr>
        <w:numPr>
          <w:ilvl w:val="0"/>
          <w:numId w:val="30"/>
        </w:numPr>
        <w:autoSpaceDE w:val="0"/>
        <w:autoSpaceDN w:val="0"/>
        <w:adjustRightInd w:val="0"/>
        <w:jc w:val="both"/>
        <w:rPr>
          <w:rFonts w:ascii="Verdana" w:hAnsi="Verdana"/>
          <w:bCs/>
          <w:sz w:val="20"/>
          <w:szCs w:val="20"/>
        </w:rPr>
      </w:pPr>
      <w:r w:rsidRPr="00291DB5">
        <w:rPr>
          <w:rFonts w:ascii="Verdana" w:hAnsi="Verdana"/>
          <w:sz w:val="20"/>
          <w:szCs w:val="20"/>
        </w:rPr>
        <w:t>Los</w:t>
      </w:r>
      <w:r w:rsidRPr="00291DB5">
        <w:rPr>
          <w:rFonts w:ascii="Verdana" w:hAnsi="Verdana"/>
          <w:bCs/>
          <w:sz w:val="20"/>
          <w:szCs w:val="20"/>
        </w:rPr>
        <w:t xml:space="preserve"> </w:t>
      </w:r>
      <w:r w:rsidRPr="00291DB5">
        <w:rPr>
          <w:rFonts w:ascii="Verdana" w:hAnsi="Verdana"/>
          <w:sz w:val="20"/>
          <w:szCs w:val="20"/>
        </w:rPr>
        <w:t>autos en el presente caso se encuentran listos para la apertura del procedimiento oral en cuanto a las excepciones preliminares, fondo y eventuales reparaciones y costas, por lo que el Presidente estima pertinente convocar a una audiencia pública para recibir las declaraciones de una</w:t>
      </w:r>
      <w:r w:rsidRPr="00291DB5">
        <w:rPr>
          <w:rFonts w:ascii="Verdana" w:hAnsi="Verdana" w:cs="Verdana"/>
          <w:sz w:val="20"/>
          <w:szCs w:val="20"/>
        </w:rPr>
        <w:t xml:space="preserve"> presunta víctima, un testigo y un perito, propuestos por los representantes, la Comisión y el Estado, respectivamente, y señalados en el punto resolutivo </w:t>
      </w:r>
      <w:r w:rsidR="00E1002F">
        <w:rPr>
          <w:rFonts w:ascii="Verdana" w:hAnsi="Verdana" w:cs="Verdana"/>
          <w:sz w:val="20"/>
          <w:szCs w:val="20"/>
        </w:rPr>
        <w:t>quinto</w:t>
      </w:r>
      <w:r w:rsidRPr="00291DB5">
        <w:rPr>
          <w:rFonts w:ascii="Verdana" w:hAnsi="Verdana" w:cs="Verdana"/>
          <w:sz w:val="20"/>
          <w:szCs w:val="20"/>
        </w:rPr>
        <w:t xml:space="preserve"> de esta decisión.</w:t>
      </w:r>
    </w:p>
    <w:p w:rsidR="00C3654A" w:rsidRPr="00EF57AB" w:rsidRDefault="00C3654A" w:rsidP="00D37038">
      <w:pPr>
        <w:pStyle w:val="Prrafodelista"/>
        <w:tabs>
          <w:tab w:val="left" w:pos="567"/>
        </w:tabs>
        <w:autoSpaceDE w:val="0"/>
        <w:autoSpaceDN w:val="0"/>
        <w:adjustRightInd w:val="0"/>
        <w:ind w:left="0"/>
        <w:jc w:val="both"/>
        <w:rPr>
          <w:rFonts w:ascii="Verdana" w:hAnsi="Verdana" w:cs="Verdana"/>
          <w:b/>
          <w:bCs/>
          <w:i/>
          <w:sz w:val="20"/>
          <w:szCs w:val="20"/>
        </w:rPr>
      </w:pPr>
    </w:p>
    <w:p w:rsidR="00ED59BB" w:rsidRPr="00D73D07" w:rsidRDefault="00D73D07" w:rsidP="00C45F7B">
      <w:pPr>
        <w:pStyle w:val="Prrafodelista"/>
        <w:numPr>
          <w:ilvl w:val="0"/>
          <w:numId w:val="33"/>
        </w:numPr>
        <w:jc w:val="both"/>
        <w:rPr>
          <w:rFonts w:ascii="Verdana" w:hAnsi="Verdana" w:cs="Verdana"/>
          <w:b/>
          <w:i/>
          <w:sz w:val="20"/>
          <w:szCs w:val="20"/>
        </w:rPr>
      </w:pPr>
      <w:r>
        <w:rPr>
          <w:rFonts w:ascii="Verdana" w:hAnsi="Verdana" w:cs="Verdana"/>
          <w:b/>
          <w:i/>
          <w:sz w:val="20"/>
          <w:szCs w:val="20"/>
        </w:rPr>
        <w:t>A</w:t>
      </w:r>
      <w:r w:rsidRPr="00D73D07">
        <w:rPr>
          <w:rFonts w:ascii="Verdana" w:hAnsi="Verdana" w:cs="Verdana"/>
          <w:b/>
          <w:i/>
          <w:sz w:val="20"/>
          <w:szCs w:val="20"/>
        </w:rPr>
        <w:t>legatos y observaciones finales orales y escritos</w:t>
      </w:r>
    </w:p>
    <w:p w:rsidR="00A96DAB" w:rsidRPr="00C3654A" w:rsidRDefault="00A96DAB" w:rsidP="00A96DAB">
      <w:pPr>
        <w:autoSpaceDE w:val="0"/>
        <w:autoSpaceDN w:val="0"/>
        <w:adjustRightInd w:val="0"/>
        <w:jc w:val="both"/>
        <w:rPr>
          <w:rFonts w:ascii="Verdana" w:hAnsi="Verdana"/>
          <w:bCs/>
          <w:sz w:val="20"/>
          <w:szCs w:val="20"/>
        </w:rPr>
      </w:pPr>
    </w:p>
    <w:p w:rsidR="00A96DAB" w:rsidRDefault="00A96DAB" w:rsidP="00A96DAB">
      <w:pPr>
        <w:numPr>
          <w:ilvl w:val="0"/>
          <w:numId w:val="30"/>
        </w:numPr>
        <w:autoSpaceDE w:val="0"/>
        <w:autoSpaceDN w:val="0"/>
        <w:adjustRightInd w:val="0"/>
        <w:jc w:val="both"/>
        <w:rPr>
          <w:rFonts w:ascii="Verdana" w:hAnsi="Verdana" w:cs="Verdana"/>
          <w:sz w:val="20"/>
          <w:szCs w:val="20"/>
        </w:rPr>
      </w:pPr>
      <w:r w:rsidRPr="00D27F63">
        <w:rPr>
          <w:rFonts w:ascii="Verdana" w:hAnsi="Verdana" w:cs="Verdana"/>
          <w:sz w:val="20"/>
          <w:szCs w:val="20"/>
        </w:rPr>
        <w:t xml:space="preserve">Los representantes y el Estado podrán presentar ante el Tribunal sus alegatos finales orales sobre las excepciones preliminares y eventuales fondo, reparaciones y costas en este caso, respectivamente, al término de las declaraciones y el peritaje rendidos en audiencia pública. Como se establece en el artículo 51.8 del Reglamento, concluidos dichos alegatos, la Comisión Interamericana presentará sus observaciones finales orales. </w:t>
      </w:r>
    </w:p>
    <w:p w:rsidR="00A96DAB" w:rsidRDefault="00A96DAB" w:rsidP="00A96DAB">
      <w:pPr>
        <w:autoSpaceDE w:val="0"/>
        <w:autoSpaceDN w:val="0"/>
        <w:adjustRightInd w:val="0"/>
        <w:jc w:val="both"/>
        <w:rPr>
          <w:rFonts w:ascii="Verdana" w:hAnsi="Verdana" w:cs="Verdana"/>
          <w:sz w:val="20"/>
          <w:szCs w:val="20"/>
        </w:rPr>
      </w:pPr>
    </w:p>
    <w:p w:rsidR="00A96DAB" w:rsidRPr="00A96DAB" w:rsidRDefault="00A96DAB" w:rsidP="00A96DAB">
      <w:pPr>
        <w:numPr>
          <w:ilvl w:val="0"/>
          <w:numId w:val="30"/>
        </w:numPr>
        <w:autoSpaceDE w:val="0"/>
        <w:autoSpaceDN w:val="0"/>
        <w:adjustRightInd w:val="0"/>
        <w:jc w:val="both"/>
        <w:rPr>
          <w:rFonts w:ascii="Verdana" w:hAnsi="Verdana" w:cs="Verdana"/>
          <w:sz w:val="20"/>
          <w:szCs w:val="20"/>
        </w:rPr>
      </w:pPr>
      <w:r w:rsidRPr="00A96DAB">
        <w:rPr>
          <w:rFonts w:ascii="Verdana" w:hAnsi="Verdana" w:cs="Verdana"/>
          <w:sz w:val="20"/>
          <w:szCs w:val="20"/>
        </w:rPr>
        <w:t xml:space="preserve">De acuerdo con el artículo 56 del Reglamento, las presuntas víctimas o sus representantes, el Estado y la Comisión podrán presentar sus alegatos finales escritos y observaciones finales escritas, respectivamente, en relación con las excepciones preliminares y eventuales fondo, reparaciones y costas, en el plazo fijado en el punto resolutivo decimosegundo de esta Resolución. </w:t>
      </w:r>
    </w:p>
    <w:p w:rsidR="00A90A2F" w:rsidRDefault="00236466" w:rsidP="00FE6904">
      <w:pPr>
        <w:jc w:val="both"/>
        <w:rPr>
          <w:rFonts w:ascii="Verdana" w:hAnsi="Verdana" w:cs="Verdana"/>
          <w:b/>
          <w:bCs/>
          <w:sz w:val="20"/>
          <w:szCs w:val="20"/>
          <w:lang w:val="es-CR"/>
        </w:rPr>
      </w:pPr>
      <w:r w:rsidRPr="00D11A78">
        <w:rPr>
          <w:rFonts w:ascii="Verdana" w:hAnsi="Verdana" w:cs="Verdana"/>
          <w:b/>
          <w:bCs/>
          <w:sz w:val="20"/>
          <w:szCs w:val="20"/>
          <w:lang w:val="es-CR"/>
        </w:rPr>
        <w:tab/>
      </w:r>
    </w:p>
    <w:p w:rsidR="00FE6904" w:rsidRPr="00FE6904" w:rsidRDefault="00FE6904" w:rsidP="00FE6904">
      <w:pPr>
        <w:jc w:val="both"/>
        <w:rPr>
          <w:rFonts w:ascii="Verdana" w:hAnsi="Verdana"/>
          <w:sz w:val="16"/>
          <w:szCs w:val="16"/>
          <w:lang w:val="es-CR"/>
        </w:rPr>
      </w:pPr>
    </w:p>
    <w:p w:rsidR="00236466" w:rsidRPr="00542BD5" w:rsidRDefault="00236466" w:rsidP="00A43BA7">
      <w:pPr>
        <w:jc w:val="both"/>
        <w:rPr>
          <w:rFonts w:ascii="Verdana" w:hAnsi="Verdana" w:cs="Verdana"/>
          <w:b/>
          <w:bCs/>
          <w:sz w:val="20"/>
          <w:szCs w:val="20"/>
        </w:rPr>
      </w:pPr>
      <w:r w:rsidRPr="00542BD5">
        <w:rPr>
          <w:rFonts w:ascii="Verdana" w:hAnsi="Verdana" w:cs="Verdana"/>
          <w:b/>
          <w:bCs/>
          <w:sz w:val="20"/>
          <w:szCs w:val="20"/>
        </w:rPr>
        <w:t>POR TANTO:</w:t>
      </w:r>
    </w:p>
    <w:p w:rsidR="00236466" w:rsidRPr="00AB4811" w:rsidRDefault="00236466" w:rsidP="00A43B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236466" w:rsidRPr="00542BD5" w:rsidRDefault="00236466" w:rsidP="00A43B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r w:rsidRPr="00BA612D">
        <w:rPr>
          <w:rFonts w:ascii="Verdana" w:hAnsi="Verdana" w:cs="Verdana"/>
          <w:b/>
          <w:bCs/>
          <w:sz w:val="20"/>
          <w:szCs w:val="20"/>
        </w:rPr>
        <w:t>EL PRESIDENTE</w:t>
      </w:r>
      <w:r>
        <w:rPr>
          <w:rFonts w:ascii="Verdana" w:hAnsi="Verdana" w:cs="Verdana"/>
          <w:b/>
          <w:bCs/>
          <w:sz w:val="20"/>
          <w:szCs w:val="20"/>
        </w:rPr>
        <w:t xml:space="preserve"> DE LA CORTE </w:t>
      </w:r>
      <w:r w:rsidRPr="00542BD5">
        <w:rPr>
          <w:rFonts w:ascii="Verdana" w:hAnsi="Verdana" w:cs="Verdana"/>
          <w:b/>
          <w:bCs/>
          <w:sz w:val="20"/>
          <w:szCs w:val="20"/>
        </w:rPr>
        <w:t>INTERAMERICANA DE DERECHOS HUMANOS,</w:t>
      </w:r>
    </w:p>
    <w:p w:rsidR="00236466" w:rsidRPr="00542BD5" w:rsidRDefault="00236466" w:rsidP="00A43B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236466" w:rsidRDefault="00236466" w:rsidP="00A43BA7">
      <w:pPr>
        <w:widowControl w:val="0"/>
        <w:tabs>
          <w:tab w:val="left" w:pos="720"/>
        </w:tabs>
        <w:autoSpaceDE w:val="0"/>
        <w:autoSpaceDN w:val="0"/>
        <w:adjustRightInd w:val="0"/>
        <w:jc w:val="both"/>
        <w:rPr>
          <w:rFonts w:ascii="Verdana" w:hAnsi="Verdana" w:cs="Verdana"/>
          <w:sz w:val="20"/>
          <w:szCs w:val="20"/>
        </w:rPr>
      </w:pPr>
      <w:r>
        <w:rPr>
          <w:rFonts w:ascii="Verdana" w:hAnsi="Verdana" w:cs="Verdana"/>
          <w:sz w:val="20"/>
          <w:szCs w:val="20"/>
        </w:rPr>
        <w:t xml:space="preserve">De conformidad con los artículos 24.1 y 25.2 del Estatuto de la Corte y con los artículos 4, 15.1, 26, 31.2, 35.1, 40.2, 41.1. 45, 46, 50 a 56, 58 y 60 del Reglamento del Tribunal, </w:t>
      </w:r>
    </w:p>
    <w:p w:rsidR="00236466" w:rsidRDefault="00236466" w:rsidP="00A43BA7">
      <w:pPr>
        <w:widowControl w:val="0"/>
        <w:tabs>
          <w:tab w:val="left" w:pos="720"/>
        </w:tabs>
        <w:autoSpaceDE w:val="0"/>
        <w:autoSpaceDN w:val="0"/>
        <w:adjustRightInd w:val="0"/>
        <w:jc w:val="both"/>
        <w:rPr>
          <w:rFonts w:ascii="Verdana" w:hAnsi="Verdana" w:cs="Verdana"/>
          <w:sz w:val="20"/>
          <w:szCs w:val="20"/>
        </w:rPr>
      </w:pPr>
    </w:p>
    <w:p w:rsidR="00236466" w:rsidRDefault="00236466" w:rsidP="00A43BA7">
      <w:pPr>
        <w:widowControl w:val="0"/>
        <w:tabs>
          <w:tab w:val="left" w:pos="720"/>
        </w:tabs>
        <w:autoSpaceDE w:val="0"/>
        <w:autoSpaceDN w:val="0"/>
        <w:adjustRightInd w:val="0"/>
        <w:jc w:val="both"/>
        <w:rPr>
          <w:rFonts w:ascii="Verdana" w:hAnsi="Verdana" w:cs="Verdana"/>
          <w:sz w:val="20"/>
          <w:szCs w:val="20"/>
        </w:rPr>
      </w:pPr>
    </w:p>
    <w:p w:rsidR="00236466" w:rsidRDefault="00236466" w:rsidP="00A43BA7">
      <w:pPr>
        <w:widowControl w:val="0"/>
        <w:tabs>
          <w:tab w:val="left" w:pos="720"/>
        </w:tabs>
        <w:autoSpaceDE w:val="0"/>
        <w:autoSpaceDN w:val="0"/>
        <w:adjustRightInd w:val="0"/>
        <w:jc w:val="both"/>
        <w:rPr>
          <w:rFonts w:ascii="Verdana" w:hAnsi="Verdana" w:cs="Verdana"/>
          <w:b/>
          <w:bCs/>
          <w:sz w:val="20"/>
          <w:szCs w:val="20"/>
        </w:rPr>
      </w:pPr>
      <w:r>
        <w:rPr>
          <w:rFonts w:ascii="Verdana" w:hAnsi="Verdana" w:cs="Verdana"/>
          <w:b/>
          <w:bCs/>
          <w:sz w:val="20"/>
          <w:szCs w:val="20"/>
        </w:rPr>
        <w:t>RESUELVE</w:t>
      </w:r>
      <w:r w:rsidRPr="0025650B">
        <w:rPr>
          <w:rFonts w:ascii="Verdana" w:hAnsi="Verdana" w:cs="Verdana"/>
          <w:b/>
          <w:bCs/>
          <w:sz w:val="20"/>
          <w:szCs w:val="20"/>
        </w:rPr>
        <w:t>:</w:t>
      </w:r>
    </w:p>
    <w:p w:rsidR="00236466" w:rsidRPr="0025650B" w:rsidRDefault="00236466" w:rsidP="00A43BA7">
      <w:pPr>
        <w:widowControl w:val="0"/>
        <w:tabs>
          <w:tab w:val="left" w:pos="720"/>
        </w:tabs>
        <w:autoSpaceDE w:val="0"/>
        <w:autoSpaceDN w:val="0"/>
        <w:adjustRightInd w:val="0"/>
        <w:jc w:val="both"/>
        <w:rPr>
          <w:rFonts w:ascii="Verdana" w:hAnsi="Verdana" w:cs="Verdana"/>
          <w:b/>
          <w:bCs/>
          <w:sz w:val="20"/>
          <w:szCs w:val="20"/>
        </w:rPr>
      </w:pPr>
    </w:p>
    <w:p w:rsidR="00236466" w:rsidRPr="00F521A8" w:rsidRDefault="00236466" w:rsidP="00A43BA7">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r>
        <w:rPr>
          <w:rFonts w:ascii="Verdana" w:hAnsi="Verdana" w:cs="Verdana"/>
          <w:sz w:val="20"/>
          <w:szCs w:val="20"/>
        </w:rPr>
        <w:t>1.</w:t>
      </w:r>
      <w:r>
        <w:rPr>
          <w:rFonts w:ascii="Verdana" w:hAnsi="Verdana" w:cs="Verdana"/>
          <w:sz w:val="20"/>
          <w:szCs w:val="20"/>
        </w:rPr>
        <w:tab/>
        <w:t>Requerir, por las razones expuestas en la presente Resolución (</w:t>
      </w:r>
      <w:r>
        <w:rPr>
          <w:rFonts w:ascii="Verdana" w:hAnsi="Verdana" w:cs="Verdana"/>
          <w:i/>
          <w:iCs/>
          <w:sz w:val="20"/>
          <w:szCs w:val="20"/>
        </w:rPr>
        <w:t>supra</w:t>
      </w:r>
      <w:r w:rsidR="00A30F79">
        <w:rPr>
          <w:rFonts w:ascii="Verdana" w:hAnsi="Verdana" w:cs="Verdana"/>
          <w:sz w:val="20"/>
          <w:szCs w:val="20"/>
        </w:rPr>
        <w:t xml:space="preserve"> Considerando</w:t>
      </w:r>
      <w:r w:rsidR="00377B4C">
        <w:rPr>
          <w:rFonts w:ascii="Verdana" w:hAnsi="Verdana" w:cs="Verdana"/>
          <w:sz w:val="20"/>
          <w:szCs w:val="20"/>
        </w:rPr>
        <w:t>s</w:t>
      </w:r>
      <w:r w:rsidR="00A30F79">
        <w:rPr>
          <w:rFonts w:ascii="Verdana" w:hAnsi="Verdana" w:cs="Verdana"/>
          <w:sz w:val="20"/>
          <w:szCs w:val="20"/>
        </w:rPr>
        <w:t xml:space="preserve"> </w:t>
      </w:r>
      <w:r w:rsidR="00E1002F">
        <w:rPr>
          <w:rFonts w:ascii="Verdana" w:hAnsi="Verdana" w:cs="Verdana"/>
          <w:sz w:val="20"/>
          <w:szCs w:val="20"/>
        </w:rPr>
        <w:t>38 y 39</w:t>
      </w:r>
      <w:r>
        <w:rPr>
          <w:rFonts w:ascii="Verdana" w:hAnsi="Verdana" w:cs="Verdana"/>
          <w:sz w:val="20"/>
          <w:szCs w:val="20"/>
        </w:rPr>
        <w:t xml:space="preserve">), de conformidad con el principio de economía procesal y en ejercicio de la facultad que le otorga el artículo 50.1 del Reglamento de la Corte, que las siguientes </w:t>
      </w:r>
      <w:r w:rsidRPr="00F521A8">
        <w:rPr>
          <w:rFonts w:ascii="Verdana" w:hAnsi="Verdana" w:cs="Verdana"/>
          <w:sz w:val="20"/>
          <w:szCs w:val="20"/>
        </w:rPr>
        <w:t>personas presten sus declaraciones ante fedatario público (</w:t>
      </w:r>
      <w:r w:rsidRPr="00F521A8">
        <w:rPr>
          <w:rFonts w:ascii="Verdana" w:hAnsi="Verdana" w:cs="Verdana"/>
          <w:i/>
          <w:iCs/>
          <w:sz w:val="20"/>
          <w:szCs w:val="20"/>
        </w:rPr>
        <w:t>affidávit</w:t>
      </w:r>
      <w:r w:rsidRPr="00F521A8">
        <w:rPr>
          <w:rFonts w:ascii="Verdana" w:hAnsi="Verdana" w:cs="Verdana"/>
          <w:sz w:val="20"/>
          <w:szCs w:val="20"/>
        </w:rPr>
        <w:t>):</w:t>
      </w:r>
    </w:p>
    <w:p w:rsidR="004079F4" w:rsidRPr="00F521A8" w:rsidRDefault="004079F4" w:rsidP="00A43B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F521A8" w:rsidRPr="00F521A8" w:rsidRDefault="00F521A8" w:rsidP="00F521A8">
      <w:pPr>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rFonts w:ascii="Verdana" w:hAnsi="Verdana" w:cs="Helvetica"/>
          <w:b/>
          <w:sz w:val="20"/>
          <w:szCs w:val="20"/>
          <w:lang w:bidi="en-US"/>
        </w:rPr>
      </w:pPr>
      <w:r w:rsidRPr="00F521A8">
        <w:rPr>
          <w:rFonts w:ascii="Verdana" w:hAnsi="Verdana" w:cs="ArialMT"/>
          <w:b/>
          <w:i/>
          <w:iCs/>
          <w:sz w:val="20"/>
          <w:szCs w:val="20"/>
          <w:lang w:bidi="en-US"/>
        </w:rPr>
        <w:t xml:space="preserve">Presuntas víctimas </w:t>
      </w:r>
      <w:r w:rsidRPr="00F521A8">
        <w:rPr>
          <w:rFonts w:ascii="Verdana" w:hAnsi="Verdana" w:cs="ArialMT"/>
          <w:b/>
          <w:iCs/>
          <w:sz w:val="20"/>
          <w:szCs w:val="20"/>
          <w:lang w:bidi="en-US"/>
        </w:rPr>
        <w:t>(propuestas por los representantes)</w:t>
      </w:r>
    </w:p>
    <w:p w:rsidR="00236466" w:rsidRPr="00F521A8" w:rsidRDefault="00236466" w:rsidP="00F521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sz w:val="20"/>
          <w:szCs w:val="20"/>
        </w:rPr>
      </w:pPr>
    </w:p>
    <w:p w:rsidR="00236466" w:rsidRPr="00907C77" w:rsidRDefault="00BD595E" w:rsidP="00A43BA7">
      <w:pPr>
        <w:pStyle w:val="Prrafodelista"/>
        <w:numPr>
          <w:ilvl w:val="0"/>
          <w:numId w:val="19"/>
        </w:numPr>
        <w:jc w:val="both"/>
        <w:rPr>
          <w:rFonts w:ascii="Verdana" w:hAnsi="Verdana" w:cs="Verdana"/>
          <w:sz w:val="20"/>
          <w:szCs w:val="20"/>
        </w:rPr>
      </w:pPr>
      <w:r w:rsidRPr="00BD595E">
        <w:rPr>
          <w:rFonts w:ascii="Verdana" w:hAnsi="Verdana" w:cs="Verdana"/>
          <w:i/>
          <w:sz w:val="20"/>
          <w:szCs w:val="20"/>
        </w:rPr>
        <w:t xml:space="preserve">Jaime </w:t>
      </w:r>
      <w:proofErr w:type="spellStart"/>
      <w:r w:rsidRPr="00BD595E">
        <w:rPr>
          <w:rFonts w:ascii="Verdana" w:hAnsi="Verdana" w:cs="Verdana"/>
          <w:i/>
          <w:sz w:val="20"/>
          <w:szCs w:val="20"/>
        </w:rPr>
        <w:t>Nestares</w:t>
      </w:r>
      <w:proofErr w:type="spellEnd"/>
      <w:r w:rsidRPr="00BD595E">
        <w:rPr>
          <w:rFonts w:ascii="Verdana" w:hAnsi="Verdana" w:cs="Verdana"/>
          <w:i/>
          <w:sz w:val="20"/>
          <w:szCs w:val="20"/>
        </w:rPr>
        <w:t xml:space="preserve">, Peter </w:t>
      </w:r>
      <w:proofErr w:type="spellStart"/>
      <w:r w:rsidRPr="00BD595E">
        <w:rPr>
          <w:rFonts w:ascii="Verdana" w:hAnsi="Verdana" w:cs="Verdana"/>
          <w:i/>
          <w:sz w:val="20"/>
          <w:szCs w:val="20"/>
        </w:rPr>
        <w:t>Bottome</w:t>
      </w:r>
      <w:proofErr w:type="spellEnd"/>
      <w:r w:rsidRPr="00BD595E">
        <w:rPr>
          <w:rFonts w:ascii="Verdana" w:hAnsi="Verdana" w:cs="Verdana"/>
          <w:i/>
          <w:sz w:val="20"/>
          <w:szCs w:val="20"/>
        </w:rPr>
        <w:t xml:space="preserve">, </w:t>
      </w:r>
      <w:proofErr w:type="spellStart"/>
      <w:r w:rsidRPr="00BD595E">
        <w:rPr>
          <w:rFonts w:ascii="Verdana" w:hAnsi="Verdana" w:cs="Verdana"/>
          <w:i/>
          <w:sz w:val="20"/>
          <w:szCs w:val="20"/>
        </w:rPr>
        <w:t>Anani</w:t>
      </w:r>
      <w:proofErr w:type="spellEnd"/>
      <w:r w:rsidRPr="00BD595E">
        <w:rPr>
          <w:rFonts w:ascii="Verdana" w:hAnsi="Verdana" w:cs="Verdana"/>
          <w:i/>
          <w:sz w:val="20"/>
          <w:szCs w:val="20"/>
        </w:rPr>
        <w:t xml:space="preserve"> Hernández, </w:t>
      </w:r>
      <w:proofErr w:type="spellStart"/>
      <w:r w:rsidRPr="00BD595E">
        <w:rPr>
          <w:rFonts w:ascii="Verdana" w:hAnsi="Verdana" w:cs="Verdana"/>
          <w:i/>
          <w:sz w:val="20"/>
          <w:szCs w:val="20"/>
        </w:rPr>
        <w:t>Maria</w:t>
      </w:r>
      <w:proofErr w:type="spellEnd"/>
      <w:r w:rsidRPr="00BD595E">
        <w:rPr>
          <w:rFonts w:ascii="Verdana" w:hAnsi="Verdana" w:cs="Verdana"/>
          <w:i/>
          <w:sz w:val="20"/>
          <w:szCs w:val="20"/>
        </w:rPr>
        <w:t xml:space="preserve"> Arriaga, Soraya Castellano y Larissa </w:t>
      </w:r>
      <w:proofErr w:type="spellStart"/>
      <w:r w:rsidRPr="00BD595E">
        <w:rPr>
          <w:rFonts w:ascii="Verdana" w:hAnsi="Verdana" w:cs="Verdana"/>
          <w:i/>
          <w:sz w:val="20"/>
          <w:szCs w:val="20"/>
        </w:rPr>
        <w:t>Pariño</w:t>
      </w:r>
      <w:proofErr w:type="spellEnd"/>
      <w:r w:rsidR="00236466" w:rsidRPr="00F521A8">
        <w:rPr>
          <w:rFonts w:ascii="Verdana" w:hAnsi="Verdana" w:cs="Verdana"/>
          <w:sz w:val="20"/>
          <w:szCs w:val="20"/>
        </w:rPr>
        <w:t xml:space="preserve">, </w:t>
      </w:r>
      <w:r>
        <w:rPr>
          <w:rFonts w:ascii="Verdana" w:hAnsi="Verdana" w:cs="Verdana"/>
          <w:sz w:val="20"/>
          <w:szCs w:val="20"/>
        </w:rPr>
        <w:t xml:space="preserve">quienes </w:t>
      </w:r>
      <w:r w:rsidRPr="00796960">
        <w:rPr>
          <w:rFonts w:ascii="Verdana" w:hAnsi="Verdana" w:cs="Verdana"/>
          <w:sz w:val="20"/>
          <w:szCs w:val="20"/>
        </w:rPr>
        <w:t>declararán sobre</w:t>
      </w:r>
      <w:r w:rsidR="001F0AFB">
        <w:rPr>
          <w:rFonts w:ascii="Verdana" w:hAnsi="Verdana" w:cs="Verdana"/>
          <w:sz w:val="20"/>
          <w:szCs w:val="20"/>
        </w:rPr>
        <w:t xml:space="preserve">: i) </w:t>
      </w:r>
      <w:r w:rsidR="00796960" w:rsidRPr="00796960">
        <w:rPr>
          <w:rFonts w:ascii="Verdana" w:hAnsi="Verdana" w:cs="BookAntiqua"/>
          <w:sz w:val="20"/>
          <w:szCs w:val="20"/>
          <w:lang w:eastAsia="es-CR"/>
        </w:rPr>
        <w:t>los parámetros de operación y gerencia de RCTV c</w:t>
      </w:r>
      <w:r w:rsidR="00A12EEC">
        <w:rPr>
          <w:rFonts w:ascii="Verdana" w:hAnsi="Verdana" w:cs="BookAntiqua"/>
          <w:sz w:val="20"/>
          <w:szCs w:val="20"/>
          <w:lang w:eastAsia="es-CR"/>
        </w:rPr>
        <w:t>omo televisora nacional abierta</w:t>
      </w:r>
      <w:r w:rsidR="001F0AFB">
        <w:rPr>
          <w:rFonts w:ascii="Verdana" w:hAnsi="Verdana" w:cs="BookAntiqua"/>
          <w:sz w:val="20"/>
          <w:szCs w:val="20"/>
          <w:lang w:eastAsia="es-CR"/>
        </w:rPr>
        <w:t>; ii)</w:t>
      </w:r>
      <w:r w:rsidR="00796960" w:rsidRPr="00796960">
        <w:rPr>
          <w:rFonts w:ascii="Verdana" w:hAnsi="Verdana" w:cs="BookAntiqua"/>
          <w:sz w:val="20"/>
          <w:szCs w:val="20"/>
          <w:lang w:eastAsia="es-CR"/>
        </w:rPr>
        <w:t xml:space="preserve"> los criterios de programación, búsqueda y divulgación de no</w:t>
      </w:r>
      <w:r w:rsidR="001F0AFB">
        <w:rPr>
          <w:rFonts w:ascii="Verdana" w:hAnsi="Verdana" w:cs="BookAntiqua"/>
          <w:sz w:val="20"/>
          <w:szCs w:val="20"/>
          <w:lang w:eastAsia="es-CR"/>
        </w:rPr>
        <w:t>ticias; iii)</w:t>
      </w:r>
      <w:r w:rsidR="00796960" w:rsidRPr="00796960">
        <w:rPr>
          <w:rFonts w:ascii="Verdana" w:hAnsi="Verdana" w:cs="BookAntiqua"/>
          <w:sz w:val="20"/>
          <w:szCs w:val="20"/>
          <w:lang w:eastAsia="es-CR"/>
        </w:rPr>
        <w:t xml:space="preserve"> el ejercicio de la libertad de expresión de los accionista</w:t>
      </w:r>
      <w:r w:rsidR="001F0AFB">
        <w:rPr>
          <w:rFonts w:ascii="Verdana" w:hAnsi="Verdana" w:cs="BookAntiqua"/>
          <w:sz w:val="20"/>
          <w:szCs w:val="20"/>
          <w:lang w:eastAsia="es-CR"/>
        </w:rPr>
        <w:t>s y directivos a través de RCTV; iv)</w:t>
      </w:r>
      <w:r w:rsidR="00796960" w:rsidRPr="00796960">
        <w:rPr>
          <w:rFonts w:ascii="Verdana" w:hAnsi="Verdana" w:cs="BookAntiqua"/>
          <w:sz w:val="20"/>
          <w:szCs w:val="20"/>
          <w:lang w:eastAsia="es-CR"/>
        </w:rPr>
        <w:t xml:space="preserve"> las característica</w:t>
      </w:r>
      <w:r w:rsidR="001F0AFB">
        <w:rPr>
          <w:rFonts w:ascii="Verdana" w:hAnsi="Verdana" w:cs="BookAntiqua"/>
          <w:sz w:val="20"/>
          <w:szCs w:val="20"/>
          <w:lang w:eastAsia="es-CR"/>
        </w:rPr>
        <w:t>s de RCTV como empresa familiar; v)</w:t>
      </w:r>
      <w:r w:rsidR="00796960" w:rsidRPr="00796960">
        <w:rPr>
          <w:rFonts w:ascii="Verdana" w:hAnsi="Verdana" w:cs="BookAntiqua"/>
          <w:sz w:val="20"/>
          <w:szCs w:val="20"/>
          <w:lang w:eastAsia="es-CR"/>
        </w:rPr>
        <w:t xml:space="preserve"> las </w:t>
      </w:r>
      <w:r w:rsidR="001F0AFB">
        <w:rPr>
          <w:rFonts w:ascii="Verdana" w:hAnsi="Verdana" w:cs="BookAntiqua"/>
          <w:sz w:val="20"/>
          <w:szCs w:val="20"/>
          <w:lang w:eastAsia="es-CR"/>
        </w:rPr>
        <w:t xml:space="preserve">presuntas </w:t>
      </w:r>
      <w:r w:rsidR="00796960" w:rsidRPr="00796960">
        <w:rPr>
          <w:rFonts w:ascii="Verdana" w:hAnsi="Verdana" w:cs="BookAntiqua"/>
          <w:sz w:val="20"/>
          <w:szCs w:val="20"/>
          <w:lang w:eastAsia="es-CR"/>
        </w:rPr>
        <w:t>amenazas personales y de no renovación de la concesión de RCTV por los altos funcionarios del Gobierno</w:t>
      </w:r>
      <w:r w:rsidR="001F0AFB">
        <w:rPr>
          <w:rFonts w:ascii="Verdana" w:hAnsi="Verdana" w:cs="BookAntiqua"/>
          <w:sz w:val="20"/>
          <w:szCs w:val="20"/>
          <w:lang w:eastAsia="es-CR"/>
        </w:rPr>
        <w:t xml:space="preserve"> de Venezuela; vi)</w:t>
      </w:r>
      <w:r w:rsidR="00796960" w:rsidRPr="00796960">
        <w:rPr>
          <w:rFonts w:ascii="Verdana" w:hAnsi="Verdana" w:cs="BookAntiqua"/>
          <w:sz w:val="20"/>
          <w:szCs w:val="20"/>
          <w:lang w:eastAsia="es-CR"/>
        </w:rPr>
        <w:t xml:space="preserve"> la no renovación de la concesi</w:t>
      </w:r>
      <w:r w:rsidR="00E1002F">
        <w:rPr>
          <w:rFonts w:ascii="Verdana" w:hAnsi="Verdana" w:cs="BookAntiqua"/>
          <w:sz w:val="20"/>
          <w:szCs w:val="20"/>
          <w:lang w:eastAsia="es-CR"/>
        </w:rPr>
        <w:t>ón por el Gobierno de Venezuela;</w:t>
      </w:r>
      <w:r w:rsidR="001F0AFB">
        <w:rPr>
          <w:rFonts w:ascii="Verdana" w:hAnsi="Verdana" w:cs="BookAntiqua"/>
          <w:sz w:val="20"/>
          <w:szCs w:val="20"/>
          <w:lang w:eastAsia="es-CR"/>
        </w:rPr>
        <w:t xml:space="preserve"> vii)</w:t>
      </w:r>
      <w:r w:rsidR="00796960" w:rsidRPr="00796960">
        <w:rPr>
          <w:rFonts w:ascii="Verdana" w:hAnsi="Verdana" w:cs="BookAntiqua"/>
          <w:sz w:val="20"/>
          <w:szCs w:val="20"/>
          <w:lang w:eastAsia="es-CR"/>
        </w:rPr>
        <w:t xml:space="preserve"> el cierre de RCTV y las</w:t>
      </w:r>
      <w:r w:rsidR="00E1002F">
        <w:rPr>
          <w:rFonts w:ascii="Verdana" w:hAnsi="Verdana" w:cs="BookAntiqua"/>
          <w:sz w:val="20"/>
          <w:szCs w:val="20"/>
          <w:lang w:eastAsia="es-CR"/>
        </w:rPr>
        <w:t xml:space="preserve"> alegadas</w:t>
      </w:r>
      <w:r w:rsidR="00796960" w:rsidRPr="00796960">
        <w:rPr>
          <w:rFonts w:ascii="Verdana" w:hAnsi="Verdana" w:cs="BookAntiqua"/>
          <w:sz w:val="20"/>
          <w:szCs w:val="20"/>
          <w:lang w:eastAsia="es-CR"/>
        </w:rPr>
        <w:t xml:space="preserve"> consecuencias para los directivos, accionistas y periodistas; </w:t>
      </w:r>
      <w:r w:rsidR="001F0AFB">
        <w:rPr>
          <w:rFonts w:ascii="Verdana" w:hAnsi="Verdana" w:cs="BookAntiqua"/>
          <w:sz w:val="20"/>
          <w:szCs w:val="20"/>
          <w:lang w:eastAsia="es-CR"/>
        </w:rPr>
        <w:t xml:space="preserve">viii) </w:t>
      </w:r>
      <w:r w:rsidR="00796960" w:rsidRPr="00796960">
        <w:rPr>
          <w:rFonts w:ascii="Verdana" w:hAnsi="Verdana" w:cs="BookAntiqua"/>
          <w:sz w:val="20"/>
          <w:szCs w:val="20"/>
          <w:lang w:eastAsia="es-CR"/>
        </w:rPr>
        <w:t>la emisión de la señal de RCTV Internacional y</w:t>
      </w:r>
      <w:r w:rsidR="001F0AFB">
        <w:rPr>
          <w:rFonts w:ascii="Verdana" w:hAnsi="Verdana" w:cs="BookAntiqua"/>
          <w:sz w:val="20"/>
          <w:szCs w:val="20"/>
          <w:lang w:eastAsia="es-CR"/>
        </w:rPr>
        <w:t xml:space="preserve"> </w:t>
      </w:r>
      <w:r w:rsidR="00E1002F">
        <w:rPr>
          <w:rFonts w:ascii="Verdana" w:hAnsi="Verdana" w:cs="BookAntiqua"/>
          <w:sz w:val="20"/>
          <w:szCs w:val="20"/>
          <w:lang w:eastAsia="es-CR"/>
        </w:rPr>
        <w:t xml:space="preserve">su </w:t>
      </w:r>
      <w:r w:rsidR="001F0AFB">
        <w:rPr>
          <w:rFonts w:ascii="Verdana" w:hAnsi="Verdana" w:cs="BookAntiqua"/>
          <w:sz w:val="20"/>
          <w:szCs w:val="20"/>
          <w:lang w:eastAsia="es-CR"/>
        </w:rPr>
        <w:t xml:space="preserve">alegada </w:t>
      </w:r>
      <w:r w:rsidR="001F0AFB">
        <w:rPr>
          <w:rFonts w:ascii="Verdana" w:hAnsi="Verdana" w:cs="BookAntiqua"/>
          <w:sz w:val="20"/>
          <w:szCs w:val="20"/>
          <w:lang w:eastAsia="es-CR"/>
        </w:rPr>
        <w:lastRenderedPageBreak/>
        <w:t xml:space="preserve">exclusión y salida del aire, </w:t>
      </w:r>
      <w:r w:rsidR="00A12EEC">
        <w:rPr>
          <w:rFonts w:ascii="Verdana" w:hAnsi="Verdana" w:cs="BookAntiqua"/>
          <w:sz w:val="20"/>
          <w:szCs w:val="20"/>
          <w:lang w:eastAsia="es-CR"/>
        </w:rPr>
        <w:t xml:space="preserve">y ix) </w:t>
      </w:r>
      <w:r w:rsidR="001F0AFB">
        <w:rPr>
          <w:rFonts w:ascii="Verdana" w:hAnsi="Verdana" w:cs="BookAntiqua"/>
          <w:sz w:val="20"/>
          <w:szCs w:val="20"/>
          <w:lang w:eastAsia="es-CR"/>
        </w:rPr>
        <w:t>los presuntos d</w:t>
      </w:r>
      <w:r w:rsidR="00796960" w:rsidRPr="00796960">
        <w:rPr>
          <w:rFonts w:ascii="Verdana" w:hAnsi="Verdana" w:cs="BookAntiqua"/>
          <w:sz w:val="20"/>
          <w:szCs w:val="20"/>
          <w:lang w:eastAsia="es-CR"/>
        </w:rPr>
        <w:t xml:space="preserve">años y perjuicios causados a los dueños, directivos y accionistas de RCTV por </w:t>
      </w:r>
      <w:r w:rsidR="00A12EEC">
        <w:rPr>
          <w:rFonts w:ascii="Verdana" w:hAnsi="Verdana" w:cs="BookAntiqua"/>
          <w:sz w:val="20"/>
          <w:szCs w:val="20"/>
          <w:lang w:eastAsia="es-CR"/>
        </w:rPr>
        <w:t>las alegadas</w:t>
      </w:r>
      <w:r w:rsidR="00796960" w:rsidRPr="00796960">
        <w:rPr>
          <w:rFonts w:ascii="Verdana" w:hAnsi="Verdana" w:cs="BookAntiqua"/>
          <w:sz w:val="20"/>
          <w:szCs w:val="20"/>
          <w:lang w:eastAsia="es-CR"/>
        </w:rPr>
        <w:t xml:space="preserve"> decisiones del Gobierno de Venezuela</w:t>
      </w:r>
      <w:r w:rsidR="00236466" w:rsidRPr="00796960">
        <w:rPr>
          <w:rFonts w:ascii="Verdana" w:hAnsi="Verdana" w:cs="Verdana"/>
          <w:sz w:val="20"/>
          <w:szCs w:val="20"/>
        </w:rPr>
        <w:t>.</w:t>
      </w:r>
      <w:r w:rsidR="00236466" w:rsidRPr="00907C77">
        <w:rPr>
          <w:rFonts w:ascii="Verdana" w:hAnsi="Verdana" w:cs="Verdana"/>
          <w:sz w:val="20"/>
          <w:szCs w:val="20"/>
        </w:rPr>
        <w:t xml:space="preserve"> </w:t>
      </w:r>
    </w:p>
    <w:p w:rsidR="00236466" w:rsidRPr="00F107A3" w:rsidRDefault="00236466" w:rsidP="00A43BA7">
      <w:pPr>
        <w:pStyle w:val="Prrafodelista"/>
        <w:ind w:left="1080"/>
        <w:jc w:val="both"/>
        <w:rPr>
          <w:rFonts w:ascii="Verdana" w:hAnsi="Verdana" w:cs="Verdana"/>
          <w:sz w:val="16"/>
          <w:szCs w:val="16"/>
        </w:rPr>
      </w:pPr>
    </w:p>
    <w:p w:rsidR="00735A8E" w:rsidRDefault="00334BFD" w:rsidP="00735A8E">
      <w:pPr>
        <w:pStyle w:val="Prrafodelista"/>
        <w:widowControl w:val="0"/>
        <w:numPr>
          <w:ilvl w:val="0"/>
          <w:numId w:val="38"/>
        </w:numPr>
        <w:autoSpaceDE w:val="0"/>
        <w:autoSpaceDN w:val="0"/>
        <w:adjustRightInd w:val="0"/>
        <w:jc w:val="both"/>
        <w:rPr>
          <w:rFonts w:ascii="Verdana" w:hAnsi="Verdana" w:cs="Verdana"/>
          <w:b/>
          <w:bCs/>
          <w:i/>
          <w:iCs/>
          <w:sz w:val="20"/>
          <w:szCs w:val="20"/>
        </w:rPr>
      </w:pPr>
      <w:r w:rsidRPr="00735A8E">
        <w:rPr>
          <w:rFonts w:ascii="Verdana" w:hAnsi="Verdana" w:cs="Verdana"/>
          <w:b/>
          <w:bCs/>
          <w:i/>
          <w:iCs/>
          <w:sz w:val="20"/>
          <w:szCs w:val="20"/>
        </w:rPr>
        <w:t xml:space="preserve">Testigos </w:t>
      </w:r>
    </w:p>
    <w:p w:rsidR="008621EB" w:rsidRDefault="008621EB" w:rsidP="008621EB">
      <w:pPr>
        <w:pStyle w:val="Prrafodelista"/>
        <w:widowControl w:val="0"/>
        <w:autoSpaceDE w:val="0"/>
        <w:autoSpaceDN w:val="0"/>
        <w:adjustRightInd w:val="0"/>
        <w:ind w:left="920"/>
        <w:jc w:val="both"/>
        <w:rPr>
          <w:rFonts w:ascii="Verdana" w:hAnsi="Verdana" w:cs="Verdana"/>
          <w:b/>
          <w:bCs/>
          <w:i/>
          <w:iCs/>
          <w:sz w:val="20"/>
          <w:szCs w:val="20"/>
        </w:rPr>
      </w:pPr>
    </w:p>
    <w:p w:rsidR="008621EB" w:rsidRPr="00735A8E" w:rsidRDefault="008621EB" w:rsidP="008621EB">
      <w:pPr>
        <w:widowControl w:val="0"/>
        <w:autoSpaceDE w:val="0"/>
        <w:autoSpaceDN w:val="0"/>
        <w:adjustRightInd w:val="0"/>
        <w:ind w:left="560"/>
        <w:jc w:val="both"/>
        <w:rPr>
          <w:rFonts w:ascii="Verdana" w:hAnsi="Verdana" w:cs="Verdana"/>
          <w:b/>
          <w:bCs/>
          <w:iCs/>
          <w:sz w:val="20"/>
          <w:szCs w:val="20"/>
        </w:rPr>
      </w:pPr>
      <w:r w:rsidRPr="00735A8E">
        <w:rPr>
          <w:rFonts w:ascii="Verdana" w:hAnsi="Verdana" w:cs="Verdana"/>
          <w:b/>
          <w:bCs/>
          <w:iCs/>
          <w:sz w:val="20"/>
          <w:szCs w:val="20"/>
        </w:rPr>
        <w:t>B.1. Propuestos por los representantes</w:t>
      </w:r>
    </w:p>
    <w:p w:rsidR="008621EB" w:rsidRPr="00013C85" w:rsidRDefault="008621EB" w:rsidP="008621EB">
      <w:pPr>
        <w:widowControl w:val="0"/>
        <w:autoSpaceDE w:val="0"/>
        <w:autoSpaceDN w:val="0"/>
        <w:adjustRightInd w:val="0"/>
        <w:ind w:left="360"/>
        <w:jc w:val="both"/>
        <w:rPr>
          <w:rFonts w:ascii="Verdana" w:hAnsi="Verdana" w:cs="Verdana"/>
          <w:b/>
          <w:bCs/>
          <w:i/>
          <w:iCs/>
          <w:sz w:val="20"/>
          <w:szCs w:val="20"/>
        </w:rPr>
      </w:pPr>
    </w:p>
    <w:p w:rsidR="008621EB" w:rsidRDefault="008621EB" w:rsidP="008621EB">
      <w:pPr>
        <w:pStyle w:val="Prrafodelista"/>
        <w:numPr>
          <w:ilvl w:val="0"/>
          <w:numId w:val="19"/>
        </w:numPr>
        <w:jc w:val="both"/>
        <w:rPr>
          <w:rFonts w:ascii="Verdana" w:hAnsi="Verdana" w:cs="Verdana"/>
          <w:sz w:val="20"/>
          <w:szCs w:val="20"/>
        </w:rPr>
      </w:pPr>
      <w:proofErr w:type="spellStart"/>
      <w:r w:rsidRPr="000232AB">
        <w:rPr>
          <w:rFonts w:ascii="Verdana" w:hAnsi="Verdana" w:cs="Verdana"/>
          <w:i/>
          <w:sz w:val="20"/>
          <w:szCs w:val="20"/>
        </w:rPr>
        <w:t>Tinedo</w:t>
      </w:r>
      <w:proofErr w:type="spellEnd"/>
      <w:r w:rsidRPr="000232AB">
        <w:rPr>
          <w:rFonts w:ascii="Verdana" w:hAnsi="Verdana" w:cs="Verdana"/>
          <w:i/>
          <w:sz w:val="20"/>
          <w:szCs w:val="20"/>
        </w:rPr>
        <w:t xml:space="preserve"> Guía, </w:t>
      </w:r>
      <w:proofErr w:type="spellStart"/>
      <w:r w:rsidRPr="000232AB">
        <w:rPr>
          <w:rFonts w:ascii="Verdana" w:hAnsi="Verdana" w:cs="Verdana"/>
          <w:i/>
          <w:sz w:val="20"/>
          <w:szCs w:val="20"/>
        </w:rPr>
        <w:t>Jhenny</w:t>
      </w:r>
      <w:proofErr w:type="spellEnd"/>
      <w:r w:rsidRPr="000232AB">
        <w:rPr>
          <w:rFonts w:ascii="Verdana" w:hAnsi="Verdana" w:cs="Verdana"/>
          <w:i/>
          <w:sz w:val="20"/>
          <w:szCs w:val="20"/>
        </w:rPr>
        <w:t xml:space="preserve"> Chirinos</w:t>
      </w:r>
      <w:r>
        <w:rPr>
          <w:rFonts w:ascii="Verdana" w:hAnsi="Verdana" w:cs="Verdana"/>
          <w:i/>
          <w:sz w:val="20"/>
          <w:szCs w:val="20"/>
        </w:rPr>
        <w:t xml:space="preserve">, Pedro </w:t>
      </w:r>
      <w:proofErr w:type="spellStart"/>
      <w:r>
        <w:rPr>
          <w:rFonts w:ascii="Verdana" w:hAnsi="Verdana" w:cs="Verdana"/>
          <w:i/>
          <w:sz w:val="20"/>
          <w:szCs w:val="20"/>
        </w:rPr>
        <w:t>Beomont</w:t>
      </w:r>
      <w:proofErr w:type="spellEnd"/>
      <w:r>
        <w:rPr>
          <w:rFonts w:ascii="Verdana" w:hAnsi="Verdana" w:cs="Verdana"/>
          <w:i/>
          <w:sz w:val="20"/>
          <w:szCs w:val="20"/>
        </w:rPr>
        <w:t>, León Hernández y</w:t>
      </w:r>
      <w:r w:rsidRPr="000232AB">
        <w:rPr>
          <w:rFonts w:ascii="Verdana" w:hAnsi="Verdana" w:cs="Verdana"/>
          <w:i/>
          <w:sz w:val="20"/>
          <w:szCs w:val="20"/>
        </w:rPr>
        <w:t xml:space="preserve"> Erika Corrales</w:t>
      </w:r>
      <w:r w:rsidRPr="007168B2">
        <w:rPr>
          <w:rFonts w:ascii="Verdana" w:hAnsi="Verdana" w:cs="Verdana"/>
          <w:i/>
          <w:iCs/>
          <w:sz w:val="20"/>
          <w:szCs w:val="20"/>
        </w:rPr>
        <w:t>,</w:t>
      </w:r>
      <w:r w:rsidR="004F5F4E">
        <w:rPr>
          <w:rFonts w:ascii="Verdana" w:hAnsi="Verdana" w:cs="Verdana"/>
          <w:i/>
          <w:iCs/>
          <w:sz w:val="20"/>
          <w:szCs w:val="20"/>
        </w:rPr>
        <w:t xml:space="preserve"> </w:t>
      </w:r>
      <w:r>
        <w:rPr>
          <w:rFonts w:ascii="Verdana" w:hAnsi="Verdana" w:cs="Verdana"/>
          <w:sz w:val="20"/>
          <w:szCs w:val="20"/>
        </w:rPr>
        <w:t xml:space="preserve">quienes </w:t>
      </w:r>
      <w:r w:rsidRPr="00796960">
        <w:rPr>
          <w:rFonts w:ascii="Verdana" w:hAnsi="Verdana" w:cs="Verdana"/>
          <w:sz w:val="20"/>
          <w:szCs w:val="20"/>
        </w:rPr>
        <w:t>declararán sobre</w:t>
      </w:r>
      <w:r>
        <w:rPr>
          <w:rFonts w:ascii="Verdana" w:hAnsi="Verdana" w:cs="Verdana"/>
          <w:sz w:val="20"/>
          <w:szCs w:val="20"/>
        </w:rPr>
        <w:t xml:space="preserve">: i) </w:t>
      </w:r>
      <w:r w:rsidRPr="00796960">
        <w:rPr>
          <w:rFonts w:ascii="Verdana" w:hAnsi="Verdana" w:cs="BookAntiqua"/>
          <w:sz w:val="20"/>
          <w:szCs w:val="20"/>
          <w:lang w:eastAsia="es-CR"/>
        </w:rPr>
        <w:t>los parámetros de operación y gerencia de RCTV c</w:t>
      </w:r>
      <w:r>
        <w:rPr>
          <w:rFonts w:ascii="Verdana" w:hAnsi="Verdana" w:cs="BookAntiqua"/>
          <w:sz w:val="20"/>
          <w:szCs w:val="20"/>
          <w:lang w:eastAsia="es-CR"/>
        </w:rPr>
        <w:t>omo televisora nacional abierta; ii)</w:t>
      </w:r>
      <w:r w:rsidRPr="00796960">
        <w:rPr>
          <w:rFonts w:ascii="Verdana" w:hAnsi="Verdana" w:cs="BookAntiqua"/>
          <w:sz w:val="20"/>
          <w:szCs w:val="20"/>
          <w:lang w:eastAsia="es-CR"/>
        </w:rPr>
        <w:t xml:space="preserve"> los criterios de programación, búsqueda y divulgación de no</w:t>
      </w:r>
      <w:r>
        <w:rPr>
          <w:rFonts w:ascii="Verdana" w:hAnsi="Verdana" w:cs="BookAntiqua"/>
          <w:sz w:val="20"/>
          <w:szCs w:val="20"/>
          <w:lang w:eastAsia="es-CR"/>
        </w:rPr>
        <w:t>ticias; iii)</w:t>
      </w:r>
      <w:r w:rsidRPr="00796960">
        <w:rPr>
          <w:rFonts w:ascii="Verdana" w:hAnsi="Verdana" w:cs="BookAntiqua"/>
          <w:sz w:val="20"/>
          <w:szCs w:val="20"/>
          <w:lang w:eastAsia="es-CR"/>
        </w:rPr>
        <w:t xml:space="preserve"> el ejercicio de la libertad de expresión de los accionista</w:t>
      </w:r>
      <w:r>
        <w:rPr>
          <w:rFonts w:ascii="Verdana" w:hAnsi="Verdana" w:cs="BookAntiqua"/>
          <w:sz w:val="20"/>
          <w:szCs w:val="20"/>
          <w:lang w:eastAsia="es-CR"/>
        </w:rPr>
        <w:t>s y directivos a través de RCTV; iv)</w:t>
      </w:r>
      <w:r w:rsidRPr="00796960">
        <w:rPr>
          <w:rFonts w:ascii="Verdana" w:hAnsi="Verdana" w:cs="BookAntiqua"/>
          <w:sz w:val="20"/>
          <w:szCs w:val="20"/>
          <w:lang w:eastAsia="es-CR"/>
        </w:rPr>
        <w:t xml:space="preserve"> las característica</w:t>
      </w:r>
      <w:r>
        <w:rPr>
          <w:rFonts w:ascii="Verdana" w:hAnsi="Verdana" w:cs="BookAntiqua"/>
          <w:sz w:val="20"/>
          <w:szCs w:val="20"/>
          <w:lang w:eastAsia="es-CR"/>
        </w:rPr>
        <w:t>s de RCTV como empresa familiar; v)</w:t>
      </w:r>
      <w:r w:rsidRPr="00796960">
        <w:rPr>
          <w:rFonts w:ascii="Verdana" w:hAnsi="Verdana" w:cs="BookAntiqua"/>
          <w:sz w:val="20"/>
          <w:szCs w:val="20"/>
          <w:lang w:eastAsia="es-CR"/>
        </w:rPr>
        <w:t xml:space="preserve"> las </w:t>
      </w:r>
      <w:r>
        <w:rPr>
          <w:rFonts w:ascii="Verdana" w:hAnsi="Verdana" w:cs="BookAntiqua"/>
          <w:sz w:val="20"/>
          <w:szCs w:val="20"/>
          <w:lang w:eastAsia="es-CR"/>
        </w:rPr>
        <w:t xml:space="preserve">presuntas </w:t>
      </w:r>
      <w:r w:rsidRPr="00796960">
        <w:rPr>
          <w:rFonts w:ascii="Verdana" w:hAnsi="Verdana" w:cs="BookAntiqua"/>
          <w:sz w:val="20"/>
          <w:szCs w:val="20"/>
          <w:lang w:eastAsia="es-CR"/>
        </w:rPr>
        <w:t>amenazas personales y de no renovación de la concesión de RCTV por los altos funcionarios del Gobierno</w:t>
      </w:r>
      <w:r>
        <w:rPr>
          <w:rFonts w:ascii="Verdana" w:hAnsi="Verdana" w:cs="BookAntiqua"/>
          <w:sz w:val="20"/>
          <w:szCs w:val="20"/>
          <w:lang w:eastAsia="es-CR"/>
        </w:rPr>
        <w:t xml:space="preserve"> de Venezuela; vi)</w:t>
      </w:r>
      <w:r w:rsidRPr="00796960">
        <w:rPr>
          <w:rFonts w:ascii="Verdana" w:hAnsi="Verdana" w:cs="BookAntiqua"/>
          <w:sz w:val="20"/>
          <w:szCs w:val="20"/>
          <w:lang w:eastAsia="es-CR"/>
        </w:rPr>
        <w:t xml:space="preserve"> la no renovación de la concesi</w:t>
      </w:r>
      <w:r w:rsidR="00E1002F">
        <w:rPr>
          <w:rFonts w:ascii="Verdana" w:hAnsi="Verdana" w:cs="BookAntiqua"/>
          <w:sz w:val="20"/>
          <w:szCs w:val="20"/>
          <w:lang w:eastAsia="es-CR"/>
        </w:rPr>
        <w:t>ón por el Gobierno de Venezuela;</w:t>
      </w:r>
      <w:r>
        <w:rPr>
          <w:rFonts w:ascii="Verdana" w:hAnsi="Verdana" w:cs="BookAntiqua"/>
          <w:sz w:val="20"/>
          <w:szCs w:val="20"/>
          <w:lang w:eastAsia="es-CR"/>
        </w:rPr>
        <w:t xml:space="preserve"> vii)</w:t>
      </w:r>
      <w:r w:rsidRPr="00796960">
        <w:rPr>
          <w:rFonts w:ascii="Verdana" w:hAnsi="Verdana" w:cs="BookAntiqua"/>
          <w:sz w:val="20"/>
          <w:szCs w:val="20"/>
          <w:lang w:eastAsia="es-CR"/>
        </w:rPr>
        <w:t xml:space="preserve"> el cierre de RCTV y las</w:t>
      </w:r>
      <w:r w:rsidR="00E1002F">
        <w:rPr>
          <w:rFonts w:ascii="Verdana" w:hAnsi="Verdana" w:cs="BookAntiqua"/>
          <w:sz w:val="20"/>
          <w:szCs w:val="20"/>
          <w:lang w:eastAsia="es-CR"/>
        </w:rPr>
        <w:t xml:space="preserve"> </w:t>
      </w:r>
      <w:r>
        <w:rPr>
          <w:rFonts w:ascii="Verdana" w:hAnsi="Verdana" w:cs="BookAntiqua"/>
          <w:sz w:val="20"/>
          <w:szCs w:val="20"/>
          <w:lang w:eastAsia="es-CR"/>
        </w:rPr>
        <w:t>alega</w:t>
      </w:r>
      <w:r w:rsidR="00E1002F">
        <w:rPr>
          <w:rFonts w:ascii="Verdana" w:hAnsi="Verdana" w:cs="BookAntiqua"/>
          <w:sz w:val="20"/>
          <w:szCs w:val="20"/>
          <w:lang w:eastAsia="es-CR"/>
        </w:rPr>
        <w:t>das</w:t>
      </w:r>
      <w:r w:rsidRPr="00796960">
        <w:rPr>
          <w:rFonts w:ascii="Verdana" w:hAnsi="Verdana" w:cs="BookAntiqua"/>
          <w:sz w:val="20"/>
          <w:szCs w:val="20"/>
          <w:lang w:eastAsia="es-CR"/>
        </w:rPr>
        <w:t xml:space="preserve"> consecuencias para los directivos, accionistas y periodistas; </w:t>
      </w:r>
      <w:r>
        <w:rPr>
          <w:rFonts w:ascii="Verdana" w:hAnsi="Verdana" w:cs="BookAntiqua"/>
          <w:sz w:val="20"/>
          <w:szCs w:val="20"/>
          <w:lang w:eastAsia="es-CR"/>
        </w:rPr>
        <w:t xml:space="preserve">viii) </w:t>
      </w:r>
      <w:r w:rsidRPr="00796960">
        <w:rPr>
          <w:rFonts w:ascii="Verdana" w:hAnsi="Verdana" w:cs="BookAntiqua"/>
          <w:sz w:val="20"/>
          <w:szCs w:val="20"/>
          <w:lang w:eastAsia="es-CR"/>
        </w:rPr>
        <w:t>la emisión de la señal de RCTV Internacional y</w:t>
      </w:r>
      <w:r>
        <w:rPr>
          <w:rFonts w:ascii="Verdana" w:hAnsi="Verdana" w:cs="BookAntiqua"/>
          <w:sz w:val="20"/>
          <w:szCs w:val="20"/>
          <w:lang w:eastAsia="es-CR"/>
        </w:rPr>
        <w:t xml:space="preserve"> </w:t>
      </w:r>
      <w:r w:rsidR="00E1002F">
        <w:rPr>
          <w:rFonts w:ascii="Verdana" w:hAnsi="Verdana" w:cs="BookAntiqua"/>
          <w:sz w:val="20"/>
          <w:szCs w:val="20"/>
          <w:lang w:eastAsia="es-CR"/>
        </w:rPr>
        <w:t xml:space="preserve">su </w:t>
      </w:r>
      <w:r>
        <w:rPr>
          <w:rFonts w:ascii="Verdana" w:hAnsi="Verdana" w:cs="BookAntiqua"/>
          <w:sz w:val="20"/>
          <w:szCs w:val="20"/>
          <w:lang w:eastAsia="es-CR"/>
        </w:rPr>
        <w:t xml:space="preserve">alegada exclusión y </w:t>
      </w:r>
      <w:r w:rsidRPr="000232AB">
        <w:rPr>
          <w:rFonts w:ascii="Verdana" w:hAnsi="Verdana" w:cs="BookAntiqua"/>
          <w:sz w:val="20"/>
          <w:szCs w:val="20"/>
          <w:lang w:eastAsia="es-CR"/>
        </w:rPr>
        <w:t>salida del aire, y ix) los presuntos daños y perjuicios causados a los dueños, directivos y accionistas de RCTV por las alegadas decisiones del Gobierno de Venezuela</w:t>
      </w:r>
      <w:r w:rsidRPr="000232AB">
        <w:rPr>
          <w:rFonts w:ascii="Verdana" w:hAnsi="Verdana" w:cs="Verdana"/>
          <w:sz w:val="20"/>
          <w:szCs w:val="20"/>
        </w:rPr>
        <w:t>.</w:t>
      </w:r>
    </w:p>
    <w:p w:rsidR="008621EB" w:rsidRPr="000232AB" w:rsidRDefault="008621EB" w:rsidP="008621EB">
      <w:pPr>
        <w:pStyle w:val="Prrafodelista"/>
        <w:jc w:val="both"/>
        <w:rPr>
          <w:rFonts w:ascii="Verdana" w:hAnsi="Verdana" w:cs="Verdana"/>
          <w:sz w:val="20"/>
          <w:szCs w:val="20"/>
        </w:rPr>
      </w:pPr>
    </w:p>
    <w:p w:rsidR="008621EB" w:rsidRPr="000232AB" w:rsidRDefault="008621EB" w:rsidP="008621EB">
      <w:pPr>
        <w:pStyle w:val="Prrafodelista"/>
        <w:numPr>
          <w:ilvl w:val="0"/>
          <w:numId w:val="19"/>
        </w:numPr>
        <w:jc w:val="both"/>
        <w:rPr>
          <w:rFonts w:ascii="Verdana" w:hAnsi="Verdana" w:cs="Verdana"/>
          <w:sz w:val="20"/>
          <w:szCs w:val="20"/>
        </w:rPr>
      </w:pPr>
      <w:r w:rsidRPr="000232AB">
        <w:rPr>
          <w:rFonts w:ascii="Verdana" w:hAnsi="Verdana" w:cs="Verdana"/>
          <w:i/>
          <w:sz w:val="20"/>
          <w:szCs w:val="20"/>
        </w:rPr>
        <w:t>Nelson Bustamante</w:t>
      </w:r>
      <w:r w:rsidRPr="000232AB">
        <w:rPr>
          <w:rFonts w:ascii="Verdana" w:hAnsi="Verdana" w:cs="Verdana"/>
          <w:sz w:val="20"/>
          <w:szCs w:val="20"/>
        </w:rPr>
        <w:t>, quien declarará sob</w:t>
      </w:r>
      <w:r>
        <w:rPr>
          <w:rFonts w:ascii="Verdana" w:hAnsi="Verdana" w:cs="Verdana"/>
          <w:sz w:val="20"/>
          <w:szCs w:val="20"/>
        </w:rPr>
        <w:t xml:space="preserve">re </w:t>
      </w:r>
      <w:r w:rsidRPr="000232AB">
        <w:rPr>
          <w:rFonts w:ascii="Verdana" w:hAnsi="Verdana"/>
          <w:sz w:val="20"/>
          <w:szCs w:val="20"/>
        </w:rPr>
        <w:t>“</w:t>
      </w:r>
      <w:r w:rsidRPr="000232AB">
        <w:rPr>
          <w:rFonts w:ascii="Verdana" w:hAnsi="Verdana"/>
          <w:sz w:val="20"/>
          <w:szCs w:val="20"/>
          <w:lang w:eastAsia="es-CR"/>
        </w:rPr>
        <w:t>los testimonios de los distintos trabajadores de RCTV, sobre su experiencia personal vivida con ocasión del cierre de esa estación de televisión, los [presuntos] efectos morales y psicológicos causados a los trabajadores de RCTV así como los [alegados] dramas humanos padecidos y sufridos</w:t>
      </w:r>
      <w:r w:rsidRPr="000232AB">
        <w:rPr>
          <w:rFonts w:ascii="Verdana" w:hAnsi="Verdana" w:cs="Verdana"/>
          <w:sz w:val="20"/>
          <w:szCs w:val="20"/>
        </w:rPr>
        <w:t xml:space="preserve">”. </w:t>
      </w:r>
    </w:p>
    <w:p w:rsidR="008621EB" w:rsidRDefault="008621EB" w:rsidP="008621EB">
      <w:pPr>
        <w:widowControl w:val="0"/>
        <w:autoSpaceDE w:val="0"/>
        <w:autoSpaceDN w:val="0"/>
        <w:adjustRightInd w:val="0"/>
        <w:jc w:val="both"/>
        <w:rPr>
          <w:rFonts w:ascii="Verdana" w:hAnsi="Verdana" w:cs="Verdana"/>
          <w:b/>
          <w:bCs/>
          <w:i/>
          <w:iCs/>
          <w:sz w:val="20"/>
          <w:szCs w:val="20"/>
        </w:rPr>
      </w:pPr>
    </w:p>
    <w:p w:rsidR="008621EB" w:rsidRPr="00735A8E" w:rsidRDefault="008621EB" w:rsidP="008621EB">
      <w:pPr>
        <w:widowControl w:val="0"/>
        <w:autoSpaceDE w:val="0"/>
        <w:autoSpaceDN w:val="0"/>
        <w:adjustRightInd w:val="0"/>
        <w:ind w:firstLine="360"/>
        <w:jc w:val="both"/>
        <w:rPr>
          <w:rFonts w:ascii="Verdana" w:hAnsi="Verdana" w:cs="Verdana"/>
          <w:b/>
          <w:bCs/>
          <w:iCs/>
          <w:sz w:val="20"/>
          <w:szCs w:val="20"/>
        </w:rPr>
      </w:pPr>
      <w:r w:rsidRPr="00735A8E">
        <w:rPr>
          <w:rFonts w:ascii="Verdana" w:hAnsi="Verdana" w:cs="Verdana"/>
          <w:b/>
          <w:bCs/>
          <w:iCs/>
          <w:sz w:val="20"/>
          <w:szCs w:val="20"/>
        </w:rPr>
        <w:t>B.2. Propuesto por el Estado</w:t>
      </w:r>
    </w:p>
    <w:p w:rsidR="008621EB" w:rsidRDefault="008621EB" w:rsidP="008621EB">
      <w:pPr>
        <w:widowControl w:val="0"/>
        <w:autoSpaceDE w:val="0"/>
        <w:autoSpaceDN w:val="0"/>
        <w:adjustRightInd w:val="0"/>
        <w:jc w:val="both"/>
        <w:rPr>
          <w:rFonts w:ascii="Verdana" w:hAnsi="Verdana"/>
          <w:sz w:val="20"/>
          <w:szCs w:val="20"/>
        </w:rPr>
      </w:pPr>
    </w:p>
    <w:p w:rsidR="008621EB" w:rsidRPr="000232AB" w:rsidRDefault="008621EB" w:rsidP="008621EB">
      <w:pPr>
        <w:pStyle w:val="Prrafodelista"/>
        <w:numPr>
          <w:ilvl w:val="0"/>
          <w:numId w:val="19"/>
        </w:numPr>
        <w:jc w:val="both"/>
        <w:rPr>
          <w:rFonts w:ascii="Verdana" w:hAnsi="Verdana" w:cs="Verdana"/>
          <w:sz w:val="20"/>
          <w:szCs w:val="20"/>
        </w:rPr>
      </w:pPr>
      <w:r w:rsidRPr="00E32457">
        <w:rPr>
          <w:rFonts w:ascii="Verdana" w:hAnsi="Verdana" w:cs="Verdana"/>
          <w:i/>
          <w:sz w:val="20"/>
          <w:szCs w:val="20"/>
          <w:lang w:val="es-CR"/>
        </w:rPr>
        <w:t xml:space="preserve">Néstor </w:t>
      </w:r>
      <w:r w:rsidRPr="00B33874">
        <w:rPr>
          <w:rFonts w:ascii="Verdana" w:hAnsi="Verdana" w:cs="Verdana"/>
          <w:i/>
          <w:sz w:val="20"/>
          <w:szCs w:val="20"/>
          <w:lang w:val="es-CR"/>
        </w:rPr>
        <w:t>Castellano</w:t>
      </w:r>
      <w:r w:rsidRPr="00B33874">
        <w:rPr>
          <w:rFonts w:ascii="Verdana" w:hAnsi="Verdana" w:cs="Verdana"/>
          <w:sz w:val="20"/>
          <w:szCs w:val="20"/>
        </w:rPr>
        <w:t xml:space="preserve">, </w:t>
      </w:r>
      <w:r w:rsidR="00A93758">
        <w:rPr>
          <w:rFonts w:ascii="Verdana" w:hAnsi="Verdana" w:cs="Verdana"/>
          <w:sz w:val="20"/>
          <w:szCs w:val="20"/>
        </w:rPr>
        <w:t xml:space="preserve">Fiscal Primero del Ministerio Público ante la Sala Plena del Tribunal Supremo de Justicia, </w:t>
      </w:r>
      <w:r w:rsidRPr="00B33874">
        <w:rPr>
          <w:rFonts w:ascii="Verdana" w:hAnsi="Verdana" w:cs="Verdana"/>
          <w:sz w:val="20"/>
          <w:szCs w:val="20"/>
        </w:rPr>
        <w:t xml:space="preserve">quien declarará </w:t>
      </w:r>
      <w:r>
        <w:rPr>
          <w:rFonts w:ascii="Verdana" w:hAnsi="Verdana" w:cs="Verdana"/>
          <w:sz w:val="20"/>
          <w:szCs w:val="20"/>
        </w:rPr>
        <w:t>respecto</w:t>
      </w:r>
      <w:r w:rsidRPr="00B33874">
        <w:rPr>
          <w:rFonts w:ascii="Verdana" w:hAnsi="Verdana" w:cs="Verdana"/>
          <w:sz w:val="20"/>
          <w:szCs w:val="20"/>
        </w:rPr>
        <w:t xml:space="preserve"> </w:t>
      </w:r>
      <w:r w:rsidRPr="00B33874">
        <w:rPr>
          <w:rFonts w:ascii="Verdana" w:hAnsi="Verdana"/>
          <w:sz w:val="20"/>
          <w:szCs w:val="20"/>
        </w:rPr>
        <w:t>“</w:t>
      </w:r>
      <w:r>
        <w:rPr>
          <w:rFonts w:ascii="Verdana" w:eastAsia="Calibri" w:hAnsi="Verdana" w:cs="Calibri"/>
          <w:sz w:val="20"/>
          <w:szCs w:val="20"/>
          <w:lang w:val="es-CR" w:eastAsia="en-US"/>
        </w:rPr>
        <w:t>al proceso p</w:t>
      </w:r>
      <w:r w:rsidRPr="00B33874">
        <w:rPr>
          <w:rFonts w:ascii="Verdana" w:eastAsia="Calibri" w:hAnsi="Verdana" w:cs="Calibri"/>
          <w:sz w:val="20"/>
          <w:szCs w:val="20"/>
          <w:lang w:val="es-CR" w:eastAsia="en-US"/>
        </w:rPr>
        <w:t>enal sobre las denuncias realizada por RCTV y la Protección Cautelar de los Bienes de RCTV dictada por el Tribunal Supremo de Justicia y sus efectos jurídicos”.</w:t>
      </w:r>
    </w:p>
    <w:p w:rsidR="008621EB" w:rsidRPr="008621EB" w:rsidRDefault="008621EB" w:rsidP="008621EB">
      <w:pPr>
        <w:widowControl w:val="0"/>
        <w:autoSpaceDE w:val="0"/>
        <w:autoSpaceDN w:val="0"/>
        <w:adjustRightInd w:val="0"/>
        <w:jc w:val="both"/>
        <w:rPr>
          <w:rFonts w:ascii="Verdana" w:hAnsi="Verdana" w:cs="Verdana"/>
          <w:b/>
          <w:bCs/>
          <w:i/>
          <w:iCs/>
          <w:sz w:val="20"/>
          <w:szCs w:val="20"/>
        </w:rPr>
      </w:pPr>
    </w:p>
    <w:p w:rsidR="008621EB" w:rsidRPr="00735A8E" w:rsidRDefault="008621EB" w:rsidP="00735A8E">
      <w:pPr>
        <w:pStyle w:val="Prrafodelista"/>
        <w:widowControl w:val="0"/>
        <w:numPr>
          <w:ilvl w:val="0"/>
          <w:numId w:val="38"/>
        </w:numPr>
        <w:autoSpaceDE w:val="0"/>
        <w:autoSpaceDN w:val="0"/>
        <w:adjustRightInd w:val="0"/>
        <w:jc w:val="both"/>
        <w:rPr>
          <w:rFonts w:ascii="Verdana" w:hAnsi="Verdana" w:cs="Verdana"/>
          <w:b/>
          <w:bCs/>
          <w:i/>
          <w:iCs/>
          <w:sz w:val="20"/>
          <w:szCs w:val="20"/>
        </w:rPr>
      </w:pPr>
      <w:r>
        <w:rPr>
          <w:rFonts w:ascii="Verdana" w:hAnsi="Verdana" w:cs="Verdana"/>
          <w:b/>
          <w:bCs/>
          <w:i/>
          <w:iCs/>
          <w:sz w:val="20"/>
          <w:szCs w:val="20"/>
        </w:rPr>
        <w:t>Peritos</w:t>
      </w:r>
      <w:r w:rsidR="00C8113C">
        <w:rPr>
          <w:rFonts w:ascii="Verdana" w:hAnsi="Verdana" w:cs="Verdana"/>
          <w:b/>
          <w:bCs/>
          <w:i/>
          <w:iCs/>
          <w:sz w:val="20"/>
          <w:szCs w:val="20"/>
        </w:rPr>
        <w:t xml:space="preserve"> (</w:t>
      </w:r>
      <w:r w:rsidR="00C8113C">
        <w:rPr>
          <w:rFonts w:ascii="Verdana" w:hAnsi="Verdana" w:cs="Verdana"/>
          <w:b/>
          <w:bCs/>
          <w:iCs/>
          <w:sz w:val="20"/>
          <w:szCs w:val="20"/>
        </w:rPr>
        <w:t>p</w:t>
      </w:r>
      <w:r w:rsidR="00C8113C" w:rsidRPr="00735A8E">
        <w:rPr>
          <w:rFonts w:ascii="Verdana" w:hAnsi="Verdana" w:cs="Verdana"/>
          <w:b/>
          <w:bCs/>
          <w:iCs/>
          <w:sz w:val="20"/>
          <w:szCs w:val="20"/>
        </w:rPr>
        <w:t>ropuestos por los representantes</w:t>
      </w:r>
      <w:r w:rsidR="00C8113C">
        <w:rPr>
          <w:rFonts w:ascii="Verdana" w:hAnsi="Verdana" w:cs="Verdana"/>
          <w:b/>
          <w:bCs/>
          <w:i/>
          <w:iCs/>
          <w:sz w:val="20"/>
          <w:szCs w:val="20"/>
        </w:rPr>
        <w:t>)</w:t>
      </w:r>
    </w:p>
    <w:p w:rsidR="00BE42AE" w:rsidRPr="001D69BD" w:rsidRDefault="00BE42AE" w:rsidP="00C8113C">
      <w:pPr>
        <w:widowControl w:val="0"/>
        <w:autoSpaceDE w:val="0"/>
        <w:autoSpaceDN w:val="0"/>
        <w:adjustRightInd w:val="0"/>
        <w:jc w:val="both"/>
        <w:rPr>
          <w:rFonts w:ascii="Verdana" w:hAnsi="Verdana" w:cs="Verdana"/>
          <w:b/>
          <w:bCs/>
          <w:i/>
          <w:iCs/>
          <w:sz w:val="20"/>
          <w:szCs w:val="20"/>
        </w:rPr>
      </w:pPr>
    </w:p>
    <w:p w:rsidR="00207F6C" w:rsidRPr="002F1DB1" w:rsidRDefault="00207F6C" w:rsidP="00E32457">
      <w:pPr>
        <w:pStyle w:val="Prrafodelista"/>
        <w:widowControl w:val="0"/>
        <w:numPr>
          <w:ilvl w:val="0"/>
          <w:numId w:val="19"/>
        </w:numPr>
        <w:autoSpaceDE w:val="0"/>
        <w:autoSpaceDN w:val="0"/>
        <w:adjustRightInd w:val="0"/>
        <w:jc w:val="both"/>
        <w:rPr>
          <w:rFonts w:ascii="Verdana" w:hAnsi="Verdana"/>
          <w:sz w:val="20"/>
          <w:szCs w:val="20"/>
        </w:rPr>
      </w:pPr>
      <w:r w:rsidRPr="001D69BD">
        <w:rPr>
          <w:rFonts w:ascii="Verdana" w:hAnsi="Verdana" w:cs="Verdana"/>
          <w:i/>
          <w:sz w:val="20"/>
          <w:szCs w:val="20"/>
        </w:rPr>
        <w:t>Francisco Rubio Llorente</w:t>
      </w:r>
      <w:r w:rsidR="001D69BD" w:rsidRPr="001D69BD">
        <w:rPr>
          <w:rFonts w:ascii="Verdana" w:hAnsi="Verdana" w:cs="Verdana"/>
          <w:sz w:val="20"/>
          <w:szCs w:val="20"/>
        </w:rPr>
        <w:t xml:space="preserve">, </w:t>
      </w:r>
      <w:r w:rsidR="008223B6">
        <w:rPr>
          <w:rFonts w:ascii="Verdana" w:hAnsi="Verdana" w:cs="Verdana"/>
          <w:sz w:val="20"/>
          <w:szCs w:val="20"/>
        </w:rPr>
        <w:t xml:space="preserve">docente universitario, </w:t>
      </w:r>
      <w:r w:rsidR="001D69BD" w:rsidRPr="001D69BD">
        <w:rPr>
          <w:rFonts w:ascii="Verdana" w:hAnsi="Verdana" w:cs="Verdana"/>
          <w:sz w:val="20"/>
          <w:szCs w:val="20"/>
        </w:rPr>
        <w:t xml:space="preserve">quien </w:t>
      </w:r>
      <w:r w:rsidR="00727BC2">
        <w:rPr>
          <w:rFonts w:ascii="Verdana" w:hAnsi="Verdana" w:cs="Verdana"/>
          <w:sz w:val="20"/>
          <w:szCs w:val="20"/>
        </w:rPr>
        <w:t>rendirá peritaje</w:t>
      </w:r>
      <w:r w:rsidR="001D69BD" w:rsidRPr="001D69BD">
        <w:rPr>
          <w:rFonts w:ascii="Verdana" w:hAnsi="Verdana" w:cs="Verdana"/>
          <w:sz w:val="20"/>
          <w:szCs w:val="20"/>
        </w:rPr>
        <w:t xml:space="preserve"> sobre</w:t>
      </w:r>
      <w:r w:rsidR="001D69BD">
        <w:rPr>
          <w:rFonts w:ascii="Verdana" w:hAnsi="Verdana" w:cs="Verdana"/>
          <w:sz w:val="20"/>
          <w:szCs w:val="20"/>
        </w:rPr>
        <w:t>: i)</w:t>
      </w:r>
      <w:r w:rsidR="001D69BD" w:rsidRPr="001D69BD">
        <w:rPr>
          <w:rFonts w:ascii="Verdana" w:hAnsi="Verdana" w:cs="Verdana"/>
          <w:sz w:val="20"/>
          <w:szCs w:val="20"/>
        </w:rPr>
        <w:t xml:space="preserve"> </w:t>
      </w:r>
      <w:r w:rsidR="001D69BD" w:rsidRPr="001D69BD">
        <w:rPr>
          <w:rFonts w:ascii="Verdana" w:hAnsi="Verdana"/>
          <w:sz w:val="20"/>
          <w:szCs w:val="20"/>
        </w:rPr>
        <w:t>“</w:t>
      </w:r>
      <w:r w:rsidR="001D69BD" w:rsidRPr="001D69BD">
        <w:rPr>
          <w:rFonts w:ascii="Verdana" w:hAnsi="Verdana"/>
          <w:sz w:val="20"/>
          <w:szCs w:val="20"/>
          <w:lang w:eastAsia="es-CR"/>
        </w:rPr>
        <w:t>la naturaleza jurídica de las empresas comunicacionales y sus consecuencias en el ejercicio de la libertad de expresión por parte de sus socios y directi</w:t>
      </w:r>
      <w:r w:rsidR="001D69BD">
        <w:rPr>
          <w:rFonts w:ascii="Verdana" w:hAnsi="Verdana"/>
          <w:sz w:val="20"/>
          <w:szCs w:val="20"/>
          <w:lang w:eastAsia="es-CR"/>
        </w:rPr>
        <w:t>vos en una sociedad democrática</w:t>
      </w:r>
      <w:r w:rsidR="00E1002F">
        <w:rPr>
          <w:rFonts w:ascii="Verdana" w:hAnsi="Verdana"/>
          <w:sz w:val="20"/>
          <w:szCs w:val="20"/>
          <w:lang w:eastAsia="es-CR"/>
        </w:rPr>
        <w:t>”</w:t>
      </w:r>
      <w:r w:rsidR="001D69BD">
        <w:rPr>
          <w:rFonts w:ascii="Verdana" w:hAnsi="Verdana"/>
          <w:sz w:val="20"/>
          <w:szCs w:val="20"/>
          <w:lang w:eastAsia="es-CR"/>
        </w:rPr>
        <w:t>; ii)</w:t>
      </w:r>
      <w:r w:rsidR="001D69BD" w:rsidRPr="001D69BD">
        <w:rPr>
          <w:rFonts w:ascii="Verdana" w:hAnsi="Verdana"/>
          <w:sz w:val="20"/>
          <w:szCs w:val="20"/>
          <w:lang w:eastAsia="es-CR"/>
        </w:rPr>
        <w:t xml:space="preserve"> </w:t>
      </w:r>
      <w:r w:rsidR="001D69BD">
        <w:rPr>
          <w:rFonts w:ascii="Verdana" w:hAnsi="Verdana"/>
          <w:sz w:val="20"/>
          <w:szCs w:val="20"/>
          <w:lang w:eastAsia="es-CR"/>
        </w:rPr>
        <w:t>“</w:t>
      </w:r>
      <w:r w:rsidR="001D69BD" w:rsidRPr="001D69BD">
        <w:rPr>
          <w:rFonts w:ascii="Verdana" w:hAnsi="Verdana"/>
          <w:sz w:val="20"/>
          <w:szCs w:val="20"/>
          <w:lang w:eastAsia="es-CR"/>
        </w:rPr>
        <w:t>la especificidad del ejercicio de la libertad de expresión por las personas que constituyen y dirigen una empresa comunicacional</w:t>
      </w:r>
      <w:r w:rsidR="001D69BD">
        <w:rPr>
          <w:rFonts w:ascii="Verdana" w:hAnsi="Verdana"/>
          <w:sz w:val="20"/>
          <w:szCs w:val="20"/>
          <w:lang w:eastAsia="es-CR"/>
        </w:rPr>
        <w:t>”, y iii)</w:t>
      </w:r>
      <w:r w:rsidR="001D69BD" w:rsidRPr="001D69BD">
        <w:rPr>
          <w:rFonts w:ascii="Verdana" w:hAnsi="Verdana"/>
          <w:sz w:val="20"/>
          <w:szCs w:val="20"/>
          <w:lang w:eastAsia="es-CR"/>
        </w:rPr>
        <w:t xml:space="preserve"> </w:t>
      </w:r>
      <w:r w:rsidR="001D69BD">
        <w:rPr>
          <w:rFonts w:ascii="Verdana" w:hAnsi="Verdana"/>
          <w:sz w:val="20"/>
          <w:szCs w:val="20"/>
          <w:lang w:eastAsia="es-CR"/>
        </w:rPr>
        <w:t>“</w:t>
      </w:r>
      <w:r w:rsidR="001D69BD" w:rsidRPr="001D69BD">
        <w:rPr>
          <w:rFonts w:ascii="Verdana" w:hAnsi="Verdana"/>
          <w:sz w:val="20"/>
          <w:szCs w:val="20"/>
          <w:lang w:eastAsia="es-CR"/>
        </w:rPr>
        <w:t xml:space="preserve">las consecuencias y efectos en el ejercicio de la libertad de expresión de los socios y directivos de una empresa mediática que conlleva la </w:t>
      </w:r>
      <w:r w:rsidR="00372CED">
        <w:rPr>
          <w:rFonts w:ascii="Verdana" w:hAnsi="Verdana"/>
          <w:sz w:val="20"/>
          <w:szCs w:val="20"/>
          <w:lang w:eastAsia="es-CR"/>
        </w:rPr>
        <w:t xml:space="preserve">[alegada] </w:t>
      </w:r>
      <w:r w:rsidR="001D69BD" w:rsidRPr="001D69BD">
        <w:rPr>
          <w:rFonts w:ascii="Verdana" w:hAnsi="Verdana"/>
          <w:sz w:val="20"/>
          <w:szCs w:val="20"/>
          <w:lang w:eastAsia="es-CR"/>
        </w:rPr>
        <w:t xml:space="preserve">restricción arbitraria del acceso a la concesión de uso del espectro radioeléctrico o de la cancelación o no renovación de manera </w:t>
      </w:r>
      <w:r w:rsidR="00372CED">
        <w:rPr>
          <w:rFonts w:ascii="Verdana" w:hAnsi="Verdana"/>
          <w:sz w:val="20"/>
          <w:szCs w:val="20"/>
          <w:lang w:eastAsia="es-CR"/>
        </w:rPr>
        <w:t xml:space="preserve">[presuntamente] </w:t>
      </w:r>
      <w:r w:rsidR="001D69BD" w:rsidRPr="002F1DB1">
        <w:rPr>
          <w:rFonts w:ascii="Verdana" w:hAnsi="Verdana"/>
          <w:sz w:val="20"/>
          <w:szCs w:val="20"/>
          <w:lang w:eastAsia="es-CR"/>
        </w:rPr>
        <w:t>arbitraria y discriminatoria de la concesión o habilitación de una estación de televisión como RCTV en el caso de Venezuela”</w:t>
      </w:r>
      <w:r w:rsidR="00372CED" w:rsidRPr="002F1DB1">
        <w:rPr>
          <w:rFonts w:ascii="Verdana" w:hAnsi="Verdana" w:cs="Verdana"/>
          <w:sz w:val="20"/>
          <w:szCs w:val="20"/>
        </w:rPr>
        <w:t>.</w:t>
      </w:r>
      <w:r w:rsidRPr="002F1DB1">
        <w:rPr>
          <w:rFonts w:ascii="Verdana" w:hAnsi="Verdana" w:cs="Verdana"/>
          <w:sz w:val="20"/>
          <w:szCs w:val="20"/>
        </w:rPr>
        <w:t xml:space="preserve"> </w:t>
      </w:r>
    </w:p>
    <w:p w:rsidR="002F1DB1" w:rsidRPr="002F1DB1" w:rsidRDefault="002F1DB1" w:rsidP="002F1DB1">
      <w:pPr>
        <w:pStyle w:val="Prrafodelista"/>
        <w:widowControl w:val="0"/>
        <w:autoSpaceDE w:val="0"/>
        <w:autoSpaceDN w:val="0"/>
        <w:adjustRightInd w:val="0"/>
        <w:jc w:val="both"/>
        <w:rPr>
          <w:rFonts w:ascii="Verdana" w:hAnsi="Verdana"/>
          <w:sz w:val="20"/>
          <w:szCs w:val="20"/>
        </w:rPr>
      </w:pPr>
    </w:p>
    <w:p w:rsidR="00C82ECA" w:rsidRPr="00C82ECA" w:rsidRDefault="002F1DB1" w:rsidP="00E32457">
      <w:pPr>
        <w:pStyle w:val="Prrafodelista"/>
        <w:widowControl w:val="0"/>
        <w:numPr>
          <w:ilvl w:val="0"/>
          <w:numId w:val="19"/>
        </w:numPr>
        <w:autoSpaceDE w:val="0"/>
        <w:autoSpaceDN w:val="0"/>
        <w:adjustRightInd w:val="0"/>
        <w:jc w:val="both"/>
        <w:rPr>
          <w:rFonts w:ascii="Verdana" w:hAnsi="Verdana"/>
          <w:sz w:val="20"/>
          <w:szCs w:val="20"/>
        </w:rPr>
      </w:pPr>
      <w:r w:rsidRPr="002F1DB1">
        <w:rPr>
          <w:rFonts w:ascii="Verdana" w:hAnsi="Verdana" w:cs="Verdana"/>
          <w:i/>
          <w:sz w:val="20"/>
          <w:szCs w:val="20"/>
        </w:rPr>
        <w:t xml:space="preserve">Alfredo </w:t>
      </w:r>
      <w:proofErr w:type="spellStart"/>
      <w:r w:rsidRPr="002F1DB1">
        <w:rPr>
          <w:rFonts w:ascii="Verdana" w:hAnsi="Verdana" w:cs="Verdana"/>
          <w:i/>
          <w:sz w:val="20"/>
          <w:szCs w:val="20"/>
        </w:rPr>
        <w:t>Mor</w:t>
      </w:r>
      <w:r w:rsidR="00207F6C" w:rsidRPr="002F1DB1">
        <w:rPr>
          <w:rFonts w:ascii="Verdana" w:hAnsi="Verdana" w:cs="Verdana"/>
          <w:i/>
          <w:sz w:val="20"/>
          <w:szCs w:val="20"/>
        </w:rPr>
        <w:t>les</w:t>
      </w:r>
      <w:proofErr w:type="spellEnd"/>
      <w:r w:rsidR="00207F6C" w:rsidRPr="002F1DB1">
        <w:rPr>
          <w:rFonts w:ascii="Verdana" w:hAnsi="Verdana" w:cs="Verdana"/>
          <w:i/>
          <w:sz w:val="20"/>
          <w:szCs w:val="20"/>
        </w:rPr>
        <w:t xml:space="preserve"> Hernández</w:t>
      </w:r>
      <w:r w:rsidRPr="002F1DB1">
        <w:rPr>
          <w:rFonts w:ascii="Verdana" w:hAnsi="Verdana" w:cs="Verdana"/>
          <w:sz w:val="20"/>
          <w:szCs w:val="20"/>
        </w:rPr>
        <w:t xml:space="preserve">, </w:t>
      </w:r>
      <w:r w:rsidR="008223B6">
        <w:rPr>
          <w:rFonts w:ascii="Verdana" w:hAnsi="Verdana" w:cs="Verdana"/>
          <w:sz w:val="20"/>
          <w:szCs w:val="20"/>
        </w:rPr>
        <w:t xml:space="preserve">abogado y académico, </w:t>
      </w:r>
      <w:r w:rsidRPr="002F1DB1">
        <w:rPr>
          <w:rFonts w:ascii="Verdana" w:hAnsi="Verdana" w:cs="Verdana"/>
          <w:sz w:val="20"/>
          <w:szCs w:val="20"/>
        </w:rPr>
        <w:t xml:space="preserve">quien </w:t>
      </w:r>
      <w:r w:rsidR="00727BC2">
        <w:rPr>
          <w:rFonts w:ascii="Verdana" w:hAnsi="Verdana" w:cs="Verdana"/>
          <w:sz w:val="20"/>
          <w:szCs w:val="20"/>
        </w:rPr>
        <w:t>rendirá peritaje</w:t>
      </w:r>
      <w:r w:rsidRPr="002F1DB1">
        <w:rPr>
          <w:rFonts w:ascii="Verdana" w:hAnsi="Verdana" w:cs="Verdana"/>
          <w:sz w:val="20"/>
          <w:szCs w:val="20"/>
        </w:rPr>
        <w:t xml:space="preserve"> sobre:</w:t>
      </w:r>
      <w:r>
        <w:rPr>
          <w:rFonts w:ascii="Verdana" w:hAnsi="Verdana" w:cs="Verdana"/>
          <w:sz w:val="20"/>
          <w:szCs w:val="20"/>
        </w:rPr>
        <w:t xml:space="preserve"> i) las</w:t>
      </w:r>
      <w:r w:rsidRPr="002F1DB1">
        <w:rPr>
          <w:rFonts w:ascii="Verdana" w:hAnsi="Verdana"/>
          <w:sz w:val="20"/>
          <w:szCs w:val="20"/>
        </w:rPr>
        <w:t xml:space="preserve"> “</w:t>
      </w:r>
      <w:r w:rsidRPr="002F1DB1">
        <w:rPr>
          <w:rFonts w:ascii="Verdana" w:hAnsi="Verdana"/>
          <w:sz w:val="20"/>
          <w:szCs w:val="20"/>
          <w:lang w:eastAsia="es-CR"/>
        </w:rPr>
        <w:t>empresas com</w:t>
      </w:r>
      <w:r>
        <w:rPr>
          <w:rFonts w:ascii="Verdana" w:hAnsi="Verdana"/>
          <w:sz w:val="20"/>
          <w:szCs w:val="20"/>
          <w:lang w:eastAsia="es-CR"/>
        </w:rPr>
        <w:t>unicacionales como instrumentos</w:t>
      </w:r>
      <w:r w:rsidRPr="002F1DB1">
        <w:rPr>
          <w:rFonts w:ascii="Verdana" w:hAnsi="Verdana"/>
          <w:sz w:val="20"/>
          <w:szCs w:val="20"/>
          <w:lang w:eastAsia="es-CR"/>
        </w:rPr>
        <w:t xml:space="preserve"> societarios para el ejercicio de la libertad de expresión, las extensión de las afectaciones a la empresa y a su patrimonio, y en consecuencia a sus accionistas, e incluso al patrimonio moral de sus accionistas</w:t>
      </w:r>
      <w:r>
        <w:rPr>
          <w:rFonts w:ascii="Verdana" w:hAnsi="Verdana"/>
          <w:sz w:val="20"/>
          <w:szCs w:val="20"/>
          <w:lang w:eastAsia="es-CR"/>
        </w:rPr>
        <w:t>”; ii)</w:t>
      </w:r>
      <w:r w:rsidRPr="002F1DB1">
        <w:rPr>
          <w:rFonts w:ascii="Verdana" w:hAnsi="Verdana"/>
          <w:sz w:val="20"/>
          <w:szCs w:val="20"/>
          <w:lang w:eastAsia="es-CR"/>
        </w:rPr>
        <w:t xml:space="preserve"> </w:t>
      </w:r>
      <w:r>
        <w:rPr>
          <w:rFonts w:ascii="Verdana" w:hAnsi="Verdana"/>
          <w:sz w:val="20"/>
          <w:szCs w:val="20"/>
          <w:lang w:eastAsia="es-CR"/>
        </w:rPr>
        <w:t>“</w:t>
      </w:r>
      <w:r w:rsidRPr="002F1DB1">
        <w:rPr>
          <w:rFonts w:ascii="Verdana" w:hAnsi="Verdana"/>
          <w:sz w:val="20"/>
          <w:szCs w:val="20"/>
          <w:lang w:eastAsia="es-CR"/>
        </w:rPr>
        <w:t xml:space="preserve">las relaciones jurídicas existentes entre los accionistas y los </w:t>
      </w:r>
      <w:r w:rsidRPr="002F1DB1">
        <w:rPr>
          <w:rFonts w:ascii="Verdana" w:hAnsi="Verdana"/>
          <w:sz w:val="20"/>
          <w:szCs w:val="20"/>
          <w:lang w:eastAsia="es-CR"/>
        </w:rPr>
        <w:lastRenderedPageBreak/>
        <w:t>m</w:t>
      </w:r>
      <w:r>
        <w:rPr>
          <w:rFonts w:ascii="Verdana" w:hAnsi="Verdana"/>
          <w:sz w:val="20"/>
          <w:szCs w:val="20"/>
          <w:lang w:eastAsia="es-CR"/>
        </w:rPr>
        <w:t>edios de comunicación como RCTV</w:t>
      </w:r>
      <w:r w:rsidR="00E1002F">
        <w:rPr>
          <w:rFonts w:ascii="Verdana" w:hAnsi="Verdana"/>
          <w:sz w:val="20"/>
          <w:szCs w:val="20"/>
          <w:lang w:eastAsia="es-CR"/>
        </w:rPr>
        <w:t>”</w:t>
      </w:r>
      <w:r>
        <w:rPr>
          <w:rFonts w:ascii="Verdana" w:hAnsi="Verdana"/>
          <w:sz w:val="20"/>
          <w:szCs w:val="20"/>
          <w:lang w:eastAsia="es-CR"/>
        </w:rPr>
        <w:t>; iii)</w:t>
      </w:r>
      <w:r w:rsidRPr="002F1DB1">
        <w:rPr>
          <w:rFonts w:ascii="Verdana" w:hAnsi="Verdana"/>
          <w:sz w:val="20"/>
          <w:szCs w:val="20"/>
          <w:lang w:eastAsia="es-CR"/>
        </w:rPr>
        <w:t xml:space="preserve"> </w:t>
      </w:r>
      <w:r>
        <w:rPr>
          <w:rFonts w:ascii="Verdana" w:hAnsi="Verdana"/>
          <w:sz w:val="20"/>
          <w:szCs w:val="20"/>
          <w:lang w:eastAsia="es-CR"/>
        </w:rPr>
        <w:t>“</w:t>
      </w:r>
      <w:r w:rsidRPr="002F1DB1">
        <w:rPr>
          <w:rFonts w:ascii="Verdana" w:hAnsi="Verdana"/>
          <w:sz w:val="20"/>
          <w:szCs w:val="20"/>
          <w:lang w:eastAsia="es-CR"/>
        </w:rPr>
        <w:t>las excepciones al llamado velo corporativo existentes en aquellos casos de empresas familiares y cer</w:t>
      </w:r>
      <w:r>
        <w:rPr>
          <w:rFonts w:ascii="Verdana" w:hAnsi="Verdana"/>
          <w:sz w:val="20"/>
          <w:szCs w:val="20"/>
          <w:lang w:eastAsia="es-CR"/>
        </w:rPr>
        <w:t>radas, como es el caso de RCTV</w:t>
      </w:r>
      <w:r w:rsidR="00E1002F">
        <w:rPr>
          <w:rFonts w:ascii="Verdana" w:hAnsi="Verdana"/>
          <w:sz w:val="20"/>
          <w:szCs w:val="20"/>
          <w:lang w:eastAsia="es-CR"/>
        </w:rPr>
        <w:t>”</w:t>
      </w:r>
      <w:r>
        <w:rPr>
          <w:rFonts w:ascii="Verdana" w:hAnsi="Verdana"/>
          <w:sz w:val="20"/>
          <w:szCs w:val="20"/>
          <w:lang w:eastAsia="es-CR"/>
        </w:rPr>
        <w:t>, y iv) “</w:t>
      </w:r>
      <w:r w:rsidRPr="002F1DB1">
        <w:rPr>
          <w:rFonts w:ascii="Verdana" w:hAnsi="Verdana"/>
          <w:sz w:val="20"/>
          <w:szCs w:val="20"/>
          <w:lang w:eastAsia="es-CR"/>
        </w:rPr>
        <w:t>las consecuencias y efectos en el ejercicio de la libertad de expresión de los socios, al igual que el daño patrimonial causado, como afe</w:t>
      </w:r>
      <w:r>
        <w:rPr>
          <w:rFonts w:ascii="Verdana" w:hAnsi="Verdana"/>
          <w:sz w:val="20"/>
          <w:szCs w:val="20"/>
          <w:lang w:eastAsia="es-CR"/>
        </w:rPr>
        <w:t xml:space="preserve">ctación al derecho </w:t>
      </w:r>
      <w:r w:rsidRPr="00C82ECA">
        <w:rPr>
          <w:rFonts w:ascii="Verdana" w:hAnsi="Verdana"/>
          <w:sz w:val="20"/>
          <w:szCs w:val="20"/>
          <w:lang w:eastAsia="es-CR"/>
        </w:rPr>
        <w:t>de propiedad”.</w:t>
      </w:r>
    </w:p>
    <w:p w:rsidR="00207F6C" w:rsidRPr="00C82ECA" w:rsidRDefault="00207F6C" w:rsidP="00C82ECA">
      <w:pPr>
        <w:widowControl w:val="0"/>
        <w:autoSpaceDE w:val="0"/>
        <w:autoSpaceDN w:val="0"/>
        <w:adjustRightInd w:val="0"/>
        <w:jc w:val="both"/>
        <w:rPr>
          <w:rFonts w:ascii="Verdana" w:hAnsi="Verdana"/>
          <w:sz w:val="20"/>
          <w:szCs w:val="20"/>
        </w:rPr>
      </w:pPr>
      <w:r w:rsidRPr="00C82ECA">
        <w:rPr>
          <w:rFonts w:ascii="Verdana" w:hAnsi="Verdana" w:cs="Verdana"/>
          <w:sz w:val="20"/>
          <w:szCs w:val="20"/>
        </w:rPr>
        <w:t xml:space="preserve"> </w:t>
      </w:r>
    </w:p>
    <w:p w:rsidR="00207F6C" w:rsidRPr="00D64D5E" w:rsidRDefault="00207F6C" w:rsidP="00E32457">
      <w:pPr>
        <w:pStyle w:val="Prrafodelista"/>
        <w:widowControl w:val="0"/>
        <w:numPr>
          <w:ilvl w:val="0"/>
          <w:numId w:val="19"/>
        </w:numPr>
        <w:autoSpaceDE w:val="0"/>
        <w:autoSpaceDN w:val="0"/>
        <w:adjustRightInd w:val="0"/>
        <w:jc w:val="both"/>
        <w:rPr>
          <w:rFonts w:ascii="Verdana" w:hAnsi="Verdana"/>
          <w:sz w:val="20"/>
          <w:szCs w:val="20"/>
        </w:rPr>
      </w:pPr>
      <w:r w:rsidRPr="00C82ECA">
        <w:rPr>
          <w:rFonts w:ascii="Verdana" w:hAnsi="Verdana" w:cs="Verdana"/>
          <w:i/>
          <w:sz w:val="20"/>
          <w:szCs w:val="20"/>
        </w:rPr>
        <w:t>André Ramos Tavares</w:t>
      </w:r>
      <w:r w:rsidR="00C82ECA" w:rsidRPr="00C82ECA">
        <w:rPr>
          <w:rFonts w:ascii="Verdana" w:hAnsi="Verdana" w:cs="Verdana"/>
          <w:sz w:val="20"/>
          <w:szCs w:val="20"/>
        </w:rPr>
        <w:t xml:space="preserve">, </w:t>
      </w:r>
      <w:r w:rsidR="008223B6">
        <w:rPr>
          <w:rFonts w:ascii="Verdana" w:hAnsi="Verdana" w:cs="Verdana"/>
          <w:sz w:val="20"/>
          <w:szCs w:val="20"/>
        </w:rPr>
        <w:t xml:space="preserve">profesor de la Universidad Católica de Sao Paulo, </w:t>
      </w:r>
      <w:r w:rsidR="00C82ECA" w:rsidRPr="00C82ECA">
        <w:rPr>
          <w:rFonts w:ascii="Verdana" w:hAnsi="Verdana" w:cs="Verdana"/>
          <w:sz w:val="20"/>
          <w:szCs w:val="20"/>
        </w:rPr>
        <w:t xml:space="preserve">quien </w:t>
      </w:r>
      <w:r w:rsidR="00727BC2">
        <w:rPr>
          <w:rFonts w:ascii="Verdana" w:hAnsi="Verdana" w:cs="Verdana"/>
          <w:sz w:val="20"/>
          <w:szCs w:val="20"/>
        </w:rPr>
        <w:t>rendirá peritaje</w:t>
      </w:r>
      <w:r w:rsidR="00C82ECA" w:rsidRPr="00C82ECA">
        <w:rPr>
          <w:rFonts w:ascii="Verdana" w:hAnsi="Verdana" w:cs="Verdana"/>
          <w:sz w:val="20"/>
          <w:szCs w:val="20"/>
        </w:rPr>
        <w:t xml:space="preserve"> sobre </w:t>
      </w:r>
      <w:r w:rsidR="00C82ECA" w:rsidRPr="00C82ECA">
        <w:rPr>
          <w:rFonts w:ascii="Verdana" w:hAnsi="Verdana"/>
          <w:sz w:val="20"/>
          <w:szCs w:val="20"/>
        </w:rPr>
        <w:t>“</w:t>
      </w:r>
      <w:r w:rsidR="00C82ECA" w:rsidRPr="00C82ECA">
        <w:rPr>
          <w:rFonts w:ascii="Verdana" w:hAnsi="Verdana"/>
          <w:sz w:val="20"/>
          <w:szCs w:val="20"/>
          <w:lang w:eastAsia="es-CR"/>
        </w:rPr>
        <w:t>los estándares de la libertad de expresión internacionalmente reconocidos y la prohibición de discriminación</w:t>
      </w:r>
      <w:r w:rsidR="00C82ECA">
        <w:rPr>
          <w:rFonts w:ascii="Verdana" w:hAnsi="Verdana"/>
          <w:sz w:val="20"/>
          <w:szCs w:val="20"/>
          <w:lang w:eastAsia="es-CR"/>
        </w:rPr>
        <w:t>, con</w:t>
      </w:r>
      <w:r w:rsidR="00C82ECA" w:rsidRPr="00C82ECA">
        <w:rPr>
          <w:rFonts w:ascii="Verdana" w:hAnsi="Verdana"/>
          <w:sz w:val="20"/>
          <w:szCs w:val="20"/>
          <w:lang w:eastAsia="es-CR"/>
        </w:rPr>
        <w:t xml:space="preserve"> especial referencia a la aplicación de dichos estándares a los medios de comunicación y al régimen de asignación, renovación y remoción de licencias a </w:t>
      </w:r>
      <w:r w:rsidR="00C82ECA" w:rsidRPr="00D64D5E">
        <w:rPr>
          <w:rFonts w:ascii="Verdana" w:hAnsi="Verdana"/>
          <w:sz w:val="20"/>
          <w:szCs w:val="20"/>
          <w:lang w:eastAsia="es-CR"/>
        </w:rPr>
        <w:t>éstos para la difusión abierta de su programación</w:t>
      </w:r>
      <w:r w:rsidR="00C82ECA" w:rsidRPr="00D64D5E">
        <w:rPr>
          <w:rFonts w:ascii="Verdana" w:hAnsi="Verdana"/>
          <w:sz w:val="20"/>
          <w:szCs w:val="20"/>
        </w:rPr>
        <w:t>”</w:t>
      </w:r>
      <w:r w:rsidR="00C82ECA" w:rsidRPr="00D64D5E">
        <w:rPr>
          <w:rFonts w:ascii="Verdana" w:hAnsi="Verdana" w:cs="Verdana"/>
          <w:sz w:val="20"/>
          <w:szCs w:val="20"/>
        </w:rPr>
        <w:t>.</w:t>
      </w:r>
    </w:p>
    <w:p w:rsidR="00D64D5E" w:rsidRPr="00D64D5E" w:rsidRDefault="00D64D5E" w:rsidP="00D64D5E">
      <w:pPr>
        <w:widowControl w:val="0"/>
        <w:autoSpaceDE w:val="0"/>
        <w:autoSpaceDN w:val="0"/>
        <w:adjustRightInd w:val="0"/>
        <w:jc w:val="both"/>
        <w:rPr>
          <w:rFonts w:ascii="Verdana" w:hAnsi="Verdana"/>
          <w:sz w:val="20"/>
          <w:szCs w:val="20"/>
        </w:rPr>
      </w:pPr>
    </w:p>
    <w:p w:rsidR="00C8113C" w:rsidRPr="00C8113C" w:rsidRDefault="00207F6C" w:rsidP="00E32457">
      <w:pPr>
        <w:pStyle w:val="Prrafodelista"/>
        <w:widowControl w:val="0"/>
        <w:numPr>
          <w:ilvl w:val="0"/>
          <w:numId w:val="19"/>
        </w:numPr>
        <w:autoSpaceDE w:val="0"/>
        <w:autoSpaceDN w:val="0"/>
        <w:adjustRightInd w:val="0"/>
        <w:jc w:val="both"/>
        <w:rPr>
          <w:rFonts w:ascii="Verdana" w:hAnsi="Verdana"/>
          <w:sz w:val="20"/>
          <w:szCs w:val="20"/>
        </w:rPr>
      </w:pPr>
      <w:r w:rsidRPr="00D64D5E">
        <w:rPr>
          <w:rFonts w:ascii="Verdana" w:hAnsi="Verdana" w:cs="Verdana"/>
          <w:i/>
          <w:sz w:val="20"/>
          <w:szCs w:val="20"/>
        </w:rPr>
        <w:t xml:space="preserve">Ángel </w:t>
      </w:r>
      <w:proofErr w:type="spellStart"/>
      <w:r w:rsidRPr="00D64D5E">
        <w:rPr>
          <w:rFonts w:ascii="Verdana" w:hAnsi="Verdana" w:cs="Verdana"/>
          <w:i/>
          <w:sz w:val="20"/>
          <w:szCs w:val="20"/>
        </w:rPr>
        <w:t>Alayón</w:t>
      </w:r>
      <w:proofErr w:type="spellEnd"/>
      <w:r w:rsidR="00D64D5E" w:rsidRPr="00D64D5E">
        <w:rPr>
          <w:rFonts w:ascii="Verdana" w:hAnsi="Verdana" w:cs="Verdana"/>
          <w:sz w:val="20"/>
          <w:szCs w:val="20"/>
        </w:rPr>
        <w:t xml:space="preserve">, </w:t>
      </w:r>
      <w:r w:rsidR="008223B6">
        <w:rPr>
          <w:rFonts w:ascii="Verdana" w:hAnsi="Verdana" w:cs="Verdana"/>
          <w:sz w:val="20"/>
          <w:szCs w:val="20"/>
        </w:rPr>
        <w:t xml:space="preserve">economista, </w:t>
      </w:r>
      <w:r w:rsidR="00D64D5E" w:rsidRPr="00D64D5E">
        <w:rPr>
          <w:rFonts w:ascii="Verdana" w:hAnsi="Verdana" w:cs="Verdana"/>
          <w:sz w:val="20"/>
          <w:szCs w:val="20"/>
        </w:rPr>
        <w:t xml:space="preserve">quien </w:t>
      </w:r>
      <w:r w:rsidR="00727BC2">
        <w:rPr>
          <w:rFonts w:ascii="Verdana" w:hAnsi="Verdana" w:cs="Verdana"/>
          <w:sz w:val="20"/>
          <w:szCs w:val="20"/>
        </w:rPr>
        <w:t>rendirá peritaje</w:t>
      </w:r>
      <w:r w:rsidR="00D64D5E" w:rsidRPr="00D64D5E">
        <w:rPr>
          <w:rFonts w:ascii="Verdana" w:hAnsi="Verdana" w:cs="Verdana"/>
          <w:sz w:val="20"/>
          <w:szCs w:val="20"/>
        </w:rPr>
        <w:t xml:space="preserve"> sobre </w:t>
      </w:r>
      <w:r w:rsidR="008673EB">
        <w:rPr>
          <w:rFonts w:ascii="Verdana" w:hAnsi="Verdana" w:cs="Verdana"/>
          <w:sz w:val="20"/>
          <w:szCs w:val="20"/>
        </w:rPr>
        <w:t xml:space="preserve">la cuantificación de </w:t>
      </w:r>
      <w:r w:rsidR="00D64D5E" w:rsidRPr="00D64D5E">
        <w:rPr>
          <w:rFonts w:ascii="Verdana" w:hAnsi="Verdana"/>
          <w:sz w:val="20"/>
          <w:szCs w:val="20"/>
        </w:rPr>
        <w:t>“</w:t>
      </w:r>
      <w:r w:rsidR="00D64D5E" w:rsidRPr="00D64D5E">
        <w:rPr>
          <w:rFonts w:ascii="Verdana" w:hAnsi="Verdana"/>
          <w:sz w:val="20"/>
          <w:szCs w:val="20"/>
          <w:lang w:eastAsia="es-CR"/>
        </w:rPr>
        <w:t>los [presuntos] daños económicos causados a los accionistas de RCTV con ocasión del cierre por la no renovación de la concesión, así como por los equipos de RCTV incautados por las decisiones judiciales</w:t>
      </w:r>
      <w:r w:rsidR="00D64D5E" w:rsidRPr="00D64D5E">
        <w:rPr>
          <w:rFonts w:ascii="Verdana" w:hAnsi="Verdana" w:cs="Verdana"/>
          <w:sz w:val="20"/>
          <w:szCs w:val="20"/>
        </w:rPr>
        <w:t>”</w:t>
      </w:r>
      <w:r w:rsidR="00C8113C">
        <w:rPr>
          <w:rFonts w:ascii="Verdana" w:hAnsi="Verdana" w:cs="Verdana"/>
          <w:sz w:val="20"/>
          <w:szCs w:val="20"/>
        </w:rPr>
        <w:t>.</w:t>
      </w:r>
    </w:p>
    <w:p w:rsidR="00C8113C" w:rsidRPr="008621EB" w:rsidRDefault="00C8113C" w:rsidP="00C8113C">
      <w:pPr>
        <w:widowControl w:val="0"/>
        <w:autoSpaceDE w:val="0"/>
        <w:autoSpaceDN w:val="0"/>
        <w:adjustRightInd w:val="0"/>
        <w:jc w:val="both"/>
        <w:rPr>
          <w:rFonts w:ascii="Verdana" w:hAnsi="Verdana" w:cs="Verdana"/>
          <w:b/>
          <w:bCs/>
          <w:i/>
          <w:iCs/>
          <w:sz w:val="20"/>
          <w:szCs w:val="20"/>
        </w:rPr>
      </w:pPr>
    </w:p>
    <w:p w:rsidR="00C8113C" w:rsidRPr="00C8113C" w:rsidRDefault="00C8113C" w:rsidP="00C8113C">
      <w:pPr>
        <w:pStyle w:val="Prrafodelista"/>
        <w:widowControl w:val="0"/>
        <w:numPr>
          <w:ilvl w:val="0"/>
          <w:numId w:val="38"/>
        </w:numPr>
        <w:autoSpaceDE w:val="0"/>
        <w:autoSpaceDN w:val="0"/>
        <w:adjustRightInd w:val="0"/>
        <w:jc w:val="both"/>
        <w:rPr>
          <w:rFonts w:ascii="Verdana" w:hAnsi="Verdana" w:cs="Verdana"/>
          <w:b/>
          <w:bCs/>
          <w:i/>
          <w:iCs/>
          <w:sz w:val="20"/>
          <w:szCs w:val="20"/>
        </w:rPr>
      </w:pPr>
      <w:r>
        <w:rPr>
          <w:rFonts w:ascii="Verdana" w:hAnsi="Verdana" w:cs="Verdana"/>
          <w:b/>
          <w:bCs/>
          <w:i/>
          <w:iCs/>
          <w:sz w:val="20"/>
          <w:szCs w:val="20"/>
        </w:rPr>
        <w:t>Declarante informativo (propuesto por el Estado)</w:t>
      </w:r>
    </w:p>
    <w:p w:rsidR="00C8113C" w:rsidRPr="00C8113C" w:rsidRDefault="00C8113C" w:rsidP="00C8113C">
      <w:pPr>
        <w:rPr>
          <w:rFonts w:ascii="Verdana" w:hAnsi="Verdana" w:cs="Verdana"/>
          <w:sz w:val="20"/>
          <w:szCs w:val="20"/>
        </w:rPr>
      </w:pPr>
    </w:p>
    <w:p w:rsidR="00207F6C" w:rsidRPr="00781DA6" w:rsidRDefault="00727BC2" w:rsidP="00727BC2">
      <w:pPr>
        <w:pStyle w:val="Prrafodelista"/>
        <w:widowControl w:val="0"/>
        <w:numPr>
          <w:ilvl w:val="0"/>
          <w:numId w:val="19"/>
        </w:numPr>
        <w:autoSpaceDE w:val="0"/>
        <w:autoSpaceDN w:val="0"/>
        <w:adjustRightInd w:val="0"/>
        <w:jc w:val="both"/>
        <w:rPr>
          <w:rFonts w:ascii="Verdana" w:hAnsi="Verdana"/>
          <w:sz w:val="20"/>
          <w:szCs w:val="20"/>
        </w:rPr>
      </w:pPr>
      <w:r w:rsidRPr="00727BC2">
        <w:rPr>
          <w:rFonts w:ascii="Verdana" w:hAnsi="Verdana" w:cs="Verdana"/>
          <w:i/>
          <w:sz w:val="20"/>
          <w:szCs w:val="20"/>
          <w:lang w:val="es-CR"/>
        </w:rPr>
        <w:t xml:space="preserve">Ana María Hernández Vallen, </w:t>
      </w:r>
      <w:r w:rsidR="00F20F87">
        <w:rPr>
          <w:rFonts w:ascii="Verdana" w:hAnsi="Verdana" w:cs="Verdana"/>
          <w:sz w:val="20"/>
          <w:szCs w:val="20"/>
          <w:lang w:val="es-CR"/>
        </w:rPr>
        <w:t xml:space="preserve">periodista, </w:t>
      </w:r>
      <w:r w:rsidRPr="00727BC2">
        <w:rPr>
          <w:rFonts w:ascii="Verdana" w:hAnsi="Verdana" w:cs="Verdana"/>
          <w:sz w:val="20"/>
          <w:szCs w:val="20"/>
          <w:lang w:val="es-CR"/>
        </w:rPr>
        <w:t>quien declarar</w:t>
      </w:r>
      <w:r w:rsidR="00EA48BB">
        <w:rPr>
          <w:rFonts w:ascii="Verdana" w:hAnsi="Verdana" w:cs="Verdana"/>
          <w:sz w:val="20"/>
          <w:szCs w:val="20"/>
          <w:lang w:val="es-CR"/>
        </w:rPr>
        <w:t>á</w:t>
      </w:r>
      <w:r w:rsidRPr="00727BC2">
        <w:rPr>
          <w:rFonts w:ascii="Verdana" w:hAnsi="Verdana" w:cs="Verdana"/>
          <w:sz w:val="20"/>
          <w:szCs w:val="20"/>
          <w:lang w:val="es-CR"/>
        </w:rPr>
        <w:t xml:space="preserve"> sobre “</w:t>
      </w:r>
      <w:r w:rsidRPr="00727BC2">
        <w:rPr>
          <w:rFonts w:ascii="Verdana" w:eastAsia="Calibri" w:hAnsi="Verdana" w:cs="Calibri"/>
          <w:sz w:val="20"/>
          <w:szCs w:val="20"/>
          <w:lang w:val="es-CR" w:eastAsia="en-US"/>
        </w:rPr>
        <w:t>las empresas de comunicacionales y la libertad de expresión. Así como, la concentración de los medios de comunicación social y los estándares internacionales de organismos de derechos humanos</w:t>
      </w:r>
      <w:r w:rsidRPr="00727BC2">
        <w:rPr>
          <w:rFonts w:ascii="Verdana" w:hAnsi="Verdana" w:cs="Verdana"/>
          <w:sz w:val="20"/>
          <w:szCs w:val="20"/>
          <w:lang w:val="es-CR"/>
        </w:rPr>
        <w:t>”.</w:t>
      </w:r>
    </w:p>
    <w:p w:rsidR="00236466" w:rsidRPr="00D7445D" w:rsidRDefault="00236466" w:rsidP="00781DA6">
      <w:pPr>
        <w:jc w:val="both"/>
        <w:rPr>
          <w:rFonts w:ascii="Verdana" w:hAnsi="Verdana" w:cs="Verdana"/>
          <w:sz w:val="20"/>
          <w:szCs w:val="20"/>
        </w:rPr>
      </w:pPr>
    </w:p>
    <w:p w:rsidR="00236466" w:rsidRPr="006C4430" w:rsidRDefault="00236466" w:rsidP="00A43BA7">
      <w:pPr>
        <w:widowControl w:val="0"/>
        <w:autoSpaceDE w:val="0"/>
        <w:autoSpaceDN w:val="0"/>
        <w:adjustRightInd w:val="0"/>
        <w:jc w:val="both"/>
        <w:rPr>
          <w:rFonts w:ascii="Verdana" w:hAnsi="Verdana" w:cs="Verdana"/>
          <w:b/>
          <w:sz w:val="20"/>
          <w:szCs w:val="20"/>
        </w:rPr>
      </w:pPr>
      <w:r w:rsidRPr="00857CE8">
        <w:rPr>
          <w:rFonts w:ascii="Verdana" w:hAnsi="Verdana" w:cs="Verdana"/>
          <w:sz w:val="20"/>
          <w:szCs w:val="20"/>
        </w:rPr>
        <w:t>2.</w:t>
      </w:r>
      <w:r w:rsidRPr="00857CE8">
        <w:rPr>
          <w:rFonts w:ascii="Verdana" w:hAnsi="Verdana" w:cs="Verdana"/>
          <w:sz w:val="20"/>
          <w:szCs w:val="20"/>
        </w:rPr>
        <w:tab/>
        <w:t xml:space="preserve">Requerir a los </w:t>
      </w:r>
      <w:r w:rsidRPr="008821A2">
        <w:rPr>
          <w:rFonts w:ascii="Verdana" w:hAnsi="Verdana" w:cs="Verdana"/>
          <w:sz w:val="20"/>
          <w:szCs w:val="20"/>
        </w:rPr>
        <w:t>representantes y al Estado que remitan, de considerarlo pertinente y en un plazo improrrogable que vence el</w:t>
      </w:r>
      <w:r w:rsidR="00DE6091" w:rsidRPr="008821A2">
        <w:rPr>
          <w:rFonts w:ascii="Verdana" w:hAnsi="Verdana" w:cs="Verdana"/>
          <w:sz w:val="20"/>
          <w:szCs w:val="20"/>
        </w:rPr>
        <w:t xml:space="preserve"> </w:t>
      </w:r>
      <w:r w:rsidR="00E1002F">
        <w:rPr>
          <w:rFonts w:ascii="Verdana" w:hAnsi="Verdana" w:cs="Verdana"/>
          <w:sz w:val="20"/>
          <w:szCs w:val="20"/>
        </w:rPr>
        <w:t>21</w:t>
      </w:r>
      <w:r w:rsidR="006C4430" w:rsidRPr="008821A2">
        <w:rPr>
          <w:rFonts w:ascii="Verdana" w:hAnsi="Verdana" w:cs="Verdana"/>
          <w:sz w:val="20"/>
          <w:szCs w:val="20"/>
        </w:rPr>
        <w:t xml:space="preserve"> de </w:t>
      </w:r>
      <w:r w:rsidR="004341B9">
        <w:rPr>
          <w:rFonts w:ascii="Verdana" w:hAnsi="Verdana" w:cs="Verdana"/>
          <w:sz w:val="20"/>
          <w:szCs w:val="20"/>
        </w:rPr>
        <w:t>abril de 2014</w:t>
      </w:r>
      <w:r w:rsidRPr="008821A2">
        <w:rPr>
          <w:rFonts w:ascii="Verdana" w:hAnsi="Verdana" w:cs="Verdana"/>
          <w:sz w:val="20"/>
          <w:szCs w:val="20"/>
        </w:rPr>
        <w:t>, las preguntas que estimen pertinente formular a través de la Corte Interamericana a los declarantes indicados en el punto resolutivo primero de la presente Resolución. Las declaraciones y peritajes requeridos en el punto resolutivo anterior deberán ser presentados a más tardar el</w:t>
      </w:r>
      <w:r w:rsidR="00DE6091" w:rsidRPr="008821A2">
        <w:rPr>
          <w:rFonts w:ascii="Verdana" w:hAnsi="Verdana" w:cs="Verdana"/>
          <w:sz w:val="20"/>
          <w:szCs w:val="20"/>
        </w:rPr>
        <w:t xml:space="preserve"> </w:t>
      </w:r>
      <w:r w:rsidR="00E1002F">
        <w:rPr>
          <w:rFonts w:ascii="Verdana" w:hAnsi="Verdana" w:cs="Verdana"/>
          <w:sz w:val="20"/>
          <w:szCs w:val="20"/>
        </w:rPr>
        <w:t>9</w:t>
      </w:r>
      <w:r w:rsidR="006C4430" w:rsidRPr="008821A2">
        <w:rPr>
          <w:rFonts w:ascii="Verdana" w:hAnsi="Verdana" w:cs="Verdana"/>
          <w:sz w:val="20"/>
          <w:szCs w:val="20"/>
        </w:rPr>
        <w:t xml:space="preserve"> de </w:t>
      </w:r>
      <w:r w:rsidR="004341B9">
        <w:rPr>
          <w:rFonts w:ascii="Verdana" w:hAnsi="Verdana" w:cs="Verdana"/>
          <w:sz w:val="20"/>
          <w:szCs w:val="20"/>
        </w:rPr>
        <w:t>mayo de 2014</w:t>
      </w:r>
      <w:r w:rsidRPr="008821A2">
        <w:rPr>
          <w:rFonts w:ascii="Verdana" w:hAnsi="Verdana" w:cs="Verdana"/>
          <w:sz w:val="20"/>
          <w:szCs w:val="20"/>
        </w:rPr>
        <w:t>.</w:t>
      </w:r>
      <w:r w:rsidRPr="006C4430">
        <w:rPr>
          <w:rFonts w:ascii="Verdana" w:hAnsi="Verdana" w:cs="Verdana"/>
          <w:b/>
          <w:sz w:val="20"/>
          <w:szCs w:val="20"/>
        </w:rPr>
        <w:t xml:space="preserve"> </w:t>
      </w:r>
    </w:p>
    <w:p w:rsidR="00236466" w:rsidRPr="00D06D9A" w:rsidRDefault="00236466" w:rsidP="00A43BA7">
      <w:pPr>
        <w:widowControl w:val="0"/>
        <w:autoSpaceDE w:val="0"/>
        <w:autoSpaceDN w:val="0"/>
        <w:adjustRightInd w:val="0"/>
        <w:jc w:val="both"/>
        <w:rPr>
          <w:rFonts w:ascii="Verdana" w:hAnsi="Verdana" w:cs="Verdana"/>
          <w:b/>
          <w:bCs/>
          <w:sz w:val="20"/>
          <w:szCs w:val="20"/>
          <w:u w:val="single"/>
        </w:rPr>
      </w:pPr>
    </w:p>
    <w:p w:rsidR="00236466" w:rsidRDefault="00236466" w:rsidP="00A43BA7">
      <w:pPr>
        <w:widowControl w:val="0"/>
        <w:autoSpaceDE w:val="0"/>
        <w:autoSpaceDN w:val="0"/>
        <w:adjustRightInd w:val="0"/>
        <w:jc w:val="both"/>
        <w:rPr>
          <w:rFonts w:ascii="Verdana" w:hAnsi="Verdana" w:cs="Verdana"/>
          <w:sz w:val="20"/>
          <w:szCs w:val="20"/>
        </w:rPr>
      </w:pPr>
      <w:r>
        <w:rPr>
          <w:rFonts w:ascii="Verdana" w:hAnsi="Verdana" w:cs="Verdana"/>
          <w:sz w:val="20"/>
          <w:szCs w:val="20"/>
        </w:rPr>
        <w:t xml:space="preserve">3. </w:t>
      </w:r>
      <w:r>
        <w:rPr>
          <w:rFonts w:ascii="Verdana" w:hAnsi="Verdana" w:cs="Verdana"/>
          <w:sz w:val="20"/>
          <w:szCs w:val="20"/>
        </w:rPr>
        <w:tab/>
        <w:t>Requerir a los representantes y al Estado que coordinen y realicen las diligencias necesarias para que, una vez recibidas las respectivas preguntas indicadas en el punto resolutivo segundo, los declarantes y los peritos incluyan, en lo pertinente, las respuestas respectivas en sus declaraciones y dictámenes rendidos ante fedatario público, de co</w:t>
      </w:r>
      <w:r w:rsidR="00377B4C">
        <w:rPr>
          <w:rFonts w:ascii="Verdana" w:hAnsi="Verdana" w:cs="Verdana"/>
          <w:sz w:val="20"/>
          <w:szCs w:val="20"/>
        </w:rPr>
        <w:t xml:space="preserve">nformidad con </w:t>
      </w:r>
      <w:r>
        <w:rPr>
          <w:rFonts w:ascii="Verdana" w:hAnsi="Verdana" w:cs="Verdana"/>
          <w:sz w:val="20"/>
          <w:szCs w:val="20"/>
        </w:rPr>
        <w:t xml:space="preserve">la presente Resolución. </w:t>
      </w:r>
    </w:p>
    <w:p w:rsidR="00236466" w:rsidRDefault="00236466" w:rsidP="00A43BA7">
      <w:pPr>
        <w:widowControl w:val="0"/>
        <w:autoSpaceDE w:val="0"/>
        <w:autoSpaceDN w:val="0"/>
        <w:adjustRightInd w:val="0"/>
        <w:jc w:val="both"/>
        <w:rPr>
          <w:rFonts w:ascii="Verdana" w:hAnsi="Verdana" w:cs="Verdana"/>
          <w:sz w:val="20"/>
          <w:szCs w:val="20"/>
        </w:rPr>
      </w:pPr>
    </w:p>
    <w:p w:rsidR="00236466" w:rsidRDefault="00236466" w:rsidP="00A43BA7">
      <w:pPr>
        <w:widowControl w:val="0"/>
        <w:autoSpaceDE w:val="0"/>
        <w:autoSpaceDN w:val="0"/>
        <w:adjustRightInd w:val="0"/>
        <w:jc w:val="both"/>
        <w:rPr>
          <w:rFonts w:ascii="Verdana" w:hAnsi="Verdana" w:cs="Verdana"/>
          <w:sz w:val="20"/>
          <w:szCs w:val="20"/>
        </w:rPr>
      </w:pPr>
      <w:r>
        <w:rPr>
          <w:rFonts w:ascii="Verdana" w:hAnsi="Verdana" w:cs="Verdana"/>
          <w:sz w:val="20"/>
          <w:szCs w:val="20"/>
        </w:rPr>
        <w:t>4.</w:t>
      </w:r>
      <w:r>
        <w:rPr>
          <w:rFonts w:ascii="Verdana" w:hAnsi="Verdana" w:cs="Verdana"/>
          <w:sz w:val="20"/>
          <w:szCs w:val="20"/>
        </w:rPr>
        <w:tab/>
        <w:t>Disponer que, una vez recibidas las declaraciones y peritajes requeridos en el punto resolutivo primero, la Secretaría de la Corte los trasmita a las partes y a la Comisión, para que presenten sus observaciones, a más tardar con sus alegatos u observaciones finales escritos.</w:t>
      </w:r>
    </w:p>
    <w:p w:rsidR="00236466" w:rsidRDefault="00236466" w:rsidP="00A43BA7">
      <w:pPr>
        <w:widowControl w:val="0"/>
        <w:autoSpaceDE w:val="0"/>
        <w:autoSpaceDN w:val="0"/>
        <w:adjustRightInd w:val="0"/>
        <w:jc w:val="both"/>
        <w:rPr>
          <w:rFonts w:ascii="Verdana" w:hAnsi="Verdana" w:cs="Verdana"/>
          <w:sz w:val="20"/>
          <w:szCs w:val="20"/>
        </w:rPr>
      </w:pPr>
    </w:p>
    <w:p w:rsidR="00236466" w:rsidRDefault="00236466" w:rsidP="00A43BA7">
      <w:pPr>
        <w:widowControl w:val="0"/>
        <w:autoSpaceDE w:val="0"/>
        <w:autoSpaceDN w:val="0"/>
        <w:adjustRightInd w:val="0"/>
        <w:jc w:val="both"/>
        <w:rPr>
          <w:rFonts w:ascii="Verdana" w:hAnsi="Verdana" w:cs="Verdana"/>
          <w:sz w:val="20"/>
          <w:szCs w:val="20"/>
        </w:rPr>
      </w:pPr>
      <w:r>
        <w:rPr>
          <w:rFonts w:ascii="Verdana" w:hAnsi="Verdana" w:cs="Verdana"/>
          <w:sz w:val="20"/>
          <w:szCs w:val="20"/>
        </w:rPr>
        <w:t>5.</w:t>
      </w:r>
      <w:r>
        <w:rPr>
          <w:rFonts w:ascii="Verdana" w:hAnsi="Verdana" w:cs="Verdana"/>
          <w:sz w:val="20"/>
          <w:szCs w:val="20"/>
        </w:rPr>
        <w:tab/>
        <w:t xml:space="preserve">Convocar a los representantes, a la República Bolivariana de Venezuela y a la Comisión Interamericana de Derechos Humanos a una audiencia pública que se celebrará durante el </w:t>
      </w:r>
      <w:r w:rsidR="00A30F79">
        <w:rPr>
          <w:rFonts w:ascii="Verdana" w:hAnsi="Verdana" w:cs="Verdana"/>
          <w:sz w:val="20"/>
          <w:szCs w:val="20"/>
        </w:rPr>
        <w:t>10</w:t>
      </w:r>
      <w:r w:rsidR="001D16E9">
        <w:rPr>
          <w:rFonts w:ascii="Verdana" w:hAnsi="Verdana" w:cs="Verdana"/>
          <w:sz w:val="20"/>
          <w:szCs w:val="20"/>
        </w:rPr>
        <w:t>3</w:t>
      </w:r>
      <w:r w:rsidR="00063228">
        <w:rPr>
          <w:rFonts w:ascii="Verdana" w:hAnsi="Verdana" w:cs="Verdana"/>
          <w:sz w:val="20"/>
          <w:szCs w:val="20"/>
        </w:rPr>
        <w:t xml:space="preserve"> Período Ordinario de Sesiones </w:t>
      </w:r>
      <w:r w:rsidRPr="00667555">
        <w:rPr>
          <w:rFonts w:ascii="Verdana" w:hAnsi="Verdana" w:cs="Verdana"/>
          <w:sz w:val="20"/>
          <w:szCs w:val="20"/>
        </w:rPr>
        <w:t xml:space="preserve">en </w:t>
      </w:r>
      <w:r w:rsidR="00063228">
        <w:rPr>
          <w:rFonts w:ascii="Verdana" w:hAnsi="Verdana" w:cs="Verdana"/>
          <w:sz w:val="20"/>
          <w:szCs w:val="20"/>
        </w:rPr>
        <w:t xml:space="preserve">la sede de la Corte en San José, </w:t>
      </w:r>
      <w:r w:rsidRPr="00667555">
        <w:rPr>
          <w:rFonts w:ascii="Verdana" w:hAnsi="Verdana" w:cs="Verdana"/>
          <w:sz w:val="20"/>
          <w:szCs w:val="20"/>
        </w:rPr>
        <w:t xml:space="preserve">Costa Rica, el día </w:t>
      </w:r>
      <w:r w:rsidR="001D16E9">
        <w:rPr>
          <w:rFonts w:ascii="Verdana" w:hAnsi="Verdana" w:cs="Verdana"/>
          <w:sz w:val="20"/>
          <w:szCs w:val="20"/>
        </w:rPr>
        <w:t>29</w:t>
      </w:r>
      <w:r w:rsidRPr="00667555">
        <w:rPr>
          <w:rFonts w:ascii="Verdana" w:hAnsi="Verdana" w:cs="Verdana"/>
          <w:sz w:val="20"/>
          <w:szCs w:val="20"/>
        </w:rPr>
        <w:t xml:space="preserve"> de </w:t>
      </w:r>
      <w:r w:rsidR="001D16E9">
        <w:rPr>
          <w:rFonts w:ascii="Verdana" w:hAnsi="Verdana" w:cs="Verdana"/>
          <w:sz w:val="20"/>
          <w:szCs w:val="20"/>
        </w:rPr>
        <w:t>mayo de 2014</w:t>
      </w:r>
      <w:r w:rsidRPr="00667555">
        <w:rPr>
          <w:rFonts w:ascii="Verdana" w:hAnsi="Verdana" w:cs="Verdana"/>
          <w:sz w:val="20"/>
          <w:szCs w:val="20"/>
        </w:rPr>
        <w:t xml:space="preserve">, a partir de las </w:t>
      </w:r>
      <w:r w:rsidR="001D16E9">
        <w:rPr>
          <w:rFonts w:ascii="Verdana" w:hAnsi="Verdana" w:cs="Verdana"/>
          <w:sz w:val="20"/>
          <w:szCs w:val="20"/>
        </w:rPr>
        <w:t>9</w:t>
      </w:r>
      <w:r w:rsidRPr="00667555">
        <w:rPr>
          <w:rFonts w:ascii="Verdana" w:hAnsi="Verdana" w:cs="Verdana"/>
          <w:sz w:val="20"/>
          <w:szCs w:val="20"/>
        </w:rPr>
        <w:t xml:space="preserve">:00 horas, y el día </w:t>
      </w:r>
      <w:r w:rsidR="001D16E9">
        <w:rPr>
          <w:rFonts w:ascii="Verdana" w:hAnsi="Verdana" w:cs="Verdana"/>
          <w:sz w:val="20"/>
          <w:szCs w:val="20"/>
        </w:rPr>
        <w:t>30</w:t>
      </w:r>
      <w:r w:rsidRPr="00667555">
        <w:rPr>
          <w:rFonts w:ascii="Verdana" w:hAnsi="Verdana" w:cs="Verdana"/>
          <w:sz w:val="20"/>
          <w:szCs w:val="20"/>
        </w:rPr>
        <w:t xml:space="preserve"> de </w:t>
      </w:r>
      <w:r w:rsidR="001D16E9">
        <w:rPr>
          <w:rFonts w:ascii="Verdana" w:hAnsi="Verdana" w:cs="Verdana"/>
          <w:sz w:val="20"/>
          <w:szCs w:val="20"/>
        </w:rPr>
        <w:t>mayo de 2014</w:t>
      </w:r>
      <w:r w:rsidRPr="00667555">
        <w:rPr>
          <w:rFonts w:ascii="Verdana" w:hAnsi="Verdana" w:cs="Verdana"/>
          <w:sz w:val="20"/>
          <w:szCs w:val="20"/>
        </w:rPr>
        <w:t>, a partir de las 9:00 horas, para recibir</w:t>
      </w:r>
      <w:r>
        <w:rPr>
          <w:rFonts w:ascii="Verdana" w:hAnsi="Verdana" w:cs="Verdana"/>
          <w:sz w:val="20"/>
          <w:szCs w:val="20"/>
        </w:rPr>
        <w:t xml:space="preserve"> sus alegatos finales orales y observaciones finales orales, respectivamente, sobre la</w:t>
      </w:r>
      <w:r w:rsidR="001D16E9">
        <w:rPr>
          <w:rFonts w:ascii="Verdana" w:hAnsi="Verdana" w:cs="Verdana"/>
          <w:sz w:val="20"/>
          <w:szCs w:val="20"/>
        </w:rPr>
        <w:t>s</w:t>
      </w:r>
      <w:r>
        <w:rPr>
          <w:rFonts w:ascii="Verdana" w:hAnsi="Verdana" w:cs="Verdana"/>
          <w:sz w:val="20"/>
          <w:szCs w:val="20"/>
        </w:rPr>
        <w:t xml:space="preserve"> excepci</w:t>
      </w:r>
      <w:r w:rsidR="001D16E9">
        <w:rPr>
          <w:rFonts w:ascii="Verdana" w:hAnsi="Verdana" w:cs="Verdana"/>
          <w:sz w:val="20"/>
          <w:szCs w:val="20"/>
        </w:rPr>
        <w:t>ones</w:t>
      </w:r>
      <w:r>
        <w:rPr>
          <w:rFonts w:ascii="Verdana" w:hAnsi="Verdana" w:cs="Verdana"/>
          <w:sz w:val="20"/>
          <w:szCs w:val="20"/>
        </w:rPr>
        <w:t xml:space="preserve"> preliminar</w:t>
      </w:r>
      <w:r w:rsidR="001D16E9">
        <w:rPr>
          <w:rFonts w:ascii="Verdana" w:hAnsi="Verdana" w:cs="Verdana"/>
          <w:sz w:val="20"/>
          <w:szCs w:val="20"/>
        </w:rPr>
        <w:t>es</w:t>
      </w:r>
      <w:r>
        <w:rPr>
          <w:rFonts w:ascii="Verdana" w:hAnsi="Verdana" w:cs="Verdana"/>
          <w:sz w:val="20"/>
          <w:szCs w:val="20"/>
        </w:rPr>
        <w:t xml:space="preserve"> y los eventuales fondo, reparaciones y costas, así como para recibir las declaraciones de las siguientes personas:</w:t>
      </w:r>
    </w:p>
    <w:p w:rsidR="00236466" w:rsidRDefault="00236466" w:rsidP="00A43BA7">
      <w:pPr>
        <w:widowControl w:val="0"/>
        <w:autoSpaceDE w:val="0"/>
        <w:autoSpaceDN w:val="0"/>
        <w:adjustRightInd w:val="0"/>
        <w:jc w:val="both"/>
        <w:rPr>
          <w:rFonts w:ascii="Verdana" w:hAnsi="Verdana" w:cs="Verdana"/>
          <w:sz w:val="20"/>
          <w:szCs w:val="20"/>
        </w:rPr>
      </w:pPr>
    </w:p>
    <w:p w:rsidR="00236466" w:rsidRPr="003C3411" w:rsidRDefault="00236466" w:rsidP="00A43BA7">
      <w:pPr>
        <w:widowControl w:val="0"/>
        <w:autoSpaceDE w:val="0"/>
        <w:autoSpaceDN w:val="0"/>
        <w:adjustRightInd w:val="0"/>
        <w:ind w:firstLine="360"/>
        <w:jc w:val="both"/>
        <w:rPr>
          <w:rFonts w:ascii="Verdana" w:hAnsi="Verdana" w:cs="Verdana"/>
          <w:b/>
          <w:bCs/>
          <w:smallCaps/>
          <w:sz w:val="20"/>
          <w:szCs w:val="20"/>
        </w:rPr>
      </w:pPr>
      <w:r>
        <w:rPr>
          <w:rFonts w:ascii="Verdana" w:hAnsi="Verdana" w:cs="Verdana"/>
          <w:b/>
          <w:bCs/>
          <w:smallCaps/>
          <w:sz w:val="20"/>
          <w:szCs w:val="20"/>
        </w:rPr>
        <w:t xml:space="preserve">Presunta víctima </w:t>
      </w:r>
      <w:r w:rsidR="00DF712B">
        <w:rPr>
          <w:rFonts w:ascii="Verdana" w:hAnsi="Verdana" w:cs="Verdana"/>
          <w:b/>
          <w:bCs/>
          <w:smallCaps/>
          <w:sz w:val="20"/>
          <w:szCs w:val="20"/>
        </w:rPr>
        <w:t>(</w:t>
      </w:r>
      <w:r>
        <w:rPr>
          <w:rFonts w:ascii="Verdana" w:hAnsi="Verdana" w:cs="Verdana"/>
          <w:b/>
          <w:bCs/>
          <w:i/>
          <w:iCs/>
          <w:sz w:val="20"/>
          <w:szCs w:val="20"/>
        </w:rPr>
        <w:t>p</w:t>
      </w:r>
      <w:r w:rsidRPr="003C3411">
        <w:rPr>
          <w:rFonts w:ascii="Verdana" w:hAnsi="Verdana" w:cs="Verdana"/>
          <w:b/>
          <w:bCs/>
          <w:i/>
          <w:iCs/>
          <w:sz w:val="20"/>
          <w:szCs w:val="20"/>
        </w:rPr>
        <w:t>ropuesta por los representantes</w:t>
      </w:r>
      <w:r w:rsidR="00DF712B">
        <w:rPr>
          <w:rFonts w:ascii="Verdana" w:hAnsi="Verdana" w:cs="Verdana"/>
          <w:b/>
          <w:bCs/>
          <w:i/>
          <w:iCs/>
          <w:sz w:val="20"/>
          <w:szCs w:val="20"/>
        </w:rPr>
        <w:t>)</w:t>
      </w:r>
      <w:r w:rsidRPr="003C3411">
        <w:rPr>
          <w:rFonts w:ascii="Verdana" w:hAnsi="Verdana" w:cs="Verdana"/>
          <w:b/>
          <w:bCs/>
          <w:i/>
          <w:iCs/>
          <w:sz w:val="20"/>
          <w:szCs w:val="20"/>
        </w:rPr>
        <w:t>:</w:t>
      </w:r>
    </w:p>
    <w:p w:rsidR="006521F9" w:rsidRDefault="006521F9" w:rsidP="006521F9">
      <w:pPr>
        <w:widowControl w:val="0"/>
        <w:autoSpaceDE w:val="0"/>
        <w:autoSpaceDN w:val="0"/>
        <w:adjustRightInd w:val="0"/>
        <w:jc w:val="both"/>
        <w:rPr>
          <w:rFonts w:ascii="Verdana" w:hAnsi="Verdana" w:cs="Verdana"/>
          <w:b/>
          <w:bCs/>
          <w:i/>
          <w:iCs/>
          <w:sz w:val="20"/>
          <w:szCs w:val="20"/>
        </w:rPr>
      </w:pPr>
    </w:p>
    <w:p w:rsidR="00236466" w:rsidRPr="006521F9" w:rsidRDefault="00832171" w:rsidP="006521F9">
      <w:pPr>
        <w:pStyle w:val="Prrafodelista"/>
        <w:widowControl w:val="0"/>
        <w:numPr>
          <w:ilvl w:val="0"/>
          <w:numId w:val="41"/>
        </w:numPr>
        <w:autoSpaceDE w:val="0"/>
        <w:autoSpaceDN w:val="0"/>
        <w:adjustRightInd w:val="0"/>
        <w:jc w:val="both"/>
        <w:rPr>
          <w:rFonts w:ascii="Verdana" w:hAnsi="Verdana" w:cs="Verdana"/>
          <w:sz w:val="20"/>
          <w:szCs w:val="20"/>
        </w:rPr>
      </w:pPr>
      <w:r w:rsidRPr="006521F9">
        <w:rPr>
          <w:rFonts w:ascii="Verdana" w:hAnsi="Verdana" w:cs="Verdana"/>
          <w:i/>
          <w:iCs/>
          <w:sz w:val="20"/>
          <w:szCs w:val="20"/>
        </w:rPr>
        <w:lastRenderedPageBreak/>
        <w:t xml:space="preserve">Marcel </w:t>
      </w:r>
      <w:proofErr w:type="spellStart"/>
      <w:r w:rsidRPr="006521F9">
        <w:rPr>
          <w:rFonts w:ascii="Verdana" w:hAnsi="Verdana" w:cs="Verdana"/>
          <w:i/>
          <w:iCs/>
          <w:sz w:val="20"/>
          <w:szCs w:val="20"/>
        </w:rPr>
        <w:t>Granier</w:t>
      </w:r>
      <w:proofErr w:type="spellEnd"/>
      <w:r w:rsidR="00236466" w:rsidRPr="006521F9">
        <w:rPr>
          <w:rFonts w:ascii="Verdana" w:hAnsi="Verdana" w:cs="Verdana"/>
          <w:sz w:val="20"/>
          <w:szCs w:val="20"/>
        </w:rPr>
        <w:t>, quien declarará sobre</w:t>
      </w:r>
      <w:r w:rsidRPr="006521F9">
        <w:rPr>
          <w:rFonts w:ascii="Verdana" w:hAnsi="Verdana" w:cs="Verdana"/>
          <w:sz w:val="20"/>
          <w:szCs w:val="20"/>
        </w:rPr>
        <w:t xml:space="preserve">: i) </w:t>
      </w:r>
      <w:r w:rsidRPr="006521F9">
        <w:rPr>
          <w:rFonts w:ascii="Verdana" w:hAnsi="Verdana" w:cs="BookAntiqua"/>
          <w:sz w:val="20"/>
          <w:szCs w:val="20"/>
          <w:lang w:eastAsia="es-CR"/>
        </w:rPr>
        <w:t>los parámetros de operación y gerencia de RCTV como televisora nacional abierta; ii) los criterios de programación, búsqueda y divulgación de noticias; iii) el ejercicio de la libertad de expresión de los accionistas y directivos a través de RCTV; iv) las características de RCTV como empresa familiar; v) las presuntas amenazas personales y de no renovación de la concesión de RCTV por los altos funcionarios del Gobierno de Venezuela; vi) la no renovación de la concesión por el Gobierno de Venezuela</w:t>
      </w:r>
      <w:r w:rsidR="00E1002F">
        <w:rPr>
          <w:rFonts w:ascii="Verdana" w:hAnsi="Verdana" w:cs="BookAntiqua"/>
          <w:sz w:val="20"/>
          <w:szCs w:val="20"/>
          <w:lang w:eastAsia="es-CR"/>
        </w:rPr>
        <w:t>; vii) el cierre de RCTV y las alegadas</w:t>
      </w:r>
      <w:r w:rsidRPr="006521F9">
        <w:rPr>
          <w:rFonts w:ascii="Verdana" w:hAnsi="Verdana" w:cs="BookAntiqua"/>
          <w:sz w:val="20"/>
          <w:szCs w:val="20"/>
          <w:lang w:eastAsia="es-CR"/>
        </w:rPr>
        <w:t xml:space="preserve"> consecuencias para los directivos, accionistas y periodistas; viii) la emisión de la señal de RCTV Internacional y </w:t>
      </w:r>
      <w:r w:rsidR="00E1002F" w:rsidRPr="006521F9">
        <w:rPr>
          <w:rFonts w:ascii="Verdana" w:hAnsi="Verdana" w:cs="BookAntiqua"/>
          <w:sz w:val="20"/>
          <w:szCs w:val="20"/>
          <w:lang w:eastAsia="es-CR"/>
        </w:rPr>
        <w:t xml:space="preserve">su </w:t>
      </w:r>
      <w:r w:rsidRPr="006521F9">
        <w:rPr>
          <w:rFonts w:ascii="Verdana" w:hAnsi="Verdana" w:cs="BookAntiqua"/>
          <w:sz w:val="20"/>
          <w:szCs w:val="20"/>
          <w:lang w:eastAsia="es-CR"/>
        </w:rPr>
        <w:t>alegada exclusión y salida del aire, y ix) los presuntos daños y perjuicios causados a los dueños, directivos y accionistas de RCTV por las alegadas decisiones del Gobierno de Venezuela</w:t>
      </w:r>
      <w:r w:rsidRPr="006521F9">
        <w:rPr>
          <w:rFonts w:ascii="Verdana" w:hAnsi="Verdana" w:cs="Verdana"/>
          <w:sz w:val="20"/>
          <w:szCs w:val="20"/>
        </w:rPr>
        <w:t>.</w:t>
      </w:r>
    </w:p>
    <w:p w:rsidR="004079F4" w:rsidRPr="0087289E" w:rsidRDefault="004079F4" w:rsidP="00A43BA7">
      <w:pPr>
        <w:widowControl w:val="0"/>
        <w:autoSpaceDE w:val="0"/>
        <w:autoSpaceDN w:val="0"/>
        <w:adjustRightInd w:val="0"/>
        <w:jc w:val="both"/>
        <w:rPr>
          <w:rFonts w:ascii="Verdana" w:hAnsi="Verdana" w:cs="Verdana"/>
          <w:sz w:val="20"/>
          <w:szCs w:val="20"/>
        </w:rPr>
      </w:pPr>
    </w:p>
    <w:p w:rsidR="00236466" w:rsidRPr="000D1297" w:rsidRDefault="000D1297" w:rsidP="00A2717A">
      <w:pPr>
        <w:widowControl w:val="0"/>
        <w:autoSpaceDE w:val="0"/>
        <w:autoSpaceDN w:val="0"/>
        <w:adjustRightInd w:val="0"/>
        <w:ind w:firstLine="360"/>
        <w:jc w:val="both"/>
        <w:rPr>
          <w:rFonts w:ascii="Verdana" w:hAnsi="Verdana" w:cs="Verdana"/>
          <w:b/>
          <w:bCs/>
          <w:smallCaps/>
          <w:sz w:val="20"/>
          <w:szCs w:val="20"/>
        </w:rPr>
      </w:pPr>
      <w:r w:rsidRPr="000D1297">
        <w:rPr>
          <w:rFonts w:ascii="Verdana" w:hAnsi="Verdana" w:cs="Verdana"/>
          <w:b/>
          <w:bCs/>
          <w:smallCaps/>
          <w:sz w:val="20"/>
          <w:szCs w:val="20"/>
        </w:rPr>
        <w:t>Testigo</w:t>
      </w:r>
      <w:r w:rsidR="00A2717A" w:rsidRPr="000D1297">
        <w:rPr>
          <w:rFonts w:ascii="Verdana" w:hAnsi="Verdana" w:cs="Verdana"/>
          <w:b/>
          <w:bCs/>
          <w:smallCaps/>
          <w:sz w:val="20"/>
          <w:szCs w:val="20"/>
        </w:rPr>
        <w:t xml:space="preserve"> (</w:t>
      </w:r>
      <w:r w:rsidR="00236466" w:rsidRPr="000D1297">
        <w:rPr>
          <w:rFonts w:ascii="Verdana" w:hAnsi="Verdana" w:cs="Verdana"/>
          <w:b/>
          <w:bCs/>
          <w:i/>
          <w:iCs/>
          <w:sz w:val="20"/>
          <w:szCs w:val="20"/>
        </w:rPr>
        <w:t>Propuestos por el Estado</w:t>
      </w:r>
      <w:r w:rsidR="00A2717A" w:rsidRPr="000D1297">
        <w:rPr>
          <w:rFonts w:ascii="Verdana" w:hAnsi="Verdana" w:cs="Verdana"/>
          <w:b/>
          <w:bCs/>
          <w:i/>
          <w:iCs/>
          <w:sz w:val="20"/>
          <w:szCs w:val="20"/>
        </w:rPr>
        <w:t>)</w:t>
      </w:r>
    </w:p>
    <w:p w:rsidR="00236466" w:rsidRPr="000D1297" w:rsidRDefault="00236466" w:rsidP="00A43BA7">
      <w:pPr>
        <w:pStyle w:val="Prrafodelista"/>
        <w:widowControl w:val="0"/>
        <w:autoSpaceDE w:val="0"/>
        <w:autoSpaceDN w:val="0"/>
        <w:adjustRightInd w:val="0"/>
        <w:ind w:left="1080"/>
        <w:jc w:val="both"/>
        <w:rPr>
          <w:rFonts w:ascii="Verdana" w:hAnsi="Verdana" w:cs="Verdana"/>
          <w:sz w:val="20"/>
          <w:szCs w:val="20"/>
        </w:rPr>
      </w:pPr>
    </w:p>
    <w:p w:rsidR="00236466" w:rsidRPr="006521F9" w:rsidRDefault="000D1297" w:rsidP="006521F9">
      <w:pPr>
        <w:pStyle w:val="Prrafodelista"/>
        <w:numPr>
          <w:ilvl w:val="0"/>
          <w:numId w:val="41"/>
        </w:numPr>
        <w:jc w:val="both"/>
        <w:rPr>
          <w:rFonts w:ascii="Verdana" w:hAnsi="Verdana" w:cs="Verdana"/>
          <w:sz w:val="20"/>
          <w:szCs w:val="20"/>
        </w:rPr>
      </w:pPr>
      <w:r w:rsidRPr="006521F9">
        <w:rPr>
          <w:rFonts w:ascii="Verdana" w:hAnsi="Verdana" w:cs="Verdana"/>
          <w:i/>
          <w:sz w:val="20"/>
          <w:szCs w:val="20"/>
          <w:lang w:val="es-CR"/>
        </w:rPr>
        <w:t>José Leonardo Suárez</w:t>
      </w:r>
      <w:r w:rsidRPr="006521F9">
        <w:rPr>
          <w:rFonts w:ascii="Verdana" w:hAnsi="Verdana" w:cs="Verdana"/>
          <w:sz w:val="20"/>
          <w:szCs w:val="20"/>
          <w:lang w:val="es-CR"/>
        </w:rPr>
        <w:t xml:space="preserve">, </w:t>
      </w:r>
      <w:r w:rsidR="004807C7" w:rsidRPr="006521F9">
        <w:rPr>
          <w:rFonts w:ascii="Verdana" w:hAnsi="Verdana" w:cs="Verdana"/>
          <w:sz w:val="20"/>
          <w:szCs w:val="20"/>
          <w:lang w:val="es-CR"/>
        </w:rPr>
        <w:t xml:space="preserve">funcionario del Instituto Autónomo Comisión Nacional de Telecomunicaciones (CONATEL), </w:t>
      </w:r>
      <w:r w:rsidRPr="006521F9">
        <w:rPr>
          <w:rFonts w:ascii="Verdana" w:hAnsi="Verdana" w:cs="Verdana"/>
          <w:sz w:val="20"/>
          <w:szCs w:val="20"/>
          <w:lang w:val="es-CR"/>
        </w:rPr>
        <w:t>quien declarará sobre “</w:t>
      </w:r>
      <w:r w:rsidR="004807C7" w:rsidRPr="006521F9">
        <w:rPr>
          <w:rFonts w:ascii="Verdana" w:eastAsia="Calibri" w:hAnsi="Verdana" w:cs="Calibri"/>
          <w:sz w:val="20"/>
          <w:szCs w:val="20"/>
          <w:lang w:val="es-CR" w:eastAsia="en-US"/>
        </w:rPr>
        <w:t>cómo</w:t>
      </w:r>
      <w:r w:rsidRPr="006521F9">
        <w:rPr>
          <w:rFonts w:ascii="Verdana" w:eastAsia="Calibri" w:hAnsi="Verdana" w:cs="Calibri"/>
          <w:sz w:val="20"/>
          <w:szCs w:val="20"/>
          <w:lang w:val="es-CR" w:eastAsia="en-US"/>
        </w:rPr>
        <w:t xml:space="preserve"> se otorgan las concesiones de Telecomunicaciones en Venezuela, el proceso administrativo realizado por CONATEL durante la renovación de la concesión de RCTV ante ese organismo y las razones que tuvo CONATEL para no aprobar la renovación de RCTV</w:t>
      </w:r>
      <w:r w:rsidRPr="006521F9">
        <w:rPr>
          <w:rFonts w:ascii="Verdana" w:hAnsi="Verdana" w:cs="Verdana"/>
          <w:sz w:val="20"/>
          <w:szCs w:val="20"/>
          <w:lang w:val="es-CR"/>
        </w:rPr>
        <w:t>”.</w:t>
      </w:r>
    </w:p>
    <w:p w:rsidR="00236466" w:rsidRPr="004807C7" w:rsidRDefault="00236466" w:rsidP="004807C7">
      <w:pPr>
        <w:widowControl w:val="0"/>
        <w:autoSpaceDE w:val="0"/>
        <w:autoSpaceDN w:val="0"/>
        <w:adjustRightInd w:val="0"/>
        <w:jc w:val="both"/>
        <w:rPr>
          <w:rFonts w:ascii="Verdana" w:hAnsi="Verdana" w:cs="Verdana"/>
          <w:sz w:val="20"/>
          <w:szCs w:val="20"/>
        </w:rPr>
      </w:pPr>
    </w:p>
    <w:p w:rsidR="00236466" w:rsidRPr="007308FA" w:rsidRDefault="00236466" w:rsidP="004A01AE">
      <w:pPr>
        <w:widowControl w:val="0"/>
        <w:autoSpaceDE w:val="0"/>
        <w:autoSpaceDN w:val="0"/>
        <w:adjustRightInd w:val="0"/>
        <w:ind w:firstLine="360"/>
        <w:jc w:val="both"/>
        <w:rPr>
          <w:rFonts w:ascii="Verdana" w:hAnsi="Verdana" w:cs="Verdana"/>
          <w:b/>
          <w:bCs/>
          <w:i/>
          <w:iCs/>
          <w:smallCaps/>
          <w:sz w:val="20"/>
          <w:szCs w:val="20"/>
        </w:rPr>
      </w:pPr>
      <w:r w:rsidRPr="007308FA">
        <w:rPr>
          <w:rFonts w:ascii="Verdana" w:hAnsi="Verdana" w:cs="Verdana"/>
          <w:b/>
          <w:bCs/>
          <w:i/>
          <w:iCs/>
          <w:smallCaps/>
          <w:sz w:val="20"/>
          <w:szCs w:val="20"/>
        </w:rPr>
        <w:t>Peritos:</w:t>
      </w:r>
    </w:p>
    <w:p w:rsidR="00236466" w:rsidRPr="00DF712B" w:rsidRDefault="00236466" w:rsidP="00A43BA7">
      <w:pPr>
        <w:widowControl w:val="0"/>
        <w:autoSpaceDE w:val="0"/>
        <w:autoSpaceDN w:val="0"/>
        <w:adjustRightInd w:val="0"/>
        <w:jc w:val="both"/>
        <w:rPr>
          <w:rFonts w:ascii="Verdana" w:hAnsi="Verdana" w:cs="Verdana"/>
          <w:sz w:val="20"/>
          <w:szCs w:val="20"/>
        </w:rPr>
      </w:pPr>
    </w:p>
    <w:p w:rsidR="00236466" w:rsidRPr="00CE43ED" w:rsidRDefault="00CE43ED" w:rsidP="00A43BA7">
      <w:pPr>
        <w:widowControl w:val="0"/>
        <w:autoSpaceDE w:val="0"/>
        <w:autoSpaceDN w:val="0"/>
        <w:adjustRightInd w:val="0"/>
        <w:ind w:left="360"/>
        <w:jc w:val="both"/>
        <w:rPr>
          <w:rFonts w:ascii="Verdana" w:hAnsi="Verdana" w:cs="Verdana"/>
          <w:b/>
          <w:bCs/>
          <w:sz w:val="20"/>
          <w:szCs w:val="20"/>
        </w:rPr>
      </w:pPr>
      <w:r>
        <w:rPr>
          <w:rFonts w:ascii="Verdana" w:hAnsi="Verdana" w:cs="Verdana"/>
          <w:b/>
          <w:bCs/>
          <w:i/>
          <w:iCs/>
          <w:sz w:val="20"/>
          <w:szCs w:val="20"/>
        </w:rPr>
        <w:t>A)</w:t>
      </w:r>
      <w:r>
        <w:rPr>
          <w:rFonts w:ascii="Verdana" w:hAnsi="Verdana" w:cs="Verdana"/>
          <w:b/>
          <w:bCs/>
          <w:i/>
          <w:iCs/>
          <w:sz w:val="20"/>
          <w:szCs w:val="20"/>
        </w:rPr>
        <w:tab/>
      </w:r>
      <w:r w:rsidR="00236466" w:rsidRPr="00CE43ED">
        <w:rPr>
          <w:rFonts w:ascii="Verdana" w:hAnsi="Verdana" w:cs="Verdana"/>
          <w:b/>
          <w:bCs/>
          <w:i/>
          <w:iCs/>
          <w:sz w:val="20"/>
          <w:szCs w:val="20"/>
        </w:rPr>
        <w:t>Propuesto por los representantes</w:t>
      </w:r>
    </w:p>
    <w:p w:rsidR="00236466" w:rsidRPr="00795BAB" w:rsidRDefault="00236466" w:rsidP="00A43BA7">
      <w:pPr>
        <w:pStyle w:val="Prrafodelista"/>
        <w:widowControl w:val="0"/>
        <w:autoSpaceDE w:val="0"/>
        <w:autoSpaceDN w:val="0"/>
        <w:adjustRightInd w:val="0"/>
        <w:jc w:val="both"/>
        <w:rPr>
          <w:rFonts w:ascii="Verdana" w:hAnsi="Verdana" w:cs="Verdana"/>
          <w:sz w:val="20"/>
          <w:szCs w:val="20"/>
        </w:rPr>
      </w:pPr>
    </w:p>
    <w:p w:rsidR="00600F9E" w:rsidRPr="006521F9" w:rsidRDefault="00EF7692" w:rsidP="006521F9">
      <w:pPr>
        <w:pStyle w:val="Prrafodelista"/>
        <w:widowControl w:val="0"/>
        <w:numPr>
          <w:ilvl w:val="0"/>
          <w:numId w:val="41"/>
        </w:numPr>
        <w:autoSpaceDE w:val="0"/>
        <w:autoSpaceDN w:val="0"/>
        <w:adjustRightInd w:val="0"/>
        <w:jc w:val="both"/>
        <w:rPr>
          <w:rFonts w:ascii="Verdana" w:hAnsi="Verdana" w:cs="Verdana"/>
          <w:sz w:val="20"/>
          <w:szCs w:val="20"/>
        </w:rPr>
      </w:pPr>
      <w:r w:rsidRPr="006521F9">
        <w:rPr>
          <w:rFonts w:ascii="Verdana" w:hAnsi="Verdana" w:cs="Verdana"/>
          <w:i/>
          <w:sz w:val="20"/>
          <w:szCs w:val="20"/>
        </w:rPr>
        <w:t xml:space="preserve">Antonio </w:t>
      </w:r>
      <w:proofErr w:type="spellStart"/>
      <w:r w:rsidRPr="006521F9">
        <w:rPr>
          <w:rFonts w:ascii="Verdana" w:hAnsi="Verdana" w:cs="Verdana"/>
          <w:i/>
          <w:sz w:val="20"/>
          <w:szCs w:val="20"/>
        </w:rPr>
        <w:t>Pasquali</w:t>
      </w:r>
      <w:proofErr w:type="spellEnd"/>
      <w:r w:rsidRPr="006521F9">
        <w:rPr>
          <w:rFonts w:ascii="Verdana" w:hAnsi="Verdana" w:cs="Verdana"/>
          <w:sz w:val="20"/>
          <w:szCs w:val="20"/>
        </w:rPr>
        <w:t xml:space="preserve">, académico universitario, quien rendirá peritaje sobre: i) </w:t>
      </w:r>
      <w:r w:rsidRPr="006521F9">
        <w:rPr>
          <w:rFonts w:ascii="Verdana" w:hAnsi="Verdana"/>
          <w:sz w:val="20"/>
          <w:szCs w:val="20"/>
        </w:rPr>
        <w:t>“</w:t>
      </w:r>
      <w:r w:rsidRPr="006521F9">
        <w:rPr>
          <w:rFonts w:ascii="Verdana" w:hAnsi="Verdana"/>
          <w:sz w:val="20"/>
          <w:szCs w:val="20"/>
          <w:lang w:eastAsia="es-CR"/>
        </w:rPr>
        <w:t>el [alegado] efecto del cierre de RCTV por la no renovación de los permisos para la libertad de expresión en Venezuela, no sólo en la dimensión de sus periodistas, directivos y accionistas, sino desde la dimensión social para recibir informaciones y opiniones de toda índole sin censura previa”, y ii) “el pluralismo de medios en una sociedad democrática y sobre cómo [presuntamente] afecta esos principios el cese de operaciones de RCTV por habérsele denegado arbitrariamente la ren</w:t>
      </w:r>
      <w:r w:rsidR="00E1002F">
        <w:rPr>
          <w:rFonts w:ascii="Verdana" w:hAnsi="Verdana"/>
          <w:sz w:val="20"/>
          <w:szCs w:val="20"/>
          <w:lang w:eastAsia="es-CR"/>
        </w:rPr>
        <w:t>ovación de su c</w:t>
      </w:r>
      <w:r w:rsidRPr="006521F9">
        <w:rPr>
          <w:rFonts w:ascii="Verdana" w:hAnsi="Verdana"/>
          <w:sz w:val="20"/>
          <w:szCs w:val="20"/>
          <w:lang w:eastAsia="es-CR"/>
        </w:rPr>
        <w:t>oncesión</w:t>
      </w:r>
      <w:r w:rsidRPr="006521F9">
        <w:rPr>
          <w:rFonts w:ascii="Verdana" w:hAnsi="Verdana"/>
          <w:sz w:val="20"/>
          <w:szCs w:val="20"/>
        </w:rPr>
        <w:t>”.</w:t>
      </w:r>
      <w:r w:rsidRPr="006521F9">
        <w:rPr>
          <w:rStyle w:val="Refdenotaalpie"/>
          <w:rFonts w:ascii="Verdana" w:hAnsi="Verdana" w:cs="Verdana"/>
          <w:i/>
          <w:sz w:val="20"/>
          <w:szCs w:val="20"/>
        </w:rPr>
        <w:t xml:space="preserve"> </w:t>
      </w:r>
    </w:p>
    <w:p w:rsidR="00600F9E" w:rsidRDefault="00600F9E" w:rsidP="00A43BA7">
      <w:pPr>
        <w:pStyle w:val="Prrafodelista"/>
        <w:widowControl w:val="0"/>
        <w:autoSpaceDE w:val="0"/>
        <w:autoSpaceDN w:val="0"/>
        <w:adjustRightInd w:val="0"/>
        <w:jc w:val="both"/>
        <w:rPr>
          <w:rFonts w:ascii="Verdana" w:hAnsi="Verdana" w:cs="Verdana"/>
          <w:i/>
          <w:iCs/>
          <w:sz w:val="20"/>
          <w:szCs w:val="20"/>
        </w:rPr>
      </w:pPr>
    </w:p>
    <w:p w:rsidR="00600F9E" w:rsidRPr="00671C82" w:rsidRDefault="00600F9E" w:rsidP="00671C82">
      <w:pPr>
        <w:pStyle w:val="Prrafodelista"/>
        <w:widowControl w:val="0"/>
        <w:numPr>
          <w:ilvl w:val="0"/>
          <w:numId w:val="40"/>
        </w:numPr>
        <w:autoSpaceDE w:val="0"/>
        <w:autoSpaceDN w:val="0"/>
        <w:adjustRightInd w:val="0"/>
        <w:jc w:val="both"/>
        <w:rPr>
          <w:rFonts w:ascii="Verdana" w:hAnsi="Verdana" w:cs="Verdana"/>
          <w:b/>
          <w:bCs/>
          <w:i/>
          <w:iCs/>
          <w:sz w:val="20"/>
          <w:szCs w:val="20"/>
        </w:rPr>
      </w:pPr>
      <w:r w:rsidRPr="00671C82">
        <w:rPr>
          <w:rFonts w:ascii="Verdana" w:hAnsi="Verdana" w:cs="Verdana"/>
          <w:b/>
          <w:bCs/>
          <w:i/>
          <w:iCs/>
          <w:sz w:val="20"/>
          <w:szCs w:val="20"/>
        </w:rPr>
        <w:t>Propuesto por el Estado:</w:t>
      </w:r>
    </w:p>
    <w:p w:rsidR="00671C82" w:rsidRPr="00671C82" w:rsidRDefault="00671C82" w:rsidP="00671C82">
      <w:pPr>
        <w:pStyle w:val="Prrafodelista"/>
        <w:widowControl w:val="0"/>
        <w:autoSpaceDE w:val="0"/>
        <w:autoSpaceDN w:val="0"/>
        <w:adjustRightInd w:val="0"/>
        <w:jc w:val="both"/>
        <w:rPr>
          <w:rFonts w:ascii="Verdana" w:hAnsi="Verdana" w:cs="Verdana"/>
          <w:sz w:val="20"/>
          <w:szCs w:val="20"/>
        </w:rPr>
      </w:pPr>
    </w:p>
    <w:p w:rsidR="005C63AF" w:rsidRPr="00083922" w:rsidRDefault="00671C82" w:rsidP="006521F9">
      <w:pPr>
        <w:pStyle w:val="Prrafodelista"/>
        <w:widowControl w:val="0"/>
        <w:numPr>
          <w:ilvl w:val="0"/>
          <w:numId w:val="41"/>
        </w:numPr>
        <w:autoSpaceDE w:val="0"/>
        <w:autoSpaceDN w:val="0"/>
        <w:adjustRightInd w:val="0"/>
        <w:jc w:val="both"/>
        <w:rPr>
          <w:rFonts w:ascii="Verdana" w:hAnsi="Verdana"/>
          <w:sz w:val="20"/>
          <w:szCs w:val="20"/>
        </w:rPr>
      </w:pPr>
      <w:proofErr w:type="spellStart"/>
      <w:r w:rsidRPr="00963ABD">
        <w:rPr>
          <w:rFonts w:ascii="Verdana" w:hAnsi="Verdana" w:cs="Verdana"/>
          <w:i/>
          <w:sz w:val="20"/>
          <w:szCs w:val="20"/>
          <w:lang w:val="es-CR"/>
        </w:rPr>
        <w:t>Heli</w:t>
      </w:r>
      <w:proofErr w:type="spellEnd"/>
      <w:r w:rsidRPr="00963ABD">
        <w:rPr>
          <w:rFonts w:ascii="Verdana" w:hAnsi="Verdana" w:cs="Verdana"/>
          <w:i/>
          <w:sz w:val="20"/>
          <w:szCs w:val="20"/>
          <w:lang w:val="es-CR"/>
        </w:rPr>
        <w:t xml:space="preserve"> Rafael Romero Graterol</w:t>
      </w:r>
      <w:r w:rsidR="005C63AF" w:rsidRPr="00083922">
        <w:rPr>
          <w:rFonts w:ascii="Verdana" w:hAnsi="Verdana" w:cs="Verdana"/>
          <w:sz w:val="20"/>
          <w:szCs w:val="20"/>
          <w:lang w:val="es-CR"/>
        </w:rPr>
        <w:t xml:space="preserve">, </w:t>
      </w:r>
      <w:r w:rsidR="001D6E2E">
        <w:rPr>
          <w:rFonts w:ascii="Verdana" w:hAnsi="Verdana" w:cs="Verdana"/>
          <w:sz w:val="20"/>
          <w:szCs w:val="20"/>
          <w:lang w:val="es-CR"/>
        </w:rPr>
        <w:t xml:space="preserve">abogado, </w:t>
      </w:r>
      <w:r w:rsidR="005C63AF" w:rsidRPr="00083922">
        <w:rPr>
          <w:rFonts w:ascii="Verdana" w:hAnsi="Verdana" w:cs="Verdana"/>
          <w:sz w:val="20"/>
          <w:szCs w:val="20"/>
          <w:lang w:val="es-CR"/>
        </w:rPr>
        <w:t xml:space="preserve">quien declarará sobre </w:t>
      </w:r>
      <w:r w:rsidR="005C63AF" w:rsidRPr="00083922">
        <w:rPr>
          <w:rFonts w:ascii="Verdana" w:hAnsi="Verdana"/>
          <w:sz w:val="20"/>
          <w:szCs w:val="20"/>
        </w:rPr>
        <w:t>“</w:t>
      </w:r>
      <w:r w:rsidR="005C63AF" w:rsidRPr="00083922">
        <w:rPr>
          <w:rFonts w:ascii="Verdana" w:eastAsia="Calibri" w:hAnsi="Verdana" w:cs="Calibri"/>
          <w:sz w:val="20"/>
          <w:szCs w:val="20"/>
          <w:lang w:val="es-CR" w:eastAsia="en-US"/>
        </w:rPr>
        <w:t>un análisis comparativo del procedimiento de concesiones de uso del espectro radioeléctrico a nivel internacional y los estándares internacionales sobre las concesiones otorgadas”.</w:t>
      </w:r>
    </w:p>
    <w:p w:rsidR="00834FF2" w:rsidRPr="00834FF2" w:rsidRDefault="00834FF2" w:rsidP="00834FF2">
      <w:pPr>
        <w:widowControl w:val="0"/>
        <w:autoSpaceDE w:val="0"/>
        <w:autoSpaceDN w:val="0"/>
        <w:adjustRightInd w:val="0"/>
        <w:jc w:val="both"/>
        <w:rPr>
          <w:rFonts w:ascii="Verdana" w:hAnsi="Verdana" w:cs="Verdana"/>
          <w:i/>
          <w:iCs/>
          <w:sz w:val="20"/>
          <w:szCs w:val="20"/>
        </w:rPr>
      </w:pPr>
    </w:p>
    <w:p w:rsidR="00834FF2" w:rsidRPr="00671C82" w:rsidRDefault="00834FF2" w:rsidP="00834FF2">
      <w:pPr>
        <w:pStyle w:val="Prrafodelista"/>
        <w:widowControl w:val="0"/>
        <w:numPr>
          <w:ilvl w:val="0"/>
          <w:numId w:val="40"/>
        </w:numPr>
        <w:autoSpaceDE w:val="0"/>
        <w:autoSpaceDN w:val="0"/>
        <w:adjustRightInd w:val="0"/>
        <w:jc w:val="both"/>
        <w:rPr>
          <w:rFonts w:ascii="Verdana" w:hAnsi="Verdana" w:cs="Verdana"/>
          <w:b/>
          <w:bCs/>
          <w:i/>
          <w:iCs/>
          <w:sz w:val="20"/>
          <w:szCs w:val="20"/>
        </w:rPr>
      </w:pPr>
      <w:r w:rsidRPr="00671C82">
        <w:rPr>
          <w:rFonts w:ascii="Verdana" w:hAnsi="Verdana" w:cs="Verdana"/>
          <w:b/>
          <w:bCs/>
          <w:i/>
          <w:iCs/>
          <w:sz w:val="20"/>
          <w:szCs w:val="20"/>
        </w:rPr>
        <w:t>Propuesto</w:t>
      </w:r>
      <w:r>
        <w:rPr>
          <w:rFonts w:ascii="Verdana" w:hAnsi="Verdana" w:cs="Verdana"/>
          <w:b/>
          <w:bCs/>
          <w:i/>
          <w:iCs/>
          <w:sz w:val="20"/>
          <w:szCs w:val="20"/>
        </w:rPr>
        <w:t>s</w:t>
      </w:r>
      <w:r w:rsidRPr="00671C82">
        <w:rPr>
          <w:rFonts w:ascii="Verdana" w:hAnsi="Verdana" w:cs="Verdana"/>
          <w:b/>
          <w:bCs/>
          <w:i/>
          <w:iCs/>
          <w:sz w:val="20"/>
          <w:szCs w:val="20"/>
        </w:rPr>
        <w:t xml:space="preserve"> por </w:t>
      </w:r>
      <w:r>
        <w:rPr>
          <w:rFonts w:ascii="Verdana" w:hAnsi="Verdana" w:cs="Verdana"/>
          <w:b/>
          <w:bCs/>
          <w:i/>
          <w:iCs/>
          <w:sz w:val="20"/>
          <w:szCs w:val="20"/>
        </w:rPr>
        <w:t>la Comisión Interamericana</w:t>
      </w:r>
      <w:r w:rsidRPr="00671C82">
        <w:rPr>
          <w:rFonts w:ascii="Verdana" w:hAnsi="Verdana" w:cs="Verdana"/>
          <w:b/>
          <w:bCs/>
          <w:i/>
          <w:iCs/>
          <w:sz w:val="20"/>
          <w:szCs w:val="20"/>
        </w:rPr>
        <w:t>:</w:t>
      </w:r>
    </w:p>
    <w:p w:rsidR="00834FF2" w:rsidRPr="00671C82" w:rsidRDefault="00834FF2" w:rsidP="00834FF2">
      <w:pPr>
        <w:pStyle w:val="Prrafodelista"/>
        <w:widowControl w:val="0"/>
        <w:autoSpaceDE w:val="0"/>
        <w:autoSpaceDN w:val="0"/>
        <w:adjustRightInd w:val="0"/>
        <w:jc w:val="both"/>
        <w:rPr>
          <w:rFonts w:ascii="Verdana" w:hAnsi="Verdana" w:cs="Verdana"/>
          <w:sz w:val="20"/>
          <w:szCs w:val="20"/>
        </w:rPr>
      </w:pPr>
    </w:p>
    <w:p w:rsidR="00963ABD" w:rsidRDefault="00B048B7" w:rsidP="006521F9">
      <w:pPr>
        <w:pStyle w:val="Prrafodelista"/>
        <w:widowControl w:val="0"/>
        <w:numPr>
          <w:ilvl w:val="0"/>
          <w:numId w:val="41"/>
        </w:numPr>
        <w:autoSpaceDE w:val="0"/>
        <w:autoSpaceDN w:val="0"/>
        <w:adjustRightInd w:val="0"/>
        <w:jc w:val="both"/>
        <w:rPr>
          <w:rFonts w:ascii="Verdana" w:hAnsi="Verdana"/>
          <w:sz w:val="20"/>
          <w:szCs w:val="20"/>
        </w:rPr>
      </w:pPr>
      <w:r>
        <w:rPr>
          <w:rFonts w:ascii="Verdana" w:hAnsi="Verdana"/>
          <w:bCs/>
          <w:i/>
          <w:sz w:val="20"/>
          <w:szCs w:val="20"/>
        </w:rPr>
        <w:t>Domingo Garcí</w:t>
      </w:r>
      <w:r w:rsidR="00963ABD" w:rsidRPr="00963ABD">
        <w:rPr>
          <w:rFonts w:ascii="Verdana" w:hAnsi="Verdana"/>
          <w:bCs/>
          <w:i/>
          <w:sz w:val="20"/>
          <w:szCs w:val="20"/>
        </w:rPr>
        <w:t>a Belaunde</w:t>
      </w:r>
      <w:r w:rsidR="00963ABD" w:rsidRPr="00881D86">
        <w:rPr>
          <w:rFonts w:ascii="Verdana" w:hAnsi="Verdana"/>
          <w:bCs/>
          <w:sz w:val="20"/>
          <w:szCs w:val="20"/>
        </w:rPr>
        <w:t xml:space="preserve">, </w:t>
      </w:r>
      <w:r w:rsidR="002211ED">
        <w:rPr>
          <w:rFonts w:ascii="Verdana" w:hAnsi="Verdana"/>
          <w:bCs/>
          <w:sz w:val="20"/>
          <w:szCs w:val="20"/>
        </w:rPr>
        <w:t xml:space="preserve">abogado y conferencista internacional, </w:t>
      </w:r>
      <w:r w:rsidR="00963ABD" w:rsidRPr="00881D86">
        <w:rPr>
          <w:rFonts w:ascii="Verdana" w:hAnsi="Verdana"/>
          <w:bCs/>
          <w:sz w:val="20"/>
          <w:szCs w:val="20"/>
        </w:rPr>
        <w:t xml:space="preserve">quien </w:t>
      </w:r>
      <w:r w:rsidR="00963ABD">
        <w:rPr>
          <w:rFonts w:ascii="Verdana" w:hAnsi="Verdana"/>
          <w:bCs/>
          <w:sz w:val="20"/>
          <w:szCs w:val="20"/>
        </w:rPr>
        <w:t>declarará</w:t>
      </w:r>
      <w:r w:rsidR="00963ABD" w:rsidRPr="00881D86">
        <w:rPr>
          <w:rFonts w:ascii="Verdana" w:hAnsi="Verdana"/>
          <w:bCs/>
          <w:sz w:val="20"/>
          <w:szCs w:val="20"/>
        </w:rPr>
        <w:t xml:space="preserve"> sobre </w:t>
      </w:r>
      <w:r w:rsidR="00963ABD" w:rsidRPr="00881D86">
        <w:rPr>
          <w:rFonts w:ascii="Verdana" w:hAnsi="Verdana"/>
          <w:sz w:val="20"/>
          <w:szCs w:val="20"/>
        </w:rPr>
        <w:t>“el concepto de restricciones indirectas a la libertad de expresión y los parámetros que deben ser tornados en cuenta</w:t>
      </w:r>
      <w:r w:rsidR="00963ABD">
        <w:rPr>
          <w:rFonts w:ascii="Verdana" w:hAnsi="Verdana"/>
          <w:sz w:val="20"/>
          <w:szCs w:val="20"/>
        </w:rPr>
        <w:t xml:space="preserve"> para analizar si un supuesto fá</w:t>
      </w:r>
      <w:r w:rsidR="00963ABD" w:rsidRPr="00881D86">
        <w:rPr>
          <w:rFonts w:ascii="Verdana" w:hAnsi="Verdana"/>
          <w:sz w:val="20"/>
          <w:szCs w:val="20"/>
        </w:rPr>
        <w:t>ctico se enmarca dentro de dicho concepto”, así como sobre “los estándares desarrollados por otros sistemas de protección de derechos humanos y en el derecho comparado”</w:t>
      </w:r>
      <w:r w:rsidR="00963ABD">
        <w:rPr>
          <w:rFonts w:ascii="Verdana" w:hAnsi="Verdana"/>
          <w:sz w:val="20"/>
          <w:szCs w:val="20"/>
        </w:rPr>
        <w:t>.</w:t>
      </w:r>
    </w:p>
    <w:p w:rsidR="00963ABD" w:rsidRDefault="00963ABD" w:rsidP="00963ABD">
      <w:pPr>
        <w:pStyle w:val="Prrafodelista"/>
        <w:widowControl w:val="0"/>
        <w:autoSpaceDE w:val="0"/>
        <w:autoSpaceDN w:val="0"/>
        <w:adjustRightInd w:val="0"/>
        <w:jc w:val="both"/>
        <w:rPr>
          <w:rFonts w:ascii="Verdana" w:hAnsi="Verdana"/>
          <w:sz w:val="20"/>
          <w:szCs w:val="20"/>
        </w:rPr>
      </w:pPr>
    </w:p>
    <w:p w:rsidR="00963ABD" w:rsidRPr="00963ABD" w:rsidRDefault="00963ABD" w:rsidP="006521F9">
      <w:pPr>
        <w:pStyle w:val="Prrafodelista"/>
        <w:widowControl w:val="0"/>
        <w:numPr>
          <w:ilvl w:val="0"/>
          <w:numId w:val="41"/>
        </w:numPr>
        <w:autoSpaceDE w:val="0"/>
        <w:autoSpaceDN w:val="0"/>
        <w:adjustRightInd w:val="0"/>
        <w:jc w:val="both"/>
        <w:rPr>
          <w:rFonts w:ascii="Verdana" w:hAnsi="Verdana"/>
          <w:sz w:val="20"/>
          <w:szCs w:val="20"/>
        </w:rPr>
      </w:pPr>
      <w:r w:rsidRPr="00963ABD">
        <w:rPr>
          <w:rFonts w:ascii="Verdana" w:hAnsi="Verdana"/>
          <w:i/>
          <w:sz w:val="20"/>
          <w:szCs w:val="20"/>
        </w:rPr>
        <w:t>Eduardo Cifuentes Muñoz</w:t>
      </w:r>
      <w:r w:rsidRPr="00963ABD">
        <w:rPr>
          <w:rFonts w:ascii="Verdana" w:hAnsi="Verdana"/>
          <w:sz w:val="20"/>
          <w:szCs w:val="20"/>
        </w:rPr>
        <w:t xml:space="preserve">, </w:t>
      </w:r>
      <w:r w:rsidR="002211ED">
        <w:rPr>
          <w:rFonts w:ascii="Verdana" w:hAnsi="Verdana"/>
          <w:sz w:val="20"/>
          <w:szCs w:val="20"/>
        </w:rPr>
        <w:t xml:space="preserve">profesor de la Universidad de los Andes, </w:t>
      </w:r>
      <w:r w:rsidRPr="00963ABD">
        <w:rPr>
          <w:rFonts w:ascii="Verdana" w:hAnsi="Verdana"/>
          <w:sz w:val="20"/>
          <w:szCs w:val="20"/>
        </w:rPr>
        <w:t>quien declarar</w:t>
      </w:r>
      <w:r>
        <w:rPr>
          <w:rFonts w:ascii="Verdana" w:hAnsi="Verdana"/>
          <w:sz w:val="20"/>
          <w:szCs w:val="20"/>
        </w:rPr>
        <w:t>á</w:t>
      </w:r>
      <w:r w:rsidRPr="00963ABD">
        <w:rPr>
          <w:rFonts w:ascii="Verdana" w:hAnsi="Verdana"/>
          <w:sz w:val="20"/>
          <w:szCs w:val="20"/>
        </w:rPr>
        <w:t xml:space="preserve"> sobre “los actos estatales de  otorgamiento o renovación de licencias de radio y televisión y las salvaguardas sustantivas y procesales que deben observarse para </w:t>
      </w:r>
      <w:r w:rsidRPr="00963ABD">
        <w:rPr>
          <w:rFonts w:ascii="Verdana" w:hAnsi="Verdana"/>
          <w:sz w:val="20"/>
          <w:szCs w:val="20"/>
        </w:rPr>
        <w:lastRenderedPageBreak/>
        <w:t>asegurar que los procedimientos y actas sobre dichas licencias no se constituyan en mec</w:t>
      </w:r>
      <w:r w:rsidR="00E1002F">
        <w:rPr>
          <w:rFonts w:ascii="Verdana" w:hAnsi="Verdana"/>
          <w:sz w:val="20"/>
          <w:szCs w:val="20"/>
        </w:rPr>
        <w:t>anismos indirectos de restricció</w:t>
      </w:r>
      <w:r w:rsidRPr="00963ABD">
        <w:rPr>
          <w:rFonts w:ascii="Verdana" w:hAnsi="Verdana"/>
          <w:sz w:val="20"/>
          <w:szCs w:val="20"/>
        </w:rPr>
        <w:t>n a la libertad de expresión […] tomando en consideración los estándares desarrollados por otros sistemas de protección de derechos humanos y en el derecho comparado”</w:t>
      </w:r>
      <w:r>
        <w:rPr>
          <w:rFonts w:ascii="Verdana" w:hAnsi="Verdana"/>
          <w:sz w:val="20"/>
          <w:szCs w:val="20"/>
        </w:rPr>
        <w:t>.</w:t>
      </w:r>
    </w:p>
    <w:p w:rsidR="00963ABD" w:rsidRPr="00963ABD" w:rsidRDefault="00963ABD" w:rsidP="00963ABD">
      <w:pPr>
        <w:widowControl w:val="0"/>
        <w:autoSpaceDE w:val="0"/>
        <w:autoSpaceDN w:val="0"/>
        <w:adjustRightInd w:val="0"/>
        <w:jc w:val="both"/>
        <w:rPr>
          <w:rFonts w:ascii="Verdana" w:hAnsi="Verdana"/>
          <w:sz w:val="20"/>
          <w:szCs w:val="20"/>
        </w:rPr>
      </w:pPr>
    </w:p>
    <w:p w:rsidR="00236466" w:rsidRDefault="00236466" w:rsidP="00A43BA7">
      <w:pPr>
        <w:widowControl w:val="0"/>
        <w:autoSpaceDE w:val="0"/>
        <w:autoSpaceDN w:val="0"/>
        <w:adjustRightInd w:val="0"/>
        <w:jc w:val="both"/>
        <w:rPr>
          <w:rFonts w:ascii="Verdana" w:hAnsi="Verdana" w:cs="Verdana"/>
          <w:sz w:val="20"/>
          <w:szCs w:val="20"/>
        </w:rPr>
      </w:pPr>
      <w:r>
        <w:rPr>
          <w:rFonts w:ascii="Verdana" w:hAnsi="Verdana" w:cs="Verdana"/>
          <w:sz w:val="20"/>
          <w:szCs w:val="20"/>
        </w:rPr>
        <w:t>6.</w:t>
      </w:r>
      <w:r>
        <w:rPr>
          <w:rFonts w:ascii="Verdana" w:hAnsi="Verdana" w:cs="Verdana"/>
          <w:sz w:val="20"/>
          <w:szCs w:val="20"/>
        </w:rPr>
        <w:tab/>
        <w:t>Requerir a la República Bolivariana de Venezuela que facilite la salida y entrada de su territorio a los declarantes y peritos, si residen o se encuentran en él, quienes han sido citados en la presente Resolución a rendir declaración y dictamen pericial en la audiencia pública sobre la</w:t>
      </w:r>
      <w:r w:rsidR="00CB050E">
        <w:rPr>
          <w:rFonts w:ascii="Verdana" w:hAnsi="Verdana" w:cs="Verdana"/>
          <w:sz w:val="20"/>
          <w:szCs w:val="20"/>
        </w:rPr>
        <w:t>s excepciones</w:t>
      </w:r>
      <w:r>
        <w:rPr>
          <w:rFonts w:ascii="Verdana" w:hAnsi="Verdana" w:cs="Verdana"/>
          <w:sz w:val="20"/>
          <w:szCs w:val="20"/>
        </w:rPr>
        <w:t xml:space="preserve"> preliminar</w:t>
      </w:r>
      <w:r w:rsidR="00CB050E">
        <w:rPr>
          <w:rFonts w:ascii="Verdana" w:hAnsi="Verdana" w:cs="Verdana"/>
          <w:sz w:val="20"/>
          <w:szCs w:val="20"/>
        </w:rPr>
        <w:t>es</w:t>
      </w:r>
      <w:r>
        <w:rPr>
          <w:rFonts w:ascii="Verdana" w:hAnsi="Verdana" w:cs="Verdana"/>
          <w:sz w:val="20"/>
          <w:szCs w:val="20"/>
        </w:rPr>
        <w:t xml:space="preserve"> y los eventuales fondo, reparaciones y costas en este caso, de conformidad con lo dispuesto en el artículo 26.1 del Reglamento de la Corte. </w:t>
      </w:r>
    </w:p>
    <w:p w:rsidR="00236466" w:rsidRDefault="00236466" w:rsidP="00A43BA7">
      <w:pPr>
        <w:widowControl w:val="0"/>
        <w:autoSpaceDE w:val="0"/>
        <w:autoSpaceDN w:val="0"/>
        <w:adjustRightInd w:val="0"/>
        <w:jc w:val="both"/>
        <w:rPr>
          <w:rFonts w:ascii="Verdana" w:hAnsi="Verdana" w:cs="Verdana"/>
          <w:sz w:val="20"/>
          <w:szCs w:val="20"/>
        </w:rPr>
      </w:pPr>
    </w:p>
    <w:p w:rsidR="00236466" w:rsidRDefault="00236466" w:rsidP="00A43BA7">
      <w:pPr>
        <w:widowControl w:val="0"/>
        <w:autoSpaceDE w:val="0"/>
        <w:autoSpaceDN w:val="0"/>
        <w:adjustRightInd w:val="0"/>
        <w:jc w:val="both"/>
        <w:rPr>
          <w:rFonts w:ascii="Verdana" w:hAnsi="Verdana" w:cs="Verdana"/>
          <w:sz w:val="20"/>
          <w:szCs w:val="20"/>
        </w:rPr>
      </w:pPr>
      <w:r>
        <w:rPr>
          <w:rFonts w:ascii="Verdana" w:hAnsi="Verdana" w:cs="Verdana"/>
          <w:sz w:val="20"/>
          <w:szCs w:val="20"/>
        </w:rPr>
        <w:t>7.</w:t>
      </w:r>
      <w:r>
        <w:rPr>
          <w:rFonts w:ascii="Verdana" w:hAnsi="Verdana" w:cs="Verdana"/>
          <w:sz w:val="20"/>
          <w:szCs w:val="20"/>
        </w:rPr>
        <w:tab/>
        <w:t>Requerir a los representantes, al Estado y a la Comisión Interamericana que notifiquen la presente Resolución a las personas por ellos propuestas, que han sido convocadas a rendir declaración, de conformidad con lo dispuesto en el artículo 50.2 y 50.4 del Reglamento.</w:t>
      </w:r>
    </w:p>
    <w:p w:rsidR="00236466" w:rsidRDefault="00236466" w:rsidP="00A43BA7">
      <w:pPr>
        <w:widowControl w:val="0"/>
        <w:autoSpaceDE w:val="0"/>
        <w:autoSpaceDN w:val="0"/>
        <w:adjustRightInd w:val="0"/>
        <w:jc w:val="both"/>
        <w:rPr>
          <w:rFonts w:ascii="Verdana" w:hAnsi="Verdana" w:cs="Verdana"/>
          <w:sz w:val="20"/>
          <w:szCs w:val="20"/>
        </w:rPr>
      </w:pPr>
    </w:p>
    <w:p w:rsidR="00236466" w:rsidRPr="00573B81" w:rsidRDefault="00236466" w:rsidP="00A43BA7">
      <w:pPr>
        <w:widowControl w:val="0"/>
        <w:autoSpaceDE w:val="0"/>
        <w:autoSpaceDN w:val="0"/>
        <w:adjustRightInd w:val="0"/>
        <w:jc w:val="both"/>
        <w:rPr>
          <w:rFonts w:ascii="Verdana" w:hAnsi="Verdana" w:cs="Verdana"/>
          <w:sz w:val="20"/>
          <w:szCs w:val="20"/>
        </w:rPr>
      </w:pPr>
      <w:r>
        <w:rPr>
          <w:rFonts w:ascii="Verdana" w:hAnsi="Verdana" w:cs="Verdana"/>
          <w:sz w:val="20"/>
          <w:szCs w:val="20"/>
        </w:rPr>
        <w:t>8.</w:t>
      </w:r>
      <w:r>
        <w:rPr>
          <w:rFonts w:ascii="Verdana" w:hAnsi="Verdana" w:cs="Verdana"/>
          <w:sz w:val="20"/>
          <w:szCs w:val="20"/>
        </w:rPr>
        <w:tab/>
        <w:t xml:space="preserve">Informar a los representantes, al Estado y la Comisión Interamericana que deben cubrir los gastos que ocasione la aportación o rendición de la prueba propuesta por ellos, de conformidad con lo dispuesto por el artículo 60 del Reglamento. </w:t>
      </w:r>
      <w:r w:rsidRPr="002818F1">
        <w:rPr>
          <w:rFonts w:ascii="Verdana" w:hAnsi="Verdana" w:cs="Verdana"/>
          <w:sz w:val="20"/>
          <w:szCs w:val="20"/>
          <w:lang w:val="es-CR"/>
        </w:rPr>
        <w:t xml:space="preserve"> </w:t>
      </w:r>
    </w:p>
    <w:p w:rsidR="00236466" w:rsidRPr="00573B81" w:rsidRDefault="00236466" w:rsidP="00A43BA7">
      <w:pPr>
        <w:widowControl w:val="0"/>
        <w:autoSpaceDE w:val="0"/>
        <w:autoSpaceDN w:val="0"/>
        <w:adjustRightInd w:val="0"/>
        <w:jc w:val="both"/>
        <w:rPr>
          <w:rFonts w:ascii="Verdana" w:hAnsi="Verdana" w:cs="Verdana"/>
          <w:sz w:val="20"/>
          <w:szCs w:val="20"/>
          <w:lang w:val="es-CR"/>
        </w:rPr>
      </w:pPr>
    </w:p>
    <w:p w:rsidR="00236466" w:rsidRPr="00CB050E" w:rsidRDefault="00236466" w:rsidP="00A43BA7">
      <w:pPr>
        <w:widowControl w:val="0"/>
        <w:autoSpaceDE w:val="0"/>
        <w:autoSpaceDN w:val="0"/>
        <w:adjustRightInd w:val="0"/>
        <w:jc w:val="both"/>
        <w:rPr>
          <w:rFonts w:ascii="Verdana" w:hAnsi="Verdana"/>
          <w:sz w:val="20"/>
          <w:szCs w:val="20"/>
        </w:rPr>
      </w:pPr>
      <w:r>
        <w:rPr>
          <w:rFonts w:ascii="Verdana" w:hAnsi="Verdana" w:cs="Verdana"/>
          <w:sz w:val="20"/>
          <w:szCs w:val="20"/>
        </w:rPr>
        <w:t>9.</w:t>
      </w:r>
      <w:r>
        <w:rPr>
          <w:rFonts w:ascii="Verdana" w:hAnsi="Verdana" w:cs="Verdana"/>
          <w:sz w:val="20"/>
          <w:szCs w:val="20"/>
        </w:rPr>
        <w:tab/>
        <w:t>Requerir a los representantes, al Estado y a la Comisión Interamericana que informen a las personas convocadas para declarar y rendir dictamen pericial que, según lo dispuesto en el artícul</w:t>
      </w:r>
      <w:r w:rsidRPr="006560D9">
        <w:rPr>
          <w:rFonts w:ascii="Verdana" w:hAnsi="Verdana" w:cs="Verdana"/>
          <w:sz w:val="20"/>
          <w:szCs w:val="20"/>
        </w:rPr>
        <w:t>o 54 del Reglamento, el Tribunal pondrá en conocimiento del Estado</w:t>
      </w:r>
      <w:r w:rsidRPr="006560D9">
        <w:rPr>
          <w:rFonts w:ascii="Verdana" w:hAnsi="Verdana"/>
          <w:sz w:val="20"/>
          <w:szCs w:val="20"/>
        </w:rPr>
        <w:t xml:space="preserve"> </w:t>
      </w:r>
      <w:r w:rsidRPr="00CB050E">
        <w:rPr>
          <w:rFonts w:ascii="Verdana" w:hAnsi="Verdana"/>
          <w:sz w:val="20"/>
          <w:szCs w:val="20"/>
        </w:rPr>
        <w:t>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rsidR="00236466" w:rsidRPr="00CB050E" w:rsidRDefault="00236466" w:rsidP="00A43BA7">
      <w:pPr>
        <w:widowControl w:val="0"/>
        <w:autoSpaceDE w:val="0"/>
        <w:autoSpaceDN w:val="0"/>
        <w:adjustRightInd w:val="0"/>
        <w:jc w:val="both"/>
        <w:rPr>
          <w:rFonts w:ascii="Verdana" w:hAnsi="Verdana"/>
          <w:sz w:val="20"/>
          <w:szCs w:val="20"/>
        </w:rPr>
      </w:pPr>
    </w:p>
    <w:p w:rsidR="00236466" w:rsidRPr="00CB050E" w:rsidRDefault="00236466" w:rsidP="00A43BA7">
      <w:pPr>
        <w:widowControl w:val="0"/>
        <w:autoSpaceDE w:val="0"/>
        <w:autoSpaceDN w:val="0"/>
        <w:adjustRightInd w:val="0"/>
        <w:jc w:val="both"/>
        <w:rPr>
          <w:rFonts w:ascii="Verdana" w:hAnsi="Verdana"/>
          <w:sz w:val="20"/>
          <w:szCs w:val="20"/>
        </w:rPr>
      </w:pPr>
      <w:r w:rsidRPr="00CB050E">
        <w:rPr>
          <w:rFonts w:ascii="Verdana" w:hAnsi="Verdana"/>
          <w:sz w:val="20"/>
          <w:szCs w:val="20"/>
        </w:rPr>
        <w:t>10.</w:t>
      </w:r>
      <w:r w:rsidRPr="00CB050E">
        <w:rPr>
          <w:rFonts w:ascii="Verdana" w:hAnsi="Verdana"/>
          <w:sz w:val="20"/>
          <w:szCs w:val="20"/>
        </w:rPr>
        <w:tab/>
        <w:t>Informar a los representantes, al Estado y a la Comisión Interamericana que, al término de las declaraciones y los dictámenes periciales rendidos durante la audiencia pública, podrán presentar ante el Tribunal sus alegatos finales orales y observaciones finales orales, respectivamente, sobre la</w:t>
      </w:r>
      <w:r w:rsidR="00CB050E" w:rsidRPr="00CB050E">
        <w:rPr>
          <w:rFonts w:ascii="Verdana" w:hAnsi="Verdana"/>
          <w:sz w:val="20"/>
          <w:szCs w:val="20"/>
        </w:rPr>
        <w:t>s</w:t>
      </w:r>
      <w:r w:rsidRPr="00CB050E">
        <w:rPr>
          <w:rFonts w:ascii="Verdana" w:hAnsi="Verdana"/>
          <w:sz w:val="20"/>
          <w:szCs w:val="20"/>
        </w:rPr>
        <w:t xml:space="preserve"> excepci</w:t>
      </w:r>
      <w:r w:rsidR="00CB050E" w:rsidRPr="00CB050E">
        <w:rPr>
          <w:rFonts w:ascii="Verdana" w:hAnsi="Verdana"/>
          <w:sz w:val="20"/>
          <w:szCs w:val="20"/>
        </w:rPr>
        <w:t>ones</w:t>
      </w:r>
      <w:r w:rsidRPr="00CB050E">
        <w:rPr>
          <w:rFonts w:ascii="Verdana" w:hAnsi="Verdana"/>
          <w:sz w:val="20"/>
          <w:szCs w:val="20"/>
        </w:rPr>
        <w:t xml:space="preserve"> preliminar</w:t>
      </w:r>
      <w:r w:rsidR="00CB050E" w:rsidRPr="00CB050E">
        <w:rPr>
          <w:rFonts w:ascii="Verdana" w:hAnsi="Verdana"/>
          <w:sz w:val="20"/>
          <w:szCs w:val="20"/>
        </w:rPr>
        <w:t>es</w:t>
      </w:r>
      <w:r w:rsidRPr="00CB050E">
        <w:rPr>
          <w:rFonts w:ascii="Verdana" w:hAnsi="Verdana"/>
          <w:sz w:val="20"/>
          <w:szCs w:val="20"/>
        </w:rPr>
        <w:t xml:space="preserve"> y los eventuales fondo, reparaciones y costas en el presente caso.</w:t>
      </w:r>
    </w:p>
    <w:p w:rsidR="00236466" w:rsidRPr="00CB050E" w:rsidRDefault="00236466" w:rsidP="00A43BA7">
      <w:pPr>
        <w:widowControl w:val="0"/>
        <w:autoSpaceDE w:val="0"/>
        <w:autoSpaceDN w:val="0"/>
        <w:adjustRightInd w:val="0"/>
        <w:jc w:val="both"/>
        <w:rPr>
          <w:rFonts w:ascii="Verdana" w:hAnsi="Verdana"/>
          <w:sz w:val="20"/>
          <w:szCs w:val="20"/>
        </w:rPr>
      </w:pPr>
    </w:p>
    <w:p w:rsidR="00236466" w:rsidRPr="00CB050E" w:rsidRDefault="00236466" w:rsidP="00A43BA7">
      <w:pPr>
        <w:widowControl w:val="0"/>
        <w:autoSpaceDE w:val="0"/>
        <w:autoSpaceDN w:val="0"/>
        <w:adjustRightInd w:val="0"/>
        <w:jc w:val="both"/>
        <w:rPr>
          <w:rFonts w:ascii="Verdana" w:hAnsi="Verdana"/>
          <w:sz w:val="20"/>
          <w:szCs w:val="20"/>
        </w:rPr>
      </w:pPr>
      <w:r w:rsidRPr="00CB050E">
        <w:rPr>
          <w:rFonts w:ascii="Verdana" w:hAnsi="Verdana"/>
          <w:sz w:val="20"/>
          <w:szCs w:val="20"/>
        </w:rPr>
        <w:t>11.</w:t>
      </w:r>
      <w:r w:rsidRPr="00CB050E">
        <w:rPr>
          <w:rFonts w:ascii="Verdana" w:hAnsi="Verdana"/>
          <w:sz w:val="20"/>
          <w:szCs w:val="20"/>
        </w:rPr>
        <w:tab/>
        <w:t>Disponer que</w:t>
      </w:r>
      <w:r w:rsidR="00EF27D5" w:rsidRPr="00CB050E">
        <w:rPr>
          <w:rFonts w:ascii="Verdana" w:hAnsi="Verdana"/>
          <w:sz w:val="20"/>
          <w:szCs w:val="20"/>
        </w:rPr>
        <w:t>,</w:t>
      </w:r>
      <w:r w:rsidRPr="00CB050E">
        <w:rPr>
          <w:rFonts w:ascii="Verdana" w:hAnsi="Verdana"/>
          <w:sz w:val="20"/>
          <w:szCs w:val="20"/>
        </w:rPr>
        <w:t xml:space="preserve"> </w:t>
      </w:r>
      <w:r w:rsidR="00EF27D5" w:rsidRPr="00CB050E">
        <w:rPr>
          <w:rFonts w:ascii="Verdana" w:hAnsi="Verdana"/>
          <w:sz w:val="20"/>
          <w:szCs w:val="20"/>
        </w:rPr>
        <w:t>con posterioridad a la audiencia pública y</w:t>
      </w:r>
      <w:r w:rsidRPr="00CB050E">
        <w:rPr>
          <w:rFonts w:ascii="Verdana" w:hAnsi="Verdana"/>
          <w:sz w:val="20"/>
          <w:szCs w:val="20"/>
        </w:rPr>
        <w:t xml:space="preserve"> de conformidad con lo dispuesto en el artículo 55.3 del Reglamento, </w:t>
      </w:r>
      <w:r w:rsidR="00EF27D5" w:rsidRPr="00CB050E">
        <w:rPr>
          <w:rFonts w:ascii="Verdana" w:hAnsi="Verdana"/>
          <w:sz w:val="20"/>
          <w:szCs w:val="20"/>
        </w:rPr>
        <w:t xml:space="preserve">la Secretaría de la Corte </w:t>
      </w:r>
      <w:r w:rsidRPr="00CB050E">
        <w:rPr>
          <w:rFonts w:ascii="Verdana" w:hAnsi="Verdana"/>
          <w:sz w:val="20"/>
          <w:szCs w:val="20"/>
        </w:rPr>
        <w:t>indique a la Comisión Interamericana, a los representantes y al Estado, a la brevedad posible, el enlace en el que se encontrará disponible la grabación de la audiencia pública del presente caso.</w:t>
      </w:r>
    </w:p>
    <w:p w:rsidR="00236466" w:rsidRPr="00CB050E" w:rsidRDefault="00236466" w:rsidP="00A43BA7">
      <w:pPr>
        <w:widowControl w:val="0"/>
        <w:autoSpaceDE w:val="0"/>
        <w:autoSpaceDN w:val="0"/>
        <w:adjustRightInd w:val="0"/>
        <w:jc w:val="both"/>
        <w:rPr>
          <w:rFonts w:ascii="Verdana" w:hAnsi="Verdana"/>
          <w:sz w:val="20"/>
          <w:szCs w:val="20"/>
        </w:rPr>
      </w:pPr>
    </w:p>
    <w:p w:rsidR="00236466" w:rsidRPr="00CB050E" w:rsidRDefault="00236466" w:rsidP="00A43BA7">
      <w:pPr>
        <w:widowControl w:val="0"/>
        <w:autoSpaceDE w:val="0"/>
        <w:autoSpaceDN w:val="0"/>
        <w:adjustRightInd w:val="0"/>
        <w:jc w:val="both"/>
        <w:rPr>
          <w:rFonts w:ascii="Verdana" w:hAnsi="Verdana"/>
          <w:sz w:val="20"/>
          <w:szCs w:val="20"/>
        </w:rPr>
      </w:pPr>
      <w:r w:rsidRPr="00CB050E">
        <w:rPr>
          <w:rFonts w:ascii="Verdana" w:hAnsi="Verdana"/>
          <w:sz w:val="20"/>
          <w:szCs w:val="20"/>
        </w:rPr>
        <w:t>12.</w:t>
      </w:r>
      <w:r w:rsidRPr="00CB050E">
        <w:rPr>
          <w:rFonts w:ascii="Verdana" w:hAnsi="Verdana"/>
          <w:sz w:val="20"/>
          <w:szCs w:val="20"/>
        </w:rPr>
        <w:tab/>
        <w:t xml:space="preserve">Informar a los representantes, al Estado y a la Comisión Interamericana, que cuentan con un plazo hasta el </w:t>
      </w:r>
      <w:r w:rsidR="00CB050E">
        <w:rPr>
          <w:rFonts w:ascii="Verdana" w:hAnsi="Verdana"/>
          <w:sz w:val="20"/>
          <w:szCs w:val="20"/>
        </w:rPr>
        <w:t>1</w:t>
      </w:r>
      <w:r w:rsidR="00773625" w:rsidRPr="00CB050E">
        <w:rPr>
          <w:rFonts w:ascii="Verdana" w:hAnsi="Verdana"/>
          <w:sz w:val="20"/>
          <w:szCs w:val="20"/>
        </w:rPr>
        <w:t xml:space="preserve"> de </w:t>
      </w:r>
      <w:r w:rsidR="00CB050E">
        <w:rPr>
          <w:rFonts w:ascii="Verdana" w:hAnsi="Verdana"/>
          <w:sz w:val="20"/>
          <w:szCs w:val="20"/>
        </w:rPr>
        <w:t>julio de 2014</w:t>
      </w:r>
      <w:r w:rsidRPr="00CB050E">
        <w:rPr>
          <w:rFonts w:ascii="Verdana" w:hAnsi="Verdana"/>
          <w:sz w:val="20"/>
          <w:szCs w:val="20"/>
        </w:rPr>
        <w:t xml:space="preserve"> para presentar sus alegatos finales escritos y observaciones finales escritas, respectivamente, en relación con la excepción preliminar y los eventuales fondo, reparaciones y costas en el presente caso. Este plazo es improrrogable.</w:t>
      </w:r>
    </w:p>
    <w:p w:rsidR="00236466" w:rsidRPr="00CB050E" w:rsidRDefault="00236466" w:rsidP="00A43BA7">
      <w:pPr>
        <w:widowControl w:val="0"/>
        <w:autoSpaceDE w:val="0"/>
        <w:autoSpaceDN w:val="0"/>
        <w:adjustRightInd w:val="0"/>
        <w:jc w:val="both"/>
        <w:rPr>
          <w:rFonts w:ascii="Verdana" w:hAnsi="Verdana"/>
          <w:sz w:val="20"/>
          <w:szCs w:val="20"/>
        </w:rPr>
      </w:pPr>
    </w:p>
    <w:p w:rsidR="00687A3A" w:rsidRDefault="00236466" w:rsidP="00687A3A">
      <w:pPr>
        <w:widowControl w:val="0"/>
        <w:autoSpaceDE w:val="0"/>
        <w:autoSpaceDN w:val="0"/>
        <w:adjustRightInd w:val="0"/>
        <w:jc w:val="both"/>
        <w:rPr>
          <w:rFonts w:ascii="Verdana" w:hAnsi="Verdana"/>
          <w:sz w:val="20"/>
          <w:szCs w:val="20"/>
        </w:rPr>
      </w:pPr>
      <w:r w:rsidRPr="00CB050E">
        <w:rPr>
          <w:rFonts w:ascii="Verdana" w:hAnsi="Verdana"/>
          <w:sz w:val="20"/>
          <w:szCs w:val="20"/>
        </w:rPr>
        <w:t>13.</w:t>
      </w:r>
      <w:r w:rsidRPr="00CB050E">
        <w:rPr>
          <w:rFonts w:ascii="Verdana" w:hAnsi="Verdana"/>
          <w:sz w:val="20"/>
          <w:szCs w:val="20"/>
        </w:rPr>
        <w:tab/>
        <w:t>Disponer que la Secretaría de la Corte Interamericana notifique la presente Resolución a los representantes, a la República Bolivariana de Venezuela y a la Comisión Int</w:t>
      </w:r>
      <w:r w:rsidR="00687A3A">
        <w:rPr>
          <w:rFonts w:ascii="Verdana" w:hAnsi="Verdana"/>
          <w:sz w:val="20"/>
          <w:szCs w:val="20"/>
        </w:rPr>
        <w:t>eramericana de Derechos Humanos</w:t>
      </w: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ind w:left="4320" w:firstLine="720"/>
        <w:rPr>
          <w:rFonts w:ascii="Verdana" w:hAnsi="Verdana"/>
          <w:sz w:val="20"/>
          <w:szCs w:val="20"/>
        </w:rPr>
      </w:pPr>
    </w:p>
    <w:p w:rsidR="00687A3A" w:rsidRDefault="00687A3A" w:rsidP="00687A3A">
      <w:pPr>
        <w:widowControl w:val="0"/>
        <w:autoSpaceDE w:val="0"/>
        <w:autoSpaceDN w:val="0"/>
        <w:adjustRightInd w:val="0"/>
        <w:ind w:left="4320" w:firstLine="720"/>
        <w:rPr>
          <w:rFonts w:ascii="Verdana" w:hAnsi="Verdana"/>
          <w:sz w:val="20"/>
          <w:szCs w:val="20"/>
        </w:rPr>
      </w:pPr>
    </w:p>
    <w:p w:rsidR="00687A3A" w:rsidRDefault="00687A3A" w:rsidP="00687A3A">
      <w:pPr>
        <w:widowControl w:val="0"/>
        <w:autoSpaceDE w:val="0"/>
        <w:autoSpaceDN w:val="0"/>
        <w:adjustRightInd w:val="0"/>
        <w:ind w:left="4320" w:firstLine="720"/>
        <w:rPr>
          <w:rFonts w:ascii="Verdana" w:hAnsi="Verdana"/>
          <w:sz w:val="20"/>
          <w:szCs w:val="20"/>
        </w:rPr>
      </w:pPr>
      <w:r>
        <w:rPr>
          <w:rFonts w:ascii="Verdana" w:hAnsi="Verdana"/>
          <w:sz w:val="20"/>
          <w:szCs w:val="20"/>
        </w:rPr>
        <w:t>Humberto Antonio Sierra Porto</w:t>
      </w:r>
    </w:p>
    <w:p w:rsidR="00687A3A" w:rsidRDefault="00687A3A" w:rsidP="00687A3A">
      <w:pPr>
        <w:widowControl w:val="0"/>
        <w:autoSpaceDE w:val="0"/>
        <w:autoSpaceDN w:val="0"/>
        <w:adjustRightInd w:val="0"/>
        <w:ind w:left="5040" w:firstLine="720"/>
        <w:rPr>
          <w:rFonts w:ascii="Verdana" w:hAnsi="Verdana"/>
          <w:sz w:val="20"/>
          <w:szCs w:val="20"/>
        </w:rPr>
      </w:pPr>
      <w:r>
        <w:rPr>
          <w:rFonts w:ascii="Verdana" w:hAnsi="Verdana"/>
          <w:sz w:val="20"/>
          <w:szCs w:val="20"/>
        </w:rPr>
        <w:t>Presidente</w:t>
      </w:r>
    </w:p>
    <w:p w:rsidR="00687A3A" w:rsidRDefault="00687A3A" w:rsidP="00687A3A">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r>
        <w:rPr>
          <w:rFonts w:ascii="Verdana" w:hAnsi="Verdana"/>
          <w:sz w:val="20"/>
          <w:szCs w:val="20"/>
        </w:rPr>
        <w:t>Pablo Saavedra Alessandri</w:t>
      </w:r>
    </w:p>
    <w:p w:rsidR="00687A3A" w:rsidRDefault="00687A3A" w:rsidP="00A43BA7">
      <w:pPr>
        <w:widowControl w:val="0"/>
        <w:autoSpaceDE w:val="0"/>
        <w:autoSpaceDN w:val="0"/>
        <w:adjustRightInd w:val="0"/>
        <w:rPr>
          <w:rFonts w:ascii="Verdana" w:hAnsi="Verdana"/>
          <w:sz w:val="20"/>
          <w:szCs w:val="20"/>
        </w:rPr>
      </w:pPr>
      <w:r>
        <w:rPr>
          <w:rFonts w:ascii="Verdana" w:hAnsi="Verdana"/>
          <w:sz w:val="20"/>
          <w:szCs w:val="20"/>
        </w:rPr>
        <w:t xml:space="preserve">        Secretario</w:t>
      </w: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r>
        <w:rPr>
          <w:rFonts w:ascii="Verdana" w:hAnsi="Verdana"/>
          <w:sz w:val="20"/>
          <w:szCs w:val="20"/>
        </w:rPr>
        <w:t>Comuníquese y ejecútese,</w:t>
      </w: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ind w:left="4320" w:firstLine="720"/>
        <w:rPr>
          <w:rFonts w:ascii="Verdana" w:hAnsi="Verdana"/>
          <w:sz w:val="20"/>
          <w:szCs w:val="20"/>
        </w:rPr>
      </w:pPr>
      <w:r>
        <w:rPr>
          <w:rFonts w:ascii="Verdana" w:hAnsi="Verdana"/>
          <w:sz w:val="20"/>
          <w:szCs w:val="20"/>
        </w:rPr>
        <w:t>Humberto Antonio Sierra Porto</w:t>
      </w:r>
    </w:p>
    <w:p w:rsidR="00687A3A" w:rsidRDefault="00687A3A" w:rsidP="00687A3A">
      <w:pPr>
        <w:widowControl w:val="0"/>
        <w:autoSpaceDE w:val="0"/>
        <w:autoSpaceDN w:val="0"/>
        <w:adjustRightInd w:val="0"/>
        <w:ind w:left="5040" w:firstLine="720"/>
        <w:rPr>
          <w:rFonts w:ascii="Verdana" w:hAnsi="Verdana"/>
          <w:sz w:val="20"/>
          <w:szCs w:val="20"/>
        </w:rPr>
      </w:pPr>
      <w:r>
        <w:rPr>
          <w:rFonts w:ascii="Verdana" w:hAnsi="Verdana"/>
          <w:sz w:val="20"/>
          <w:szCs w:val="20"/>
        </w:rPr>
        <w:t>Presidente</w:t>
      </w: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687A3A" w:rsidP="00687A3A">
      <w:pPr>
        <w:widowControl w:val="0"/>
        <w:autoSpaceDE w:val="0"/>
        <w:autoSpaceDN w:val="0"/>
        <w:adjustRightInd w:val="0"/>
        <w:rPr>
          <w:rFonts w:ascii="Verdana" w:hAnsi="Verdana"/>
          <w:sz w:val="20"/>
          <w:szCs w:val="20"/>
        </w:rPr>
      </w:pPr>
    </w:p>
    <w:p w:rsidR="00687A3A" w:rsidRDefault="00AC2F4A" w:rsidP="00687A3A">
      <w:pPr>
        <w:widowControl w:val="0"/>
        <w:autoSpaceDE w:val="0"/>
        <w:autoSpaceDN w:val="0"/>
        <w:adjustRightInd w:val="0"/>
        <w:rPr>
          <w:rFonts w:ascii="Verdana" w:hAnsi="Verdana"/>
          <w:sz w:val="20"/>
          <w:szCs w:val="20"/>
        </w:rPr>
      </w:pPr>
      <w:r>
        <w:rPr>
          <w:rFonts w:ascii="Verdana" w:hAnsi="Verdana"/>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6" type="#_x0000_t75" style="position:absolute;margin-left:-43.55pt;margin-top:279.35pt;width:231.75pt;height:129.75pt;z-index:-1;visibility:visible">
            <v:imagedata r:id="rId9" o:title="pablo 01"/>
          </v:shape>
        </w:pict>
      </w:r>
      <w:r w:rsidR="00687A3A">
        <w:rPr>
          <w:rFonts w:ascii="Verdana" w:hAnsi="Verdana"/>
          <w:sz w:val="20"/>
          <w:szCs w:val="20"/>
        </w:rPr>
        <w:t>Pablo Saavedra Alessandri</w:t>
      </w:r>
    </w:p>
    <w:p w:rsidR="00687A3A" w:rsidRDefault="00687A3A" w:rsidP="00687A3A">
      <w:pPr>
        <w:widowControl w:val="0"/>
        <w:autoSpaceDE w:val="0"/>
        <w:autoSpaceDN w:val="0"/>
        <w:adjustRightInd w:val="0"/>
        <w:rPr>
          <w:rFonts w:ascii="Verdana" w:hAnsi="Verdana"/>
          <w:sz w:val="20"/>
          <w:szCs w:val="20"/>
        </w:rPr>
      </w:pPr>
      <w:r>
        <w:rPr>
          <w:rFonts w:ascii="Verdana" w:hAnsi="Verdana"/>
          <w:sz w:val="20"/>
          <w:szCs w:val="20"/>
        </w:rPr>
        <w:t xml:space="preserve">        Secretario</w:t>
      </w: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Default="00687A3A" w:rsidP="00A43BA7">
      <w:pPr>
        <w:widowControl w:val="0"/>
        <w:autoSpaceDE w:val="0"/>
        <w:autoSpaceDN w:val="0"/>
        <w:adjustRightInd w:val="0"/>
        <w:rPr>
          <w:rFonts w:ascii="Verdana" w:hAnsi="Verdana"/>
          <w:sz w:val="20"/>
          <w:szCs w:val="20"/>
        </w:rPr>
      </w:pPr>
    </w:p>
    <w:p w:rsidR="00687A3A" w:rsidRPr="00CB050E" w:rsidRDefault="00687A3A" w:rsidP="00A43BA7">
      <w:pPr>
        <w:widowControl w:val="0"/>
        <w:autoSpaceDE w:val="0"/>
        <w:autoSpaceDN w:val="0"/>
        <w:adjustRightInd w:val="0"/>
        <w:rPr>
          <w:rFonts w:ascii="Verdana" w:hAnsi="Verdana"/>
          <w:sz w:val="20"/>
          <w:szCs w:val="20"/>
        </w:rPr>
      </w:pPr>
    </w:p>
    <w:sectPr w:rsidR="00687A3A" w:rsidRPr="00CB050E" w:rsidSect="007D0663">
      <w:headerReference w:type="default" r:id="rId10"/>
      <w:footerReference w:type="default" r:id="rId11"/>
      <w:pgSz w:w="12240" w:h="15840"/>
      <w:pgMar w:top="1417" w:right="1531" w:bottom="1417"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F4A" w:rsidRDefault="00AC2F4A" w:rsidP="00475389">
      <w:r>
        <w:separator/>
      </w:r>
    </w:p>
  </w:endnote>
  <w:endnote w:type="continuationSeparator" w:id="0">
    <w:p w:rsidR="00AC2F4A" w:rsidRDefault="00AC2F4A" w:rsidP="0047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Lucida Grande">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BookAntiqua-BoldItalic">
    <w:panose1 w:val="00000000000000000000"/>
    <w:charset w:val="00"/>
    <w:family w:val="roman"/>
    <w:notTrueType/>
    <w:pitch w:val="default"/>
    <w:sig w:usb0="00000003" w:usb1="00000000" w:usb2="00000000" w:usb3="00000000" w:csb0="00000001" w:csb1="00000000"/>
  </w:font>
  <w:font w:name="BookAntiqua-Italic">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3A" w:rsidRDefault="00687A3A" w:rsidP="007D0663">
    <w:pPr>
      <w:pStyle w:val="Piedepgina"/>
    </w:pPr>
  </w:p>
  <w:p w:rsidR="00687A3A" w:rsidRDefault="00687A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F4A" w:rsidRDefault="00AC2F4A" w:rsidP="00475389">
      <w:r>
        <w:separator/>
      </w:r>
    </w:p>
  </w:footnote>
  <w:footnote w:type="continuationSeparator" w:id="0">
    <w:p w:rsidR="00AC2F4A" w:rsidRDefault="00AC2F4A" w:rsidP="00475389">
      <w:r>
        <w:continuationSeparator/>
      </w:r>
    </w:p>
  </w:footnote>
  <w:footnote w:id="1">
    <w:p w:rsidR="00687A3A" w:rsidRPr="00C45F7B" w:rsidRDefault="00687A3A" w:rsidP="002A799F">
      <w:pPr>
        <w:pStyle w:val="Textonotapie"/>
        <w:jc w:val="both"/>
        <w:rPr>
          <w:rFonts w:ascii="Verdana" w:hAnsi="Verdana"/>
          <w:sz w:val="16"/>
          <w:szCs w:val="16"/>
        </w:rPr>
      </w:pPr>
      <w:r w:rsidRPr="00C45F7B">
        <w:rPr>
          <w:rStyle w:val="Refdenotaalpie"/>
          <w:rFonts w:ascii="Verdana" w:hAnsi="Verdana" w:cs="Verdana"/>
          <w:sz w:val="16"/>
          <w:szCs w:val="16"/>
        </w:rPr>
        <w:footnoteRef/>
      </w:r>
      <w:r w:rsidRPr="00C45F7B">
        <w:rPr>
          <w:rFonts w:ascii="Verdana" w:hAnsi="Verdana" w:cs="Verdana"/>
          <w:sz w:val="16"/>
          <w:szCs w:val="16"/>
        </w:rPr>
        <w:t xml:space="preserve"> </w:t>
      </w:r>
      <w:r w:rsidRPr="00C45F7B">
        <w:rPr>
          <w:rFonts w:ascii="Verdana" w:hAnsi="Verdana" w:cs="Verdana"/>
          <w:sz w:val="16"/>
          <w:szCs w:val="16"/>
        </w:rPr>
        <w:tab/>
        <w:t xml:space="preserve">Mediante comunicación de 15 de mayo de 2013 y sus anexos, </w:t>
      </w:r>
      <w:r w:rsidRPr="00C45F7B">
        <w:rPr>
          <w:rFonts w:ascii="Verdana" w:hAnsi="Verdana"/>
          <w:sz w:val="16"/>
          <w:szCs w:val="16"/>
        </w:rPr>
        <w:t xml:space="preserve">los señores Pedro </w:t>
      </w:r>
      <w:proofErr w:type="spellStart"/>
      <w:r w:rsidRPr="00C45F7B">
        <w:rPr>
          <w:rFonts w:ascii="Verdana" w:hAnsi="Verdana"/>
          <w:sz w:val="16"/>
          <w:szCs w:val="16"/>
        </w:rPr>
        <w:t>Nikken</w:t>
      </w:r>
      <w:proofErr w:type="spellEnd"/>
      <w:r w:rsidRPr="00C45F7B">
        <w:rPr>
          <w:rFonts w:ascii="Verdana" w:hAnsi="Verdana"/>
          <w:sz w:val="16"/>
          <w:szCs w:val="16"/>
        </w:rPr>
        <w:t xml:space="preserve"> y Carlos Ayala </w:t>
      </w:r>
      <w:proofErr w:type="spellStart"/>
      <w:r w:rsidRPr="00C45F7B">
        <w:rPr>
          <w:rFonts w:ascii="Verdana" w:hAnsi="Verdana"/>
          <w:sz w:val="16"/>
          <w:szCs w:val="16"/>
        </w:rPr>
        <w:t>Corao</w:t>
      </w:r>
      <w:proofErr w:type="spellEnd"/>
      <w:r w:rsidRPr="00C45F7B">
        <w:rPr>
          <w:rFonts w:ascii="Verdana" w:hAnsi="Verdana"/>
          <w:sz w:val="16"/>
          <w:szCs w:val="16"/>
        </w:rPr>
        <w:t xml:space="preserve"> presentaron su “[c]</w:t>
      </w:r>
      <w:proofErr w:type="spellStart"/>
      <w:r w:rsidRPr="00C45F7B">
        <w:rPr>
          <w:rFonts w:ascii="Verdana" w:hAnsi="Verdana"/>
          <w:sz w:val="16"/>
          <w:szCs w:val="16"/>
        </w:rPr>
        <w:t>onfirmación</w:t>
      </w:r>
      <w:proofErr w:type="spellEnd"/>
      <w:r w:rsidRPr="00C45F7B">
        <w:rPr>
          <w:rFonts w:ascii="Verdana" w:hAnsi="Verdana"/>
          <w:sz w:val="16"/>
          <w:szCs w:val="16"/>
        </w:rPr>
        <w:t xml:space="preserve"> de representación de [las presuntas] víctimas en [el presente] caso” y remitieron “copia simple de los mandatos que [les] fueron otorgados”</w:t>
      </w:r>
      <w:r w:rsidRPr="00C45F7B">
        <w:rPr>
          <w:rFonts w:ascii="Verdana" w:hAnsi="Verdana" w:cs="Verdana"/>
          <w:sz w:val="16"/>
          <w:szCs w:val="16"/>
        </w:rPr>
        <w:t xml:space="preserve">. </w:t>
      </w:r>
    </w:p>
  </w:footnote>
  <w:footnote w:id="2">
    <w:p w:rsidR="00687A3A" w:rsidRPr="00C45F7B" w:rsidRDefault="00687A3A" w:rsidP="002A799F">
      <w:pPr>
        <w:pStyle w:val="Textonotapie"/>
        <w:jc w:val="both"/>
        <w:rPr>
          <w:rFonts w:ascii="Verdana" w:hAnsi="Verdana"/>
          <w:sz w:val="16"/>
          <w:szCs w:val="16"/>
        </w:rPr>
      </w:pPr>
      <w:r w:rsidRPr="00C45F7B">
        <w:rPr>
          <w:rStyle w:val="Refdenotaalpie"/>
          <w:rFonts w:ascii="Verdana" w:hAnsi="Verdana" w:cs="Verdana"/>
          <w:sz w:val="16"/>
          <w:szCs w:val="16"/>
        </w:rPr>
        <w:footnoteRef/>
      </w:r>
      <w:r w:rsidRPr="00C45F7B">
        <w:rPr>
          <w:rFonts w:ascii="Verdana" w:hAnsi="Verdana" w:cs="Verdana"/>
          <w:sz w:val="16"/>
          <w:szCs w:val="16"/>
        </w:rPr>
        <w:t xml:space="preserve"> </w:t>
      </w:r>
      <w:r w:rsidRPr="00C45F7B">
        <w:rPr>
          <w:rFonts w:ascii="Verdana" w:hAnsi="Verdana" w:cs="Verdana"/>
          <w:sz w:val="16"/>
          <w:szCs w:val="16"/>
          <w:lang w:val="es-CR"/>
        </w:rPr>
        <w:tab/>
      </w:r>
      <w:r w:rsidRPr="00C45F7B">
        <w:rPr>
          <w:rFonts w:ascii="Verdana" w:hAnsi="Verdana" w:cs="Verdana"/>
          <w:sz w:val="16"/>
          <w:szCs w:val="16"/>
        </w:rPr>
        <w:t xml:space="preserve">Venezuela planteó como excepción preliminar una recusación contra los Jueces Diego García-Sayán y Manuel E. Ventura Robles, </w:t>
      </w:r>
      <w:r w:rsidRPr="00C45F7B">
        <w:rPr>
          <w:rFonts w:ascii="Verdana" w:hAnsi="Verdana"/>
          <w:sz w:val="16"/>
          <w:szCs w:val="16"/>
        </w:rPr>
        <w:t xml:space="preserve">así como respecto de Pablo Saavedra Alessandri “en su condición de Secretario” de la Corte. </w:t>
      </w:r>
    </w:p>
  </w:footnote>
  <w:footnote w:id="3">
    <w:p w:rsidR="00687A3A" w:rsidRPr="00C45F7B" w:rsidRDefault="00687A3A" w:rsidP="002A799F">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r>
      <w:r w:rsidRPr="00C45F7B">
        <w:rPr>
          <w:rFonts w:ascii="Verdana" w:hAnsi="Verdana"/>
          <w:i/>
          <w:sz w:val="16"/>
          <w:szCs w:val="16"/>
        </w:rPr>
        <w:t>Cfr. Caso Pacheco Teruel y otros Vs. Honduras</w:t>
      </w:r>
      <w:r w:rsidRPr="00C45F7B">
        <w:rPr>
          <w:rFonts w:ascii="Verdana" w:hAnsi="Verdana"/>
          <w:sz w:val="16"/>
          <w:szCs w:val="16"/>
        </w:rPr>
        <w:t xml:space="preserve">. Resolución del Presidente de 27 de enero de 2012, Considerando 9, y </w:t>
      </w:r>
      <w:r w:rsidRPr="00C45F7B">
        <w:rPr>
          <w:rFonts w:ascii="Verdana" w:hAnsi="Verdana"/>
          <w:i/>
          <w:sz w:val="16"/>
          <w:szCs w:val="16"/>
        </w:rPr>
        <w:t>Caso Cruz Sánchez y Otros Vs. Perú.</w:t>
      </w:r>
      <w:r w:rsidRPr="00C45F7B">
        <w:rPr>
          <w:rFonts w:ascii="Verdana" w:hAnsi="Verdana"/>
          <w:sz w:val="16"/>
          <w:szCs w:val="16"/>
        </w:rPr>
        <w:t xml:space="preserve"> Resolución del Presidente en Ejercicio de la Corte Interamericana de Derechos Humanos de 19 de diciembre de 2013, Considerando 54.</w:t>
      </w:r>
    </w:p>
  </w:footnote>
  <w:footnote w:id="4">
    <w:p w:rsidR="00687A3A" w:rsidRPr="00C45F7B" w:rsidRDefault="00687A3A" w:rsidP="002A799F">
      <w:pPr>
        <w:pStyle w:val="Textonotapie"/>
        <w:jc w:val="both"/>
        <w:rPr>
          <w:rFonts w:ascii="Verdana" w:hAnsi="Verdana"/>
          <w:sz w:val="16"/>
          <w:szCs w:val="16"/>
          <w:lang w:val="es-CO"/>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r>
      <w:r w:rsidRPr="00C45F7B">
        <w:rPr>
          <w:rFonts w:ascii="Verdana" w:hAnsi="Verdana"/>
          <w:i/>
          <w:sz w:val="16"/>
          <w:szCs w:val="16"/>
        </w:rPr>
        <w:t xml:space="preserve">Cfr. Caso Masacre de Santo Domingo Vs. Colombia. </w:t>
      </w:r>
      <w:r w:rsidRPr="00C45F7B">
        <w:rPr>
          <w:rFonts w:ascii="Verdana" w:hAnsi="Verdana"/>
          <w:sz w:val="16"/>
          <w:szCs w:val="16"/>
        </w:rPr>
        <w:t xml:space="preserve">Resolución del Presidente de la Corte Interamericana de Derechos Humanos de 5 de junio de 2012, Considerando 26 y </w:t>
      </w:r>
      <w:r w:rsidRPr="00C45F7B">
        <w:rPr>
          <w:rFonts w:ascii="Verdana" w:hAnsi="Verdana"/>
          <w:i/>
          <w:sz w:val="16"/>
          <w:szCs w:val="16"/>
        </w:rPr>
        <w:t xml:space="preserve">Caso </w:t>
      </w:r>
      <w:proofErr w:type="spellStart"/>
      <w:r w:rsidRPr="00C45F7B">
        <w:rPr>
          <w:rFonts w:ascii="Verdana" w:hAnsi="Verdana"/>
          <w:i/>
          <w:sz w:val="16"/>
          <w:szCs w:val="16"/>
        </w:rPr>
        <w:t>Gudiel</w:t>
      </w:r>
      <w:proofErr w:type="spellEnd"/>
      <w:r w:rsidRPr="00C45F7B">
        <w:rPr>
          <w:rFonts w:ascii="Verdana" w:hAnsi="Verdana"/>
          <w:i/>
          <w:sz w:val="16"/>
          <w:szCs w:val="16"/>
        </w:rPr>
        <w:t xml:space="preserve"> Ramos y otros Vs. Guatemala. </w:t>
      </w:r>
      <w:r w:rsidRPr="00C45F7B">
        <w:rPr>
          <w:rFonts w:ascii="Verdana" w:hAnsi="Verdana"/>
          <w:sz w:val="16"/>
          <w:szCs w:val="16"/>
        </w:rPr>
        <w:t>Resolución del Presidente de la Corte Interamericana de Derechos Humanos de 20 de diciembre de 2013, Considerando 27</w:t>
      </w:r>
      <w:r w:rsidRPr="00C45F7B">
        <w:rPr>
          <w:rFonts w:ascii="Verdana" w:hAnsi="Verdana"/>
          <w:sz w:val="16"/>
          <w:szCs w:val="16"/>
          <w:lang w:val="es-CO"/>
        </w:rPr>
        <w:t>.</w:t>
      </w:r>
    </w:p>
  </w:footnote>
  <w:footnote w:id="5">
    <w:p w:rsidR="00687A3A" w:rsidRPr="00C45F7B" w:rsidRDefault="00687A3A" w:rsidP="002A799F">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Los representantes solicitaron que las declaraciones de las presuntas víctimas versarán sobre  “</w:t>
      </w:r>
      <w:r w:rsidRPr="00C45F7B">
        <w:rPr>
          <w:rFonts w:ascii="Verdana" w:hAnsi="Verdana" w:cs="BookAntiqua"/>
          <w:sz w:val="16"/>
          <w:szCs w:val="16"/>
          <w:lang w:eastAsia="es-CR"/>
        </w:rPr>
        <w:t>los parámetros de operación y gerencia de RCTV como televisora nacional abierta, los criterios de programación, búsqueda y divulgación de noticias, el ejercicio de la libertad de expresión de los accionistas y directivos a través de RCTV, las características de RCTV como empresa familiar, las amenazas personales y de no renovación de la concesión de RCTV por los altos funcionarios del Gobierno de Venezuela, la no renovación de la concesión por el Gobierno de Venezuela, el cierre de RCTV y las consecuencias para los directivos, accionistas y periodistas; la emisión de la señal de RCTV Internacional y su exclusión y salida del aire. Daños y perjuicios causados a los dueños, directivos y accionistas de RCTV por esas decisiones del Gobierno de Venezuela</w:t>
      </w:r>
      <w:r w:rsidRPr="00C45F7B">
        <w:rPr>
          <w:rFonts w:ascii="Verdana" w:hAnsi="Verdana"/>
          <w:sz w:val="16"/>
          <w:szCs w:val="16"/>
        </w:rPr>
        <w:t>”.</w:t>
      </w:r>
    </w:p>
  </w:footnote>
  <w:footnote w:id="6">
    <w:p w:rsidR="00687A3A" w:rsidRPr="00C45F7B" w:rsidRDefault="00687A3A" w:rsidP="002A799F">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Los representantes solicitaron que las declaraciones de cinco de los testigos propuestos se refieran sobre  “</w:t>
      </w:r>
      <w:r w:rsidRPr="00C45F7B">
        <w:rPr>
          <w:rFonts w:ascii="Verdana" w:hAnsi="Verdana" w:cs="BookAntiqua"/>
          <w:sz w:val="16"/>
          <w:szCs w:val="16"/>
          <w:lang w:eastAsia="es-CR"/>
        </w:rPr>
        <w:t>los parámetros de operación y gerencia de RCTV como televisora nacional abierta, los criterios de programación, búsqueda y divulgación de noticias, el ejercicio de la libertad de expresión de los accionistas y directivos a través de RCTV, las características de RCTV como empresa familiar, las amenazas personales y de no renovación de la concesión de RCTV por los altos funcionarios del Gobierno de Venezuela, la no renovación de la concesión por el Gobierno de Venezuela, el cierre de RCTV y las consecuencias para los directivos, accionistas y periodistas; la emisión de la señal de RCTV Internacional y su exclusión y salida del aire. Daños y perjuicios causados a los dueños, directivos y accionistas de RCTV por esas decisiones del Gobierno de Venezuela</w:t>
      </w:r>
      <w:r w:rsidRPr="00C45F7B">
        <w:rPr>
          <w:rFonts w:ascii="Verdana" w:hAnsi="Verdana"/>
          <w:sz w:val="16"/>
          <w:szCs w:val="16"/>
        </w:rPr>
        <w:t>”.</w:t>
      </w:r>
    </w:p>
  </w:footnote>
  <w:footnote w:id="7">
    <w:p w:rsidR="00687A3A" w:rsidRPr="00C45F7B" w:rsidRDefault="00687A3A" w:rsidP="00B420F1">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Los representantes solicitaron que la declaración del señor Bustamante se refiriera a “</w:t>
      </w:r>
      <w:r w:rsidRPr="00C45F7B">
        <w:rPr>
          <w:rFonts w:ascii="Verdana" w:hAnsi="Verdana"/>
          <w:sz w:val="16"/>
          <w:szCs w:val="16"/>
          <w:lang w:eastAsia="es-CR"/>
        </w:rPr>
        <w:t>los testimonios de los distintos trabajadores de RCTV sobre su experiencia personal vivida con ocasión del cierre de esa estación de televisión, los efectos morales y psicológicos causados a los trabajadores de RCTV así como los dramas humanos padecidos y sufridos</w:t>
      </w:r>
      <w:r w:rsidRPr="00C45F7B">
        <w:rPr>
          <w:rFonts w:ascii="Verdana" w:hAnsi="Verdana"/>
          <w:sz w:val="16"/>
          <w:szCs w:val="16"/>
        </w:rPr>
        <w:t>”.</w:t>
      </w:r>
    </w:p>
  </w:footnote>
  <w:footnote w:id="8">
    <w:p w:rsidR="00687A3A" w:rsidRPr="00C45F7B" w:rsidRDefault="00687A3A" w:rsidP="00B420F1">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Los representantes solicitaron que la declaración del señor Rubio Llorente se refiriera a “</w:t>
      </w:r>
      <w:r w:rsidRPr="00C45F7B">
        <w:rPr>
          <w:rFonts w:ascii="Verdana" w:hAnsi="Verdana"/>
          <w:sz w:val="16"/>
          <w:szCs w:val="16"/>
          <w:lang w:eastAsia="es-CR"/>
        </w:rPr>
        <w:t>la naturaleza jurídica de las empresas comunicacionales y sus consecuencias en el ejercicio de la libertad de expresión por parte de sus socios y directivos en una sociedad democrática. El peritaje desarrollará los aspectos relevantes sobre la especificidad del ejercicio de la libertad de expresión por las personas que constituyen y dirigen una empresa comunicacional. Como consecuencia de lo anterior, el peritaje deberá desarrollar las consecuencias y efectos en el ejercicio de la libertad de expresión de los socios y directivos de una empresa mediática que conlleva la restricción arbitraria del acceso a la concesión de uso del espectro radioeléctrico o de la cancelación o no renovación de manera arbitraria y discriminatoria de la concesión o habilitación de una estación de televisión como RCTV en el caso de Venezuela”.</w:t>
      </w:r>
    </w:p>
  </w:footnote>
  <w:footnote w:id="9">
    <w:p w:rsidR="00687A3A" w:rsidRPr="00C45F7B" w:rsidRDefault="00687A3A" w:rsidP="00B420F1">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 xml:space="preserve">Los representantes solicitaron que la declaración del señor </w:t>
      </w:r>
      <w:proofErr w:type="spellStart"/>
      <w:r w:rsidRPr="00C45F7B">
        <w:rPr>
          <w:rFonts w:ascii="Verdana" w:hAnsi="Verdana"/>
          <w:sz w:val="16"/>
          <w:szCs w:val="16"/>
        </w:rPr>
        <w:t>Morles</w:t>
      </w:r>
      <w:proofErr w:type="spellEnd"/>
      <w:r w:rsidRPr="00C45F7B">
        <w:rPr>
          <w:rFonts w:ascii="Verdana" w:hAnsi="Verdana"/>
          <w:sz w:val="16"/>
          <w:szCs w:val="16"/>
        </w:rPr>
        <w:t xml:space="preserve"> Hernández se refiriera a “</w:t>
      </w:r>
      <w:r w:rsidRPr="00C45F7B">
        <w:rPr>
          <w:rFonts w:ascii="Verdana" w:hAnsi="Verdana"/>
          <w:sz w:val="16"/>
          <w:szCs w:val="16"/>
          <w:lang w:eastAsia="es-CR"/>
        </w:rPr>
        <w:t>empresas comunicacionales como instrumentos  societarios para el ejercicio de la libertad de expresión, las extensión de las afectaciones a la empresa y a su patrimonio, y en consecuencia a sus accionistas, e incluso al patrimonio moral de sus accionistas. Como consecuencia de lo anterior, el peritaje desarrollará las relaciones jurídicas existentes entre los accionistas y los medios de comunicación como RCTV. Además, el peritaje desarrollará las excepciones al llamado velo corporativo existentes en aquellos casos de empresas familiares y cerradas, como es el caso de RCTV. Como consecuencia de lo anterior, el peritaje deberá desarrollar las consecuencias y efectos en el ejercicio de la libertad de expresión de los socios, al igual que el daño patrimonial causado, como afectación al derecho de propiedad”.</w:t>
      </w:r>
    </w:p>
  </w:footnote>
  <w:footnote w:id="10">
    <w:p w:rsidR="00687A3A" w:rsidRPr="00C45F7B" w:rsidRDefault="00687A3A" w:rsidP="00B420F1">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Los representantes solicitaron que la declaración del señor Ramos Tavares se refiriera a “</w:t>
      </w:r>
      <w:r w:rsidRPr="00C45F7B">
        <w:rPr>
          <w:rFonts w:ascii="Verdana" w:hAnsi="Verdana"/>
          <w:sz w:val="16"/>
          <w:szCs w:val="16"/>
          <w:lang w:eastAsia="es-CR"/>
        </w:rPr>
        <w:t>los estándares de la libertad de expresión internacionalmente reconocidos y la prohibición de discriminación. El peritaje promovido hará referencia especial a la aplicación de dichos estándares a los medios de comunicación y al régimen de asignación, renovación y remoción de licencias a éstos para la difusión abierta de su programación</w:t>
      </w:r>
      <w:r w:rsidRPr="00C45F7B">
        <w:rPr>
          <w:rFonts w:ascii="Verdana" w:hAnsi="Verdana"/>
          <w:sz w:val="16"/>
          <w:szCs w:val="16"/>
        </w:rPr>
        <w:t>”.</w:t>
      </w:r>
    </w:p>
  </w:footnote>
  <w:footnote w:id="11">
    <w:p w:rsidR="00687A3A" w:rsidRPr="00C45F7B" w:rsidRDefault="00687A3A" w:rsidP="00B420F1">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 xml:space="preserve">Los representantes solicitaron que la declaración del señor </w:t>
      </w:r>
      <w:proofErr w:type="spellStart"/>
      <w:r w:rsidRPr="00C45F7B">
        <w:rPr>
          <w:rFonts w:ascii="Verdana" w:hAnsi="Verdana"/>
          <w:sz w:val="16"/>
          <w:szCs w:val="16"/>
        </w:rPr>
        <w:t>Alayón</w:t>
      </w:r>
      <w:proofErr w:type="spellEnd"/>
      <w:r w:rsidRPr="00C45F7B">
        <w:rPr>
          <w:rFonts w:ascii="Verdana" w:hAnsi="Verdana"/>
          <w:sz w:val="16"/>
          <w:szCs w:val="16"/>
        </w:rPr>
        <w:t xml:space="preserve"> se refiriera a “</w:t>
      </w:r>
      <w:r w:rsidRPr="00C45F7B">
        <w:rPr>
          <w:rFonts w:ascii="Verdana" w:hAnsi="Verdana"/>
          <w:sz w:val="16"/>
          <w:szCs w:val="16"/>
          <w:lang w:eastAsia="es-CR"/>
        </w:rPr>
        <w:t>los daños económicos causados a los accionistas de RCTV con ocasión del cierre por la no renovación de la Concesión, así como por los equipos de RCTV incautados por las decisiones judiciales”.</w:t>
      </w:r>
    </w:p>
  </w:footnote>
  <w:footnote w:id="12">
    <w:p w:rsidR="00687A3A" w:rsidRPr="00C45F7B" w:rsidRDefault="00687A3A" w:rsidP="00B420F1">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 xml:space="preserve">Los representantes solicitaron que la declaración del señor </w:t>
      </w:r>
      <w:proofErr w:type="spellStart"/>
      <w:r w:rsidRPr="00C45F7B">
        <w:rPr>
          <w:rFonts w:ascii="Verdana" w:hAnsi="Verdana"/>
          <w:sz w:val="16"/>
          <w:szCs w:val="16"/>
        </w:rPr>
        <w:t>Pasquali</w:t>
      </w:r>
      <w:proofErr w:type="spellEnd"/>
      <w:r w:rsidRPr="00C45F7B">
        <w:rPr>
          <w:rFonts w:ascii="Verdana" w:hAnsi="Verdana"/>
          <w:sz w:val="16"/>
          <w:szCs w:val="16"/>
        </w:rPr>
        <w:t xml:space="preserve"> se refiriera a “</w:t>
      </w:r>
      <w:r w:rsidRPr="00C45F7B">
        <w:rPr>
          <w:rFonts w:ascii="Verdana" w:hAnsi="Verdana"/>
          <w:sz w:val="16"/>
          <w:szCs w:val="16"/>
          <w:lang w:eastAsia="es-CR"/>
        </w:rPr>
        <w:t>el efecto del cierre de RCTV por la no renovación de los permisos para la libertad de expresión en Venezuela, no sólo en la dimensión de sus periodistas, directivos y accionistas, sino desde la dimensión social para recibir informaciones y opiniones de toda índole sin censura previa. Se le pedirá también su opinión sobre el pluralismo de medios en una sociedad democrática y sobre cómo afecta esos principios el cese de operaciones de RCTV por habérsele denegado arbitrariamente la renovación de su Concesión</w:t>
      </w:r>
      <w:r w:rsidRPr="00C45F7B">
        <w:rPr>
          <w:rFonts w:ascii="Verdana" w:hAnsi="Verdana"/>
          <w:sz w:val="16"/>
          <w:szCs w:val="16"/>
        </w:rPr>
        <w:t>”.</w:t>
      </w:r>
    </w:p>
  </w:footnote>
  <w:footnote w:id="13">
    <w:p w:rsidR="00687A3A" w:rsidRPr="00C45F7B" w:rsidRDefault="00687A3A" w:rsidP="008B0E4F">
      <w:pPr>
        <w:autoSpaceDE w:val="0"/>
        <w:autoSpaceDN w:val="0"/>
        <w:adjustRightInd w:val="0"/>
        <w:jc w:val="both"/>
        <w:rPr>
          <w:rFonts w:ascii="Verdana" w:eastAsia="Calibri" w:hAnsi="Verdana" w:cs="Calibri"/>
          <w:sz w:val="16"/>
          <w:szCs w:val="16"/>
          <w:lang w:val="es-CR" w:eastAsia="en-US"/>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El Estado solicitó que la declaración del señor Romero Graterol se refiriera a “</w:t>
      </w:r>
      <w:r w:rsidRPr="00C45F7B">
        <w:rPr>
          <w:rFonts w:ascii="Verdana" w:eastAsia="Calibri" w:hAnsi="Verdana" w:cs="Calibri"/>
          <w:sz w:val="16"/>
          <w:szCs w:val="16"/>
          <w:lang w:val="es-CR" w:eastAsia="en-US"/>
        </w:rPr>
        <w:t>un análisis comparativo del procedimiento de Concesiones de uso del espectro radioeléctrico a nivel internacional y los estándares internacionales sobre las concesiones otorgadas”.</w:t>
      </w:r>
    </w:p>
  </w:footnote>
  <w:footnote w:id="14">
    <w:p w:rsidR="00687A3A" w:rsidRPr="00C45F7B" w:rsidRDefault="00687A3A" w:rsidP="00C43544">
      <w:pPr>
        <w:autoSpaceDE w:val="0"/>
        <w:autoSpaceDN w:val="0"/>
        <w:adjustRightInd w:val="0"/>
        <w:jc w:val="both"/>
        <w:rPr>
          <w:rFonts w:ascii="Verdana" w:eastAsia="Calibri" w:hAnsi="Verdana" w:cs="Calibri"/>
          <w:sz w:val="16"/>
          <w:szCs w:val="16"/>
          <w:lang w:val="es-CR" w:eastAsia="en-US"/>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El Estado solicitó que la declaración de la señora Hernández Vallen se refiriera a “</w:t>
      </w:r>
      <w:r w:rsidRPr="00C45F7B">
        <w:rPr>
          <w:rFonts w:ascii="Verdana" w:eastAsia="Calibri" w:hAnsi="Verdana" w:cs="Calibri"/>
          <w:sz w:val="16"/>
          <w:szCs w:val="16"/>
          <w:lang w:val="es-CR" w:eastAsia="en-US"/>
        </w:rPr>
        <w:t>las empresas de comunicacionales y la libertad de expresión. Así como, la concentración de los medios de comunicación social y los estándares internacionales de organismos de derechos humanos”.</w:t>
      </w:r>
    </w:p>
  </w:footnote>
  <w:footnote w:id="15">
    <w:p w:rsidR="00687A3A" w:rsidRPr="00C45F7B" w:rsidRDefault="00687A3A" w:rsidP="00C43544">
      <w:pPr>
        <w:autoSpaceDE w:val="0"/>
        <w:autoSpaceDN w:val="0"/>
        <w:adjustRightInd w:val="0"/>
        <w:jc w:val="both"/>
        <w:rPr>
          <w:rFonts w:ascii="Verdana" w:eastAsia="Calibri" w:hAnsi="Verdana" w:cs="Calibri"/>
          <w:sz w:val="16"/>
          <w:szCs w:val="16"/>
          <w:lang w:val="es-CR" w:eastAsia="en-US"/>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El Estado solicitó que la declaración del señor Artigas Pérez se refiriera a “</w:t>
      </w:r>
      <w:r w:rsidRPr="00C45F7B">
        <w:rPr>
          <w:rFonts w:ascii="Verdana" w:eastAsia="Calibri" w:hAnsi="Verdana" w:cs="Calibri"/>
          <w:sz w:val="16"/>
          <w:szCs w:val="16"/>
          <w:lang w:val="es-CR" w:eastAsia="en-US"/>
        </w:rPr>
        <w:t>los procesos de democratización y acceso a los medios de comunicación social como garantía de la libertad de expresión y sus estándares internacionales en los organismos de derechos humanos”.</w:t>
      </w:r>
    </w:p>
  </w:footnote>
  <w:footnote w:id="16">
    <w:p w:rsidR="00687A3A" w:rsidRPr="00C45F7B" w:rsidRDefault="00687A3A" w:rsidP="00C43544">
      <w:pPr>
        <w:autoSpaceDE w:val="0"/>
        <w:autoSpaceDN w:val="0"/>
        <w:adjustRightInd w:val="0"/>
        <w:jc w:val="both"/>
        <w:rPr>
          <w:rFonts w:ascii="Verdana" w:eastAsia="Calibri" w:hAnsi="Verdana" w:cs="Calibri"/>
          <w:sz w:val="16"/>
          <w:szCs w:val="16"/>
          <w:lang w:val="es-CR" w:eastAsia="en-US"/>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El Estado solicitó que la declaración del señor Suárez se refiriera a “</w:t>
      </w:r>
      <w:r w:rsidRPr="00C45F7B">
        <w:rPr>
          <w:rFonts w:ascii="Verdana" w:eastAsia="Calibri" w:hAnsi="Verdana" w:cs="Calibri"/>
          <w:sz w:val="16"/>
          <w:szCs w:val="16"/>
          <w:lang w:val="es-CR" w:eastAsia="en-US"/>
        </w:rPr>
        <w:t xml:space="preserve">como se otorgan las concesiones de Telecomunicaciones en Venezuela. Asimismo, el Proceso Administrativo realizado por CONATEL durante la renovación de la concesión de RCTV ante ese organismo y las razones que tuvo CONATEL para no aprobar la renovación de RCTV”. </w:t>
      </w:r>
    </w:p>
  </w:footnote>
  <w:footnote w:id="17">
    <w:p w:rsidR="00687A3A" w:rsidRPr="00C45F7B" w:rsidRDefault="00687A3A" w:rsidP="00C43544">
      <w:pPr>
        <w:autoSpaceDE w:val="0"/>
        <w:autoSpaceDN w:val="0"/>
        <w:adjustRightInd w:val="0"/>
        <w:jc w:val="both"/>
        <w:rPr>
          <w:rFonts w:ascii="Verdana" w:eastAsia="Calibri" w:hAnsi="Verdana" w:cs="Calibri"/>
          <w:sz w:val="16"/>
          <w:szCs w:val="16"/>
          <w:lang w:val="es-CR" w:eastAsia="en-US"/>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t>El Estado solicitó que la d</w:t>
      </w:r>
      <w:r>
        <w:rPr>
          <w:rFonts w:ascii="Verdana" w:hAnsi="Verdana"/>
          <w:sz w:val="16"/>
          <w:szCs w:val="16"/>
        </w:rPr>
        <w:t>eclaración del señor Castellano</w:t>
      </w:r>
      <w:r w:rsidRPr="00C45F7B">
        <w:rPr>
          <w:rFonts w:ascii="Verdana" w:hAnsi="Verdana"/>
          <w:sz w:val="16"/>
          <w:szCs w:val="16"/>
        </w:rPr>
        <w:t xml:space="preserve"> se refiriera a “</w:t>
      </w:r>
      <w:r w:rsidRPr="00C45F7B">
        <w:rPr>
          <w:rFonts w:ascii="Verdana" w:eastAsia="Calibri" w:hAnsi="Verdana" w:cs="Calibri"/>
          <w:sz w:val="16"/>
          <w:szCs w:val="16"/>
          <w:lang w:val="es-CR" w:eastAsia="en-US"/>
        </w:rPr>
        <w:t>el Proceso Penal sobre las denuncias realizada por RCTV y la Protección Cautelar de los Bienes de RCTV dictada por el Tribunal Supremo de Justicia y sus efectos jurídicos”.</w:t>
      </w:r>
    </w:p>
  </w:footnote>
  <w:footnote w:id="18">
    <w:p w:rsidR="00687A3A" w:rsidRPr="00C45F7B" w:rsidRDefault="00687A3A" w:rsidP="00CF55FC">
      <w:pPr>
        <w:pStyle w:val="Textonotapie"/>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r>
      <w:r w:rsidRPr="00C45F7B">
        <w:rPr>
          <w:rFonts w:ascii="Verdana" w:hAnsi="Verdana"/>
          <w:i/>
          <w:sz w:val="16"/>
          <w:szCs w:val="16"/>
        </w:rPr>
        <w:t xml:space="preserve">Cfr. Caso Cabrera García y Montiel Flores Vs. México. </w:t>
      </w:r>
      <w:r w:rsidRPr="00C45F7B">
        <w:rPr>
          <w:rFonts w:ascii="Verdana" w:hAnsi="Verdana"/>
          <w:sz w:val="16"/>
          <w:szCs w:val="16"/>
        </w:rPr>
        <w:t xml:space="preserve">Resolución </w:t>
      </w:r>
      <w:r>
        <w:rPr>
          <w:rFonts w:ascii="Verdana" w:hAnsi="Verdana"/>
          <w:sz w:val="16"/>
          <w:szCs w:val="16"/>
          <w:lang w:val="es-CL" w:eastAsia="en-US"/>
        </w:rPr>
        <w:t xml:space="preserve">del Presidente de la Corte </w:t>
      </w:r>
      <w:r w:rsidRPr="00C45F7B">
        <w:rPr>
          <w:rFonts w:ascii="Verdana" w:hAnsi="Verdana" w:cs="Verdana"/>
          <w:sz w:val="16"/>
          <w:szCs w:val="16"/>
          <w:lang w:eastAsia="en-US"/>
        </w:rPr>
        <w:t>Interamericana</w:t>
      </w:r>
      <w:r w:rsidRPr="00C45F7B">
        <w:rPr>
          <w:rFonts w:ascii="Verdana" w:hAnsi="Verdana"/>
          <w:sz w:val="16"/>
          <w:szCs w:val="16"/>
          <w:lang w:val="es-CL" w:eastAsia="en-US"/>
        </w:rPr>
        <w:t xml:space="preserve"> de Derechos Humanos</w:t>
      </w:r>
      <w:r w:rsidRPr="00C45F7B">
        <w:rPr>
          <w:rFonts w:ascii="Verdana" w:hAnsi="Verdana"/>
          <w:sz w:val="16"/>
          <w:szCs w:val="16"/>
        </w:rPr>
        <w:t xml:space="preserve"> de 2 de julio de 2010, Considerando 21, y </w:t>
      </w:r>
      <w:r w:rsidRPr="00C45F7B">
        <w:rPr>
          <w:rFonts w:ascii="Verdana" w:hAnsi="Verdana"/>
          <w:i/>
          <w:sz w:val="16"/>
          <w:szCs w:val="16"/>
        </w:rPr>
        <w:t xml:space="preserve">Caso </w:t>
      </w:r>
      <w:r>
        <w:rPr>
          <w:rFonts w:ascii="Verdana" w:hAnsi="Verdana"/>
          <w:i/>
          <w:sz w:val="16"/>
          <w:szCs w:val="16"/>
        </w:rPr>
        <w:t>Tarazona Arrieta</w:t>
      </w:r>
      <w:r w:rsidRPr="00C45F7B">
        <w:rPr>
          <w:rFonts w:ascii="Verdana" w:hAnsi="Verdana"/>
          <w:i/>
          <w:sz w:val="16"/>
          <w:szCs w:val="16"/>
        </w:rPr>
        <w:t xml:space="preserve"> y otros Vs. </w:t>
      </w:r>
      <w:r>
        <w:rPr>
          <w:rFonts w:ascii="Verdana" w:hAnsi="Verdana"/>
          <w:i/>
          <w:sz w:val="16"/>
          <w:szCs w:val="16"/>
        </w:rPr>
        <w:t>Perú</w:t>
      </w:r>
      <w:r w:rsidRPr="00C45F7B">
        <w:rPr>
          <w:rFonts w:ascii="Verdana" w:hAnsi="Verdana"/>
          <w:i/>
          <w:sz w:val="16"/>
          <w:szCs w:val="16"/>
        </w:rPr>
        <w:t xml:space="preserve">. </w:t>
      </w:r>
      <w:r w:rsidRPr="00C45F7B">
        <w:rPr>
          <w:rFonts w:ascii="Verdana" w:hAnsi="Verdana"/>
          <w:sz w:val="16"/>
          <w:szCs w:val="16"/>
        </w:rPr>
        <w:t xml:space="preserve">Resolución </w:t>
      </w:r>
      <w:r w:rsidRPr="00C45F7B">
        <w:rPr>
          <w:rFonts w:ascii="Verdana" w:hAnsi="Verdana"/>
          <w:sz w:val="16"/>
          <w:szCs w:val="16"/>
          <w:lang w:val="es-CL" w:eastAsia="en-US"/>
        </w:rPr>
        <w:t xml:space="preserve">del Presidente de la Corte </w:t>
      </w:r>
      <w:r w:rsidRPr="00C45F7B">
        <w:rPr>
          <w:rFonts w:ascii="Verdana" w:hAnsi="Verdana" w:cs="Verdana"/>
          <w:sz w:val="16"/>
          <w:szCs w:val="16"/>
          <w:lang w:eastAsia="en-US"/>
        </w:rPr>
        <w:t>Interamericana</w:t>
      </w:r>
      <w:r w:rsidRPr="00C45F7B">
        <w:rPr>
          <w:rFonts w:ascii="Verdana" w:hAnsi="Verdana"/>
          <w:sz w:val="16"/>
          <w:szCs w:val="16"/>
          <w:lang w:val="es-CL" w:eastAsia="en-US"/>
        </w:rPr>
        <w:t xml:space="preserve"> de Derechos Humanos</w:t>
      </w:r>
      <w:r>
        <w:rPr>
          <w:rFonts w:ascii="Verdana" w:hAnsi="Verdana"/>
          <w:sz w:val="16"/>
          <w:szCs w:val="16"/>
        </w:rPr>
        <w:t xml:space="preserve"> de 26 de marzo de 2014</w:t>
      </w:r>
      <w:r w:rsidRPr="00C45F7B">
        <w:rPr>
          <w:rFonts w:ascii="Verdana" w:hAnsi="Verdana"/>
          <w:sz w:val="16"/>
          <w:szCs w:val="16"/>
        </w:rPr>
        <w:t xml:space="preserve">, Considerando </w:t>
      </w:r>
      <w:r>
        <w:rPr>
          <w:rFonts w:ascii="Verdana" w:hAnsi="Verdana"/>
          <w:sz w:val="16"/>
          <w:szCs w:val="16"/>
        </w:rPr>
        <w:t>43</w:t>
      </w:r>
      <w:r w:rsidRPr="00C45F7B">
        <w:rPr>
          <w:rFonts w:ascii="Verdana" w:hAnsi="Verdana"/>
          <w:sz w:val="16"/>
          <w:szCs w:val="16"/>
        </w:rPr>
        <w:t>.</w:t>
      </w:r>
    </w:p>
  </w:footnote>
  <w:footnote w:id="19">
    <w:p w:rsidR="00687A3A" w:rsidRPr="00C45F7B" w:rsidRDefault="00687A3A" w:rsidP="00DB28AA">
      <w:pPr>
        <w:spacing w:after="120"/>
        <w:jc w:val="both"/>
        <w:rPr>
          <w:rFonts w:ascii="Verdana" w:hAnsi="Verdana"/>
          <w:sz w:val="16"/>
          <w:szCs w:val="16"/>
        </w:rPr>
      </w:pPr>
      <w:r w:rsidRPr="00C45F7B">
        <w:rPr>
          <w:rStyle w:val="Refdenotaalpie"/>
          <w:rFonts w:ascii="Verdana" w:hAnsi="Verdana" w:cs="Verdana"/>
          <w:sz w:val="16"/>
          <w:szCs w:val="16"/>
        </w:rPr>
        <w:footnoteRef/>
      </w:r>
      <w:r w:rsidRPr="00C45F7B">
        <w:rPr>
          <w:rFonts w:ascii="Verdana" w:hAnsi="Verdana" w:cs="Verdana"/>
          <w:sz w:val="16"/>
          <w:szCs w:val="16"/>
        </w:rPr>
        <w:t xml:space="preserve"> </w:t>
      </w:r>
      <w:r w:rsidRPr="00C45F7B">
        <w:rPr>
          <w:rFonts w:ascii="Verdana" w:hAnsi="Verdana" w:cs="Verdana"/>
          <w:sz w:val="16"/>
          <w:szCs w:val="16"/>
        </w:rPr>
        <w:tab/>
      </w:r>
      <w:r w:rsidRPr="00C45F7B">
        <w:rPr>
          <w:rFonts w:ascii="Verdana" w:hAnsi="Verdana" w:cs="Verdana"/>
          <w:i/>
          <w:iCs/>
          <w:sz w:val="16"/>
          <w:szCs w:val="16"/>
        </w:rPr>
        <w:t xml:space="preserve">Cfr. Caso </w:t>
      </w:r>
      <w:proofErr w:type="spellStart"/>
      <w:r w:rsidRPr="00C45F7B">
        <w:rPr>
          <w:rFonts w:ascii="Verdana" w:hAnsi="Verdana" w:cs="Verdana"/>
          <w:i/>
          <w:iCs/>
          <w:color w:val="000000"/>
          <w:sz w:val="16"/>
          <w:szCs w:val="16"/>
        </w:rPr>
        <w:t>Norín</w:t>
      </w:r>
      <w:proofErr w:type="spellEnd"/>
      <w:r w:rsidRPr="00C45F7B">
        <w:rPr>
          <w:rFonts w:ascii="Verdana" w:hAnsi="Verdana" w:cs="Verdana"/>
          <w:i/>
          <w:iCs/>
          <w:color w:val="000000"/>
          <w:sz w:val="16"/>
          <w:szCs w:val="16"/>
        </w:rPr>
        <w:t xml:space="preserve"> </w:t>
      </w:r>
      <w:proofErr w:type="spellStart"/>
      <w:r w:rsidRPr="00C45F7B">
        <w:rPr>
          <w:rFonts w:ascii="Verdana" w:hAnsi="Verdana" w:cs="Verdana"/>
          <w:i/>
          <w:iCs/>
          <w:color w:val="000000"/>
          <w:sz w:val="16"/>
          <w:szCs w:val="16"/>
        </w:rPr>
        <w:t>Catrimán</w:t>
      </w:r>
      <w:proofErr w:type="spellEnd"/>
      <w:r w:rsidRPr="00C45F7B">
        <w:rPr>
          <w:rFonts w:ascii="Verdana" w:hAnsi="Verdana" w:cs="Verdana"/>
          <w:i/>
          <w:iCs/>
          <w:color w:val="000000"/>
          <w:sz w:val="16"/>
          <w:szCs w:val="16"/>
        </w:rPr>
        <w:t xml:space="preserve"> y otros (</w:t>
      </w:r>
      <w:proofErr w:type="spellStart"/>
      <w:r w:rsidRPr="00C45F7B">
        <w:rPr>
          <w:rFonts w:ascii="Verdana" w:hAnsi="Verdana" w:cs="Verdana"/>
          <w:i/>
          <w:iCs/>
          <w:color w:val="000000"/>
          <w:sz w:val="16"/>
          <w:szCs w:val="16"/>
        </w:rPr>
        <w:t>Lonkos</w:t>
      </w:r>
      <w:proofErr w:type="spellEnd"/>
      <w:r w:rsidRPr="00C45F7B">
        <w:rPr>
          <w:rFonts w:ascii="Verdana" w:hAnsi="Verdana" w:cs="Verdana"/>
          <w:i/>
          <w:iCs/>
          <w:color w:val="000000"/>
          <w:sz w:val="16"/>
          <w:szCs w:val="16"/>
        </w:rPr>
        <w:t>, dirigentes y activistas del pueblo indígena Mapuche) vs. Chile.</w:t>
      </w:r>
      <w:r w:rsidRPr="00C45F7B">
        <w:rPr>
          <w:rFonts w:ascii="Verdana" w:hAnsi="Verdana" w:cs="Verdana"/>
          <w:color w:val="000000"/>
          <w:sz w:val="16"/>
          <w:szCs w:val="16"/>
        </w:rPr>
        <w:t xml:space="preserve"> Resolución del Presidente, 30 abril 2013</w:t>
      </w:r>
      <w:r w:rsidRPr="00C45F7B">
        <w:rPr>
          <w:rFonts w:ascii="Verdana" w:hAnsi="Verdana" w:cs="Verdana"/>
          <w:sz w:val="16"/>
          <w:szCs w:val="16"/>
        </w:rPr>
        <w:t xml:space="preserve">, Considerandos 23 a 25. </w:t>
      </w:r>
    </w:p>
  </w:footnote>
  <w:footnote w:id="20">
    <w:p w:rsidR="00687A3A" w:rsidRPr="00C45F7B" w:rsidRDefault="00687A3A" w:rsidP="00FB169A">
      <w:pPr>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r>
      <w:r w:rsidRPr="00FF16C6">
        <w:rPr>
          <w:rFonts w:ascii="Verdana" w:hAnsi="Verdana"/>
          <w:i/>
          <w:sz w:val="16"/>
          <w:szCs w:val="16"/>
        </w:rPr>
        <w:t>Cfr.</w:t>
      </w:r>
      <w:r w:rsidRPr="00C45F7B">
        <w:rPr>
          <w:rFonts w:ascii="Verdana" w:hAnsi="Verdana"/>
          <w:sz w:val="16"/>
          <w:szCs w:val="16"/>
        </w:rPr>
        <w:t xml:space="preserve"> </w:t>
      </w:r>
      <w:r w:rsidRPr="00C45F7B">
        <w:rPr>
          <w:rFonts w:ascii="Verdana" w:hAnsi="Verdana"/>
          <w:bCs/>
          <w:sz w:val="16"/>
          <w:szCs w:val="16"/>
        </w:rPr>
        <w:t xml:space="preserve">Caso </w:t>
      </w:r>
      <w:proofErr w:type="spellStart"/>
      <w:r w:rsidRPr="00C45F7B">
        <w:rPr>
          <w:rFonts w:ascii="Verdana" w:hAnsi="Verdana"/>
          <w:bCs/>
          <w:sz w:val="16"/>
          <w:szCs w:val="16"/>
        </w:rPr>
        <w:t>Usón</w:t>
      </w:r>
      <w:proofErr w:type="spellEnd"/>
      <w:r w:rsidRPr="00C45F7B">
        <w:rPr>
          <w:rFonts w:ascii="Verdana" w:hAnsi="Verdana"/>
          <w:bCs/>
          <w:sz w:val="16"/>
          <w:szCs w:val="16"/>
        </w:rPr>
        <w:t xml:space="preserve"> Ramírez Vs. Venezuela. Resolución de la Presidenta de la Corte Interamericana de Derechos Humanos de 23 de febrero de 2009. </w:t>
      </w:r>
      <w:r w:rsidRPr="00C45F7B">
        <w:rPr>
          <w:rFonts w:ascii="Verdana" w:hAnsi="Verdana"/>
          <w:sz w:val="16"/>
          <w:szCs w:val="16"/>
        </w:rPr>
        <w:t xml:space="preserve">Párrafo Considerativo 6. </w:t>
      </w:r>
    </w:p>
  </w:footnote>
  <w:footnote w:id="21">
    <w:p w:rsidR="00687A3A" w:rsidRPr="00C45F7B" w:rsidRDefault="00687A3A" w:rsidP="00926192">
      <w:pPr>
        <w:pStyle w:val="Textonotapie"/>
        <w:jc w:val="both"/>
        <w:rPr>
          <w:rFonts w:ascii="Verdana" w:hAnsi="Verdana"/>
          <w:sz w:val="16"/>
          <w:szCs w:val="16"/>
          <w:lang w:val="es-ES_tradnl"/>
        </w:rPr>
      </w:pPr>
      <w:r w:rsidRPr="00C45F7B">
        <w:rPr>
          <w:rStyle w:val="Refdenotaalpie"/>
          <w:rFonts w:ascii="Verdana" w:hAnsi="Verdana"/>
          <w:sz w:val="16"/>
          <w:szCs w:val="16"/>
        </w:rPr>
        <w:footnoteRef/>
      </w:r>
      <w:r w:rsidRPr="00C45F7B">
        <w:rPr>
          <w:rFonts w:ascii="Verdana" w:hAnsi="Verdana"/>
          <w:sz w:val="16"/>
          <w:szCs w:val="16"/>
          <w:lang w:val="es-ES_tradnl"/>
        </w:rPr>
        <w:t xml:space="preserve"> </w:t>
      </w:r>
      <w:r w:rsidRPr="00C45F7B">
        <w:rPr>
          <w:rFonts w:ascii="Verdana" w:hAnsi="Verdana"/>
          <w:sz w:val="16"/>
          <w:szCs w:val="16"/>
          <w:lang w:val="es-ES_tradnl"/>
        </w:rPr>
        <w:tab/>
      </w:r>
      <w:r w:rsidRPr="00FF16C6">
        <w:rPr>
          <w:rFonts w:ascii="Verdana" w:hAnsi="Verdana"/>
          <w:i/>
          <w:sz w:val="16"/>
          <w:szCs w:val="16"/>
          <w:lang w:val="es-ES_tradnl"/>
        </w:rPr>
        <w:t>Cfr.</w:t>
      </w:r>
      <w:r w:rsidRPr="00C45F7B">
        <w:rPr>
          <w:rFonts w:ascii="Verdana" w:hAnsi="Verdana"/>
          <w:sz w:val="16"/>
          <w:szCs w:val="16"/>
          <w:lang w:val="es-ES_tradnl"/>
        </w:rPr>
        <w:t xml:space="preserve"> Caso </w:t>
      </w:r>
      <w:proofErr w:type="spellStart"/>
      <w:r w:rsidRPr="00C45F7B">
        <w:rPr>
          <w:rFonts w:ascii="Verdana" w:hAnsi="Verdana"/>
          <w:sz w:val="16"/>
          <w:szCs w:val="16"/>
          <w:lang w:val="es-ES_tradnl"/>
        </w:rPr>
        <w:t>Uzcátegui</w:t>
      </w:r>
      <w:proofErr w:type="spellEnd"/>
      <w:r w:rsidRPr="00C45F7B">
        <w:rPr>
          <w:rFonts w:ascii="Verdana" w:hAnsi="Verdana"/>
          <w:sz w:val="16"/>
          <w:szCs w:val="16"/>
          <w:lang w:val="es-ES_tradnl"/>
        </w:rPr>
        <w:t xml:space="preserve"> vs. Venezuela, </w:t>
      </w:r>
      <w:proofErr w:type="spellStart"/>
      <w:r w:rsidRPr="00C45F7B">
        <w:rPr>
          <w:rFonts w:ascii="Verdana" w:hAnsi="Verdana"/>
          <w:sz w:val="16"/>
          <w:szCs w:val="16"/>
          <w:lang w:val="es-ES_tradnl"/>
        </w:rPr>
        <w:t>Resolucion</w:t>
      </w:r>
      <w:proofErr w:type="spellEnd"/>
      <w:r w:rsidRPr="00C45F7B">
        <w:rPr>
          <w:rFonts w:ascii="Verdana" w:hAnsi="Verdana"/>
          <w:sz w:val="16"/>
          <w:szCs w:val="16"/>
          <w:lang w:val="es-ES_tradnl"/>
        </w:rPr>
        <w:t xml:space="preserve"> del Presidente de la Corte Interamericana de Derechos Humanos de 3 de noviembre de 2011, considerando 17</w:t>
      </w:r>
      <w:r>
        <w:rPr>
          <w:rFonts w:ascii="Verdana" w:hAnsi="Verdana"/>
          <w:sz w:val="16"/>
          <w:szCs w:val="16"/>
          <w:lang w:val="es-ES_tradnl"/>
        </w:rPr>
        <w:t>.</w:t>
      </w:r>
      <w:r w:rsidRPr="00C45F7B">
        <w:rPr>
          <w:rFonts w:ascii="Verdana" w:hAnsi="Verdana"/>
          <w:sz w:val="16"/>
          <w:szCs w:val="16"/>
          <w:lang w:val="es-ES_tradnl"/>
        </w:rPr>
        <w:t xml:space="preserve"> </w:t>
      </w:r>
    </w:p>
  </w:footnote>
  <w:footnote w:id="22">
    <w:p w:rsidR="00687A3A" w:rsidRPr="00C45F7B" w:rsidRDefault="00687A3A" w:rsidP="00B65CD9">
      <w:pPr>
        <w:pStyle w:val="Textonotapie"/>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sidRPr="00C45F7B">
        <w:rPr>
          <w:rFonts w:ascii="Verdana" w:hAnsi="Verdana"/>
          <w:sz w:val="16"/>
          <w:szCs w:val="16"/>
        </w:rPr>
        <w:tab/>
      </w:r>
      <w:proofErr w:type="spellStart"/>
      <w:r w:rsidRPr="00C45F7B">
        <w:rPr>
          <w:rFonts w:ascii="Verdana" w:hAnsi="Verdana"/>
          <w:sz w:val="16"/>
          <w:szCs w:val="16"/>
        </w:rPr>
        <w:t>Curriculum</w:t>
      </w:r>
      <w:proofErr w:type="spellEnd"/>
      <w:r w:rsidRPr="00C45F7B">
        <w:rPr>
          <w:rFonts w:ascii="Verdana" w:hAnsi="Verdana"/>
          <w:sz w:val="16"/>
          <w:szCs w:val="16"/>
        </w:rPr>
        <w:t xml:space="preserve"> Ana María Hernández (expediente de anexos a la contestación, tomo XXIII, folio 24923).</w:t>
      </w:r>
    </w:p>
  </w:footnote>
  <w:footnote w:id="23">
    <w:p w:rsidR="00687A3A" w:rsidRPr="00364754" w:rsidRDefault="00687A3A" w:rsidP="00364754">
      <w:pPr>
        <w:tabs>
          <w:tab w:val="left" w:pos="567"/>
        </w:tabs>
        <w:autoSpaceDE w:val="0"/>
        <w:autoSpaceDN w:val="0"/>
        <w:adjustRightInd w:val="0"/>
        <w:jc w:val="both"/>
        <w:rPr>
          <w:rFonts w:ascii="Verdana" w:hAnsi="Verdana" w:cs="Verdana"/>
          <w:b/>
          <w:sz w:val="16"/>
          <w:szCs w:val="16"/>
          <w:lang w:val="es-CR"/>
        </w:rPr>
      </w:pPr>
      <w:r w:rsidRPr="00C45F7B">
        <w:rPr>
          <w:rStyle w:val="Refdenotaalpie"/>
          <w:rFonts w:ascii="Verdana" w:hAnsi="Verdana"/>
          <w:sz w:val="16"/>
          <w:szCs w:val="16"/>
        </w:rPr>
        <w:footnoteRef/>
      </w:r>
      <w:r w:rsidRPr="00364754">
        <w:rPr>
          <w:rFonts w:ascii="Verdana" w:hAnsi="Verdana"/>
          <w:sz w:val="16"/>
          <w:szCs w:val="16"/>
        </w:rPr>
        <w:t xml:space="preserve"> </w:t>
      </w:r>
      <w:r w:rsidRPr="00364754">
        <w:rPr>
          <w:rFonts w:ascii="Verdana" w:hAnsi="Verdana"/>
          <w:sz w:val="16"/>
          <w:szCs w:val="16"/>
        </w:rPr>
        <w:tab/>
      </w:r>
      <w:proofErr w:type="spellStart"/>
      <w:r w:rsidRPr="00364754">
        <w:rPr>
          <w:rFonts w:ascii="Verdana" w:hAnsi="Verdana"/>
          <w:sz w:val="16"/>
          <w:szCs w:val="16"/>
        </w:rPr>
        <w:t>Curriculum</w:t>
      </w:r>
      <w:proofErr w:type="spellEnd"/>
      <w:r w:rsidRPr="00364754">
        <w:rPr>
          <w:rFonts w:ascii="Verdana" w:hAnsi="Verdana"/>
          <w:sz w:val="16"/>
          <w:szCs w:val="16"/>
        </w:rPr>
        <w:t xml:space="preserve"> </w:t>
      </w:r>
      <w:r w:rsidRPr="00364754">
        <w:rPr>
          <w:rFonts w:ascii="Verdana" w:hAnsi="Verdana" w:cs="Verdana"/>
          <w:sz w:val="16"/>
          <w:szCs w:val="16"/>
          <w:lang w:val="es-CR"/>
        </w:rPr>
        <w:t>Francisco Artigas Pérez</w:t>
      </w:r>
      <w:r w:rsidRPr="00364754">
        <w:rPr>
          <w:rFonts w:ascii="Verdana" w:hAnsi="Verdana"/>
          <w:sz w:val="16"/>
          <w:szCs w:val="16"/>
        </w:rPr>
        <w:t xml:space="preserve"> (expediente de anexos a la contestación, tomo XXIII, folio 24920 y 24921).</w:t>
      </w:r>
    </w:p>
  </w:footnote>
  <w:footnote w:id="24">
    <w:p w:rsidR="00687A3A" w:rsidRPr="00C45F7B" w:rsidRDefault="00687A3A" w:rsidP="00C45F7B">
      <w:pPr>
        <w:pStyle w:val="Textonotapie"/>
        <w:jc w:val="both"/>
        <w:rPr>
          <w:rFonts w:ascii="Verdana" w:hAnsi="Verdana"/>
          <w:sz w:val="16"/>
          <w:szCs w:val="16"/>
        </w:rPr>
      </w:pPr>
      <w:r w:rsidRPr="00364754">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Pr="004916BC">
        <w:rPr>
          <w:rFonts w:ascii="Verdana" w:hAnsi="Verdana"/>
          <w:bCs/>
          <w:i/>
          <w:sz w:val="16"/>
          <w:szCs w:val="16"/>
        </w:rPr>
        <w:t>Cfr.</w:t>
      </w:r>
      <w:r w:rsidRPr="00364754">
        <w:rPr>
          <w:rFonts w:ascii="Verdana" w:hAnsi="Verdana"/>
          <w:bCs/>
          <w:sz w:val="16"/>
          <w:szCs w:val="16"/>
        </w:rPr>
        <w:t xml:space="preserve"> Caso Radilla Pacheco Vs. México. Resolución de la Presidenta de la Corte Interamericana de Derechos Humanos de 29 de mayo de 2009. </w:t>
      </w:r>
      <w:r w:rsidRPr="00364754">
        <w:rPr>
          <w:rFonts w:ascii="Verdana" w:hAnsi="Verdana"/>
          <w:sz w:val="16"/>
          <w:szCs w:val="16"/>
        </w:rPr>
        <w:t xml:space="preserve">Párrafos Considerativos 39, 44 y 50 y </w:t>
      </w:r>
      <w:r w:rsidRPr="00364754">
        <w:rPr>
          <w:rFonts w:ascii="Verdana" w:hAnsi="Verdana"/>
          <w:bCs/>
          <w:sz w:val="16"/>
          <w:szCs w:val="16"/>
        </w:rPr>
        <w:t xml:space="preserve">Caso </w:t>
      </w:r>
      <w:proofErr w:type="spellStart"/>
      <w:r w:rsidRPr="00364754">
        <w:rPr>
          <w:rFonts w:ascii="Verdana" w:hAnsi="Verdana"/>
          <w:bCs/>
          <w:sz w:val="16"/>
          <w:szCs w:val="16"/>
        </w:rPr>
        <w:t>Usón</w:t>
      </w:r>
      <w:proofErr w:type="spellEnd"/>
      <w:r w:rsidRPr="00364754">
        <w:rPr>
          <w:rFonts w:ascii="Verdana" w:hAnsi="Verdana"/>
          <w:bCs/>
          <w:sz w:val="16"/>
          <w:szCs w:val="16"/>
        </w:rPr>
        <w:t xml:space="preserve"> Ramírez Vs. Venezuela. Resolución de la Presidenta de la Corte Interamericana de Derechos Humanos de 23 de febrero de 2009. </w:t>
      </w:r>
      <w:r w:rsidRPr="00364754">
        <w:rPr>
          <w:rFonts w:ascii="Verdana" w:hAnsi="Verdana"/>
          <w:sz w:val="16"/>
          <w:szCs w:val="16"/>
        </w:rPr>
        <w:t>Párrafo Considerativo</w:t>
      </w:r>
      <w:r w:rsidRPr="00C45F7B">
        <w:rPr>
          <w:rFonts w:ascii="Verdana" w:hAnsi="Verdana"/>
          <w:sz w:val="16"/>
          <w:szCs w:val="16"/>
        </w:rPr>
        <w:t xml:space="preserve"> 6.</w:t>
      </w:r>
    </w:p>
  </w:footnote>
  <w:footnote w:id="25">
    <w:p w:rsidR="00687A3A" w:rsidRPr="00C45F7B" w:rsidRDefault="00687A3A" w:rsidP="00B33357">
      <w:pPr>
        <w:jc w:val="both"/>
        <w:rPr>
          <w:rFonts w:ascii="Verdana" w:hAnsi="Verdana"/>
          <w:sz w:val="16"/>
          <w:szCs w:val="16"/>
        </w:rPr>
      </w:pPr>
      <w:r w:rsidRPr="00C45F7B">
        <w:rPr>
          <w:rStyle w:val="Refdenotaalpie"/>
          <w:rFonts w:ascii="Verdana" w:hAnsi="Verdana"/>
          <w:sz w:val="16"/>
          <w:szCs w:val="16"/>
        </w:rPr>
        <w:footnoteRef/>
      </w:r>
      <w:r w:rsidRPr="00C45F7B">
        <w:rPr>
          <w:rFonts w:ascii="Verdana" w:hAnsi="Verdana"/>
          <w:sz w:val="16"/>
          <w:szCs w:val="16"/>
        </w:rPr>
        <w:t xml:space="preserve"> </w:t>
      </w:r>
      <w:r>
        <w:rPr>
          <w:rFonts w:ascii="Verdana" w:hAnsi="Verdana"/>
          <w:sz w:val="16"/>
          <w:szCs w:val="16"/>
        </w:rPr>
        <w:tab/>
      </w:r>
      <w:r w:rsidRPr="004916BC">
        <w:rPr>
          <w:rFonts w:ascii="Verdana" w:hAnsi="Verdana"/>
          <w:bCs/>
          <w:i/>
          <w:sz w:val="16"/>
          <w:szCs w:val="16"/>
        </w:rPr>
        <w:t>Cfr.</w:t>
      </w:r>
      <w:r w:rsidRPr="00C45F7B">
        <w:rPr>
          <w:rFonts w:ascii="Verdana" w:hAnsi="Verdana"/>
          <w:bCs/>
          <w:sz w:val="16"/>
          <w:szCs w:val="16"/>
        </w:rPr>
        <w:t xml:space="preserve"> Caso Radilla Pacheco Vs. México. Resolución de la Presidenta de la Corte Interamericana de Derechos Humanos de 29 de mayo de 2009. </w:t>
      </w:r>
      <w:r w:rsidRPr="00C45F7B">
        <w:rPr>
          <w:rFonts w:ascii="Verdana" w:hAnsi="Verdana"/>
          <w:sz w:val="16"/>
          <w:szCs w:val="16"/>
        </w:rPr>
        <w:t xml:space="preserve">Párrafos Considerativos 39, 44 y 50. </w:t>
      </w:r>
    </w:p>
  </w:footnote>
  <w:footnote w:id="26">
    <w:p w:rsidR="00687A3A" w:rsidRPr="009D22AD" w:rsidRDefault="00687A3A" w:rsidP="009C2A17">
      <w:pPr>
        <w:pStyle w:val="Textonotapie"/>
        <w:jc w:val="both"/>
        <w:rPr>
          <w:rFonts w:ascii="Verdana" w:hAnsi="Verdana"/>
          <w:sz w:val="16"/>
          <w:szCs w:val="16"/>
        </w:rPr>
      </w:pPr>
      <w:r>
        <w:rPr>
          <w:rStyle w:val="Refdenotaalpie"/>
          <w:rFonts w:ascii="Verdana" w:hAnsi="Verdana"/>
          <w:sz w:val="16"/>
          <w:szCs w:val="16"/>
        </w:rPr>
        <w:footnoteRef/>
      </w:r>
      <w:r w:rsidRPr="00D27F63">
        <w:rPr>
          <w:rFonts w:ascii="Verdana" w:hAnsi="Verdana"/>
          <w:sz w:val="16"/>
          <w:szCs w:val="16"/>
        </w:rPr>
        <w:t xml:space="preserve"> </w:t>
      </w:r>
      <w:r w:rsidRPr="00D27F63">
        <w:rPr>
          <w:rFonts w:ascii="Verdana" w:hAnsi="Verdana"/>
          <w:sz w:val="16"/>
          <w:szCs w:val="16"/>
        </w:rPr>
        <w:tab/>
      </w:r>
      <w:r w:rsidRPr="00D27F63">
        <w:rPr>
          <w:rFonts w:ascii="Verdana" w:hAnsi="Verdana"/>
          <w:i/>
          <w:sz w:val="16"/>
          <w:szCs w:val="16"/>
        </w:rPr>
        <w:t xml:space="preserve">Cfr. Caso Pacheco Tineo Vs. Bolivia. </w:t>
      </w:r>
      <w:r w:rsidRPr="00D27F63">
        <w:rPr>
          <w:rFonts w:ascii="Verdana" w:hAnsi="Verdana"/>
          <w:sz w:val="16"/>
          <w:szCs w:val="16"/>
        </w:rPr>
        <w:t>Resolución del Presidente de la Corte Interamericana de Derechos Humanos de 19 de febrero de 2013, Considerando 54, y</w:t>
      </w:r>
      <w:r w:rsidRPr="00D27F63">
        <w:rPr>
          <w:rFonts w:ascii="Verdana" w:hAnsi="Verdana"/>
          <w:i/>
          <w:sz w:val="16"/>
          <w:szCs w:val="16"/>
        </w:rPr>
        <w:t xml:space="preserve"> Caso </w:t>
      </w:r>
      <w:proofErr w:type="spellStart"/>
      <w:r w:rsidRPr="00D27F63">
        <w:rPr>
          <w:rFonts w:ascii="Verdana" w:hAnsi="Verdana"/>
          <w:i/>
          <w:sz w:val="16"/>
          <w:szCs w:val="16"/>
        </w:rPr>
        <w:t>Tide</w:t>
      </w:r>
      <w:proofErr w:type="spellEnd"/>
      <w:r w:rsidRPr="00D27F63">
        <w:rPr>
          <w:rFonts w:ascii="Verdana" w:hAnsi="Verdana"/>
          <w:i/>
          <w:sz w:val="16"/>
          <w:szCs w:val="16"/>
        </w:rPr>
        <w:t xml:space="preserve"> Méndez y otros Vs. República Dominicana</w:t>
      </w:r>
      <w:r w:rsidRPr="00D27F63">
        <w:rPr>
          <w:rFonts w:ascii="Verdana" w:hAnsi="Verdana"/>
          <w:sz w:val="16"/>
          <w:szCs w:val="16"/>
        </w:rPr>
        <w:t xml:space="preserve">. Resolución del Presidente de la Corte Interamericana de Derechos Humanos de 6 de septiembre de 2013, Considerando 55.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3A" w:rsidRDefault="00CF10D6">
    <w:pPr>
      <w:pStyle w:val="Encabezado"/>
      <w:jc w:val="center"/>
    </w:pPr>
    <w:r w:rsidRPr="00EF1274">
      <w:rPr>
        <w:rFonts w:ascii="Verdana" w:hAnsi="Verdana"/>
        <w:sz w:val="20"/>
        <w:szCs w:val="20"/>
      </w:rPr>
      <w:fldChar w:fldCharType="begin"/>
    </w:r>
    <w:r w:rsidR="00687A3A" w:rsidRPr="00EF1274">
      <w:rPr>
        <w:rFonts w:ascii="Verdana" w:hAnsi="Verdana"/>
        <w:sz w:val="20"/>
        <w:szCs w:val="20"/>
      </w:rPr>
      <w:instrText xml:space="preserve"> PAGE   \* MERGEFORMAT </w:instrText>
    </w:r>
    <w:r w:rsidRPr="00EF1274">
      <w:rPr>
        <w:rFonts w:ascii="Verdana" w:hAnsi="Verdana"/>
        <w:sz w:val="20"/>
        <w:szCs w:val="20"/>
      </w:rPr>
      <w:fldChar w:fldCharType="separate"/>
    </w:r>
    <w:r w:rsidR="00B724EC">
      <w:rPr>
        <w:rFonts w:ascii="Verdana" w:hAnsi="Verdana"/>
        <w:noProof/>
        <w:sz w:val="20"/>
        <w:szCs w:val="20"/>
      </w:rPr>
      <w:t>18</w:t>
    </w:r>
    <w:r w:rsidRPr="00EF1274">
      <w:rPr>
        <w:rFonts w:ascii="Verdana" w:hAnsi="Verdana"/>
        <w:sz w:val="20"/>
        <w:szCs w:val="20"/>
      </w:rPr>
      <w:fldChar w:fldCharType="end"/>
    </w:r>
  </w:p>
  <w:p w:rsidR="00687A3A" w:rsidRDefault="00687A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541"/>
    <w:multiLevelType w:val="multilevel"/>
    <w:tmpl w:val="02F4CE0A"/>
    <w:lvl w:ilvl="0">
      <w:start w:val="1"/>
      <w:numFmt w:val="upperLetter"/>
      <w:lvlText w:val="%1."/>
      <w:lvlJc w:val="left"/>
      <w:pPr>
        <w:ind w:left="720" w:hanging="360"/>
      </w:pPr>
      <w:rPr>
        <w:rFonts w:hint="default"/>
        <w:b/>
        <w:bCs/>
      </w:rPr>
    </w:lvl>
    <w:lvl w:ilvl="1">
      <w:start w:val="1"/>
      <w:numFmt w:val="none"/>
      <w:lvlText w:val="c.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D7319D"/>
    <w:multiLevelType w:val="hybridMultilevel"/>
    <w:tmpl w:val="11BA728C"/>
    <w:lvl w:ilvl="0" w:tplc="4AA2A53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A9406AB"/>
    <w:multiLevelType w:val="hybridMultilevel"/>
    <w:tmpl w:val="9B1E3614"/>
    <w:lvl w:ilvl="0" w:tplc="6DC6B27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9C3B27"/>
    <w:multiLevelType w:val="hybridMultilevel"/>
    <w:tmpl w:val="F1444D72"/>
    <w:lvl w:ilvl="0" w:tplc="72B2987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478038E"/>
    <w:multiLevelType w:val="hybridMultilevel"/>
    <w:tmpl w:val="36E2F91E"/>
    <w:lvl w:ilvl="0" w:tplc="888ABF6E">
      <w:start w:val="1"/>
      <w:numFmt w:val="decimal"/>
      <w:lvlText w:val="%1."/>
      <w:lvlJc w:val="left"/>
      <w:pPr>
        <w:tabs>
          <w:tab w:val="num" w:pos="360"/>
        </w:tabs>
        <w:ind w:left="360" w:hanging="360"/>
      </w:pPr>
      <w:rPr>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8BE5F04"/>
    <w:multiLevelType w:val="hybridMultilevel"/>
    <w:tmpl w:val="C572362E"/>
    <w:lvl w:ilvl="0" w:tplc="949483FC">
      <w:start w:val="1"/>
      <w:numFmt w:val="upperLetter"/>
      <w:lvlText w:val="%1)"/>
      <w:lvlJc w:val="left"/>
      <w:pPr>
        <w:ind w:left="720" w:hanging="360"/>
      </w:pPr>
      <w:rPr>
        <w:rFonts w:hint="default"/>
        <w:b/>
        <w:bCs/>
        <w:i/>
        <w:i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19F57F3B"/>
    <w:multiLevelType w:val="hybridMultilevel"/>
    <w:tmpl w:val="C69CC34E"/>
    <w:lvl w:ilvl="0" w:tplc="168E8B98">
      <w:start w:val="1"/>
      <w:numFmt w:val="upperLetter"/>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7">
    <w:nsid w:val="1CEA6FB4"/>
    <w:multiLevelType w:val="hybridMultilevel"/>
    <w:tmpl w:val="D94CBD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E833FB7"/>
    <w:multiLevelType w:val="hybridMultilevel"/>
    <w:tmpl w:val="9E3E3434"/>
    <w:lvl w:ilvl="0" w:tplc="D7F07548">
      <w:start w:val="1"/>
      <w:numFmt w:val="upperLetter"/>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9">
    <w:nsid w:val="1F4E3690"/>
    <w:multiLevelType w:val="hybridMultilevel"/>
    <w:tmpl w:val="8E4C8F32"/>
    <w:lvl w:ilvl="0" w:tplc="EE445E3C">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2F011C4"/>
    <w:multiLevelType w:val="hybridMultilevel"/>
    <w:tmpl w:val="D68AEAF6"/>
    <w:lvl w:ilvl="0" w:tplc="8FC4B60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9BE07E6"/>
    <w:multiLevelType w:val="hybridMultilevel"/>
    <w:tmpl w:val="78141872"/>
    <w:lvl w:ilvl="0" w:tplc="5234236C">
      <w:start w:val="1"/>
      <w:numFmt w:val="upperLetter"/>
      <w:lvlText w:val="%1)"/>
      <w:lvlJc w:val="left"/>
      <w:pPr>
        <w:ind w:left="720" w:hanging="360"/>
      </w:pPr>
      <w:rPr>
        <w:rFonts w:hint="default"/>
        <w:b/>
        <w:i/>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nsid w:val="2A780770"/>
    <w:multiLevelType w:val="hybridMultilevel"/>
    <w:tmpl w:val="3DC8A7FE"/>
    <w:lvl w:ilvl="0" w:tplc="67E07D4A">
      <w:start w:val="1"/>
      <w:numFmt w:val="decimal"/>
      <w:lvlText w:val="%1."/>
      <w:lvlJc w:val="left"/>
      <w:pPr>
        <w:ind w:left="1080" w:hanging="720"/>
      </w:pPr>
      <w:rPr>
        <w:rFonts w:hint="default"/>
        <w:b w:val="0"/>
        <w:bCs w:val="0"/>
        <w:i w:val="0"/>
        <w:iCs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B0B058D"/>
    <w:multiLevelType w:val="hybridMultilevel"/>
    <w:tmpl w:val="A67EDB28"/>
    <w:lvl w:ilvl="0" w:tplc="D31A2C52">
      <w:start w:val="1"/>
      <w:numFmt w:val="upperLetter"/>
      <w:lvlText w:val="%1)"/>
      <w:lvlJc w:val="left"/>
      <w:pPr>
        <w:ind w:left="720" w:hanging="360"/>
      </w:pPr>
      <w:rPr>
        <w:rFonts w:hint="default"/>
        <w:b/>
        <w:bCs/>
        <w:i/>
        <w:i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nsid w:val="2CB024C9"/>
    <w:multiLevelType w:val="hybridMultilevel"/>
    <w:tmpl w:val="6AFE12D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nsid w:val="2E6629DD"/>
    <w:multiLevelType w:val="hybridMultilevel"/>
    <w:tmpl w:val="3684D20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nsid w:val="30D06954"/>
    <w:multiLevelType w:val="hybridMultilevel"/>
    <w:tmpl w:val="0DB4F318"/>
    <w:lvl w:ilvl="0" w:tplc="4CD4B9E4">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36215720"/>
    <w:multiLevelType w:val="hybridMultilevel"/>
    <w:tmpl w:val="60808C3E"/>
    <w:lvl w:ilvl="0" w:tplc="6AFCDB1C">
      <w:start w:val="1"/>
      <w:numFmt w:val="upperLetter"/>
      <w:lvlText w:val="%1)"/>
      <w:lvlJc w:val="left"/>
      <w:pPr>
        <w:ind w:left="1410" w:hanging="840"/>
      </w:pPr>
      <w:rPr>
        <w:rFonts w:hint="default"/>
      </w:rPr>
    </w:lvl>
    <w:lvl w:ilvl="1" w:tplc="140A0019">
      <w:start w:val="1"/>
      <w:numFmt w:val="lowerLetter"/>
      <w:lvlText w:val="%2."/>
      <w:lvlJc w:val="left"/>
      <w:pPr>
        <w:ind w:left="1650" w:hanging="360"/>
      </w:pPr>
    </w:lvl>
    <w:lvl w:ilvl="2" w:tplc="140A001B">
      <w:start w:val="1"/>
      <w:numFmt w:val="lowerRoman"/>
      <w:lvlText w:val="%3."/>
      <w:lvlJc w:val="right"/>
      <w:pPr>
        <w:ind w:left="2370" w:hanging="180"/>
      </w:pPr>
    </w:lvl>
    <w:lvl w:ilvl="3" w:tplc="140A000F">
      <w:start w:val="1"/>
      <w:numFmt w:val="decimal"/>
      <w:lvlText w:val="%4."/>
      <w:lvlJc w:val="left"/>
      <w:pPr>
        <w:ind w:left="3090" w:hanging="360"/>
      </w:pPr>
    </w:lvl>
    <w:lvl w:ilvl="4" w:tplc="140A0019">
      <w:start w:val="1"/>
      <w:numFmt w:val="lowerLetter"/>
      <w:lvlText w:val="%5."/>
      <w:lvlJc w:val="left"/>
      <w:pPr>
        <w:ind w:left="3810" w:hanging="360"/>
      </w:pPr>
    </w:lvl>
    <w:lvl w:ilvl="5" w:tplc="140A001B">
      <w:start w:val="1"/>
      <w:numFmt w:val="lowerRoman"/>
      <w:lvlText w:val="%6."/>
      <w:lvlJc w:val="right"/>
      <w:pPr>
        <w:ind w:left="4530" w:hanging="180"/>
      </w:pPr>
    </w:lvl>
    <w:lvl w:ilvl="6" w:tplc="140A000F">
      <w:start w:val="1"/>
      <w:numFmt w:val="decimal"/>
      <w:lvlText w:val="%7."/>
      <w:lvlJc w:val="left"/>
      <w:pPr>
        <w:ind w:left="5250" w:hanging="360"/>
      </w:pPr>
    </w:lvl>
    <w:lvl w:ilvl="7" w:tplc="140A0019">
      <w:start w:val="1"/>
      <w:numFmt w:val="lowerLetter"/>
      <w:lvlText w:val="%8."/>
      <w:lvlJc w:val="left"/>
      <w:pPr>
        <w:ind w:left="5970" w:hanging="360"/>
      </w:pPr>
    </w:lvl>
    <w:lvl w:ilvl="8" w:tplc="140A001B">
      <w:start w:val="1"/>
      <w:numFmt w:val="lowerRoman"/>
      <w:lvlText w:val="%9."/>
      <w:lvlJc w:val="right"/>
      <w:pPr>
        <w:ind w:left="6690" w:hanging="180"/>
      </w:pPr>
    </w:lvl>
  </w:abstractNum>
  <w:abstractNum w:abstractNumId="18">
    <w:nsid w:val="3A38404A"/>
    <w:multiLevelType w:val="hybridMultilevel"/>
    <w:tmpl w:val="CAB04AD4"/>
    <w:lvl w:ilvl="0" w:tplc="06E03C86">
      <w:start w:val="1"/>
      <w:numFmt w:val="decimal"/>
      <w:lvlText w:val="%1."/>
      <w:lvlJc w:val="left"/>
      <w:pPr>
        <w:tabs>
          <w:tab w:val="num" w:pos="720"/>
        </w:tabs>
        <w:ind w:left="0" w:firstLine="0"/>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rPr>
        <w:rFonts w:cs="Times New Roman"/>
      </w:r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19">
    <w:nsid w:val="46265C3D"/>
    <w:multiLevelType w:val="hybridMultilevel"/>
    <w:tmpl w:val="CC624CC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EDB701C"/>
    <w:multiLevelType w:val="hybridMultilevel"/>
    <w:tmpl w:val="71625F92"/>
    <w:lvl w:ilvl="0" w:tplc="ED0459E8">
      <w:start w:val="1"/>
      <w:numFmt w:val="upperLetter"/>
      <w:lvlText w:val="%1)"/>
      <w:lvlJc w:val="left"/>
      <w:pPr>
        <w:ind w:left="720" w:hanging="360"/>
      </w:pPr>
      <w:rPr>
        <w:rFonts w:hint="default"/>
        <w:b/>
        <w:bCs/>
        <w:i/>
        <w:iCs/>
      </w:rPr>
    </w:lvl>
    <w:lvl w:ilvl="1" w:tplc="323EEAAC">
      <w:start w:val="1"/>
      <w:numFmt w:val="lowerLetter"/>
      <w:lvlText w:val="%2."/>
      <w:lvlJc w:val="left"/>
      <w:pPr>
        <w:ind w:left="1440" w:hanging="360"/>
      </w:pPr>
    </w:lvl>
    <w:lvl w:ilvl="2" w:tplc="B96C1A40">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1">
    <w:nsid w:val="501323A5"/>
    <w:multiLevelType w:val="hybridMultilevel"/>
    <w:tmpl w:val="0C440BDC"/>
    <w:lvl w:ilvl="0" w:tplc="6A441DE4">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51D93B24"/>
    <w:multiLevelType w:val="hybridMultilevel"/>
    <w:tmpl w:val="8168E1B2"/>
    <w:lvl w:ilvl="0" w:tplc="E9004C38">
      <w:start w:val="1"/>
      <w:numFmt w:val="decimal"/>
      <w:lvlText w:val="%1."/>
      <w:lvlJc w:val="left"/>
      <w:pPr>
        <w:ind w:left="1440" w:hanging="360"/>
      </w:pPr>
      <w:rPr>
        <w:rFonts w:hint="default"/>
      </w:rPr>
    </w:lvl>
    <w:lvl w:ilvl="1" w:tplc="140A0019">
      <w:start w:val="1"/>
      <w:numFmt w:val="lowerLetter"/>
      <w:lvlText w:val="%2."/>
      <w:lvlJc w:val="left"/>
      <w:pPr>
        <w:ind w:left="2160" w:hanging="360"/>
      </w:pPr>
    </w:lvl>
    <w:lvl w:ilvl="2" w:tplc="140A001B">
      <w:start w:val="1"/>
      <w:numFmt w:val="lowerRoman"/>
      <w:lvlText w:val="%3."/>
      <w:lvlJc w:val="right"/>
      <w:pPr>
        <w:ind w:left="2880" w:hanging="180"/>
      </w:pPr>
    </w:lvl>
    <w:lvl w:ilvl="3" w:tplc="140A000F">
      <w:start w:val="1"/>
      <w:numFmt w:val="decimal"/>
      <w:lvlText w:val="%4."/>
      <w:lvlJc w:val="left"/>
      <w:pPr>
        <w:ind w:left="3600" w:hanging="360"/>
      </w:pPr>
    </w:lvl>
    <w:lvl w:ilvl="4" w:tplc="140A0019">
      <w:start w:val="1"/>
      <w:numFmt w:val="lowerLetter"/>
      <w:lvlText w:val="%5."/>
      <w:lvlJc w:val="left"/>
      <w:pPr>
        <w:ind w:left="4320" w:hanging="360"/>
      </w:pPr>
    </w:lvl>
    <w:lvl w:ilvl="5" w:tplc="140A001B">
      <w:start w:val="1"/>
      <w:numFmt w:val="lowerRoman"/>
      <w:lvlText w:val="%6."/>
      <w:lvlJc w:val="right"/>
      <w:pPr>
        <w:ind w:left="5040" w:hanging="180"/>
      </w:pPr>
    </w:lvl>
    <w:lvl w:ilvl="6" w:tplc="140A000F">
      <w:start w:val="1"/>
      <w:numFmt w:val="decimal"/>
      <w:lvlText w:val="%7."/>
      <w:lvlJc w:val="left"/>
      <w:pPr>
        <w:ind w:left="5760" w:hanging="360"/>
      </w:pPr>
    </w:lvl>
    <w:lvl w:ilvl="7" w:tplc="140A0019">
      <w:start w:val="1"/>
      <w:numFmt w:val="lowerLetter"/>
      <w:lvlText w:val="%8."/>
      <w:lvlJc w:val="left"/>
      <w:pPr>
        <w:ind w:left="6480" w:hanging="360"/>
      </w:pPr>
    </w:lvl>
    <w:lvl w:ilvl="8" w:tplc="140A001B">
      <w:start w:val="1"/>
      <w:numFmt w:val="lowerRoman"/>
      <w:lvlText w:val="%9."/>
      <w:lvlJc w:val="right"/>
      <w:pPr>
        <w:ind w:left="7200" w:hanging="180"/>
      </w:pPr>
    </w:lvl>
  </w:abstractNum>
  <w:abstractNum w:abstractNumId="23">
    <w:nsid w:val="5888101F"/>
    <w:multiLevelType w:val="hybridMultilevel"/>
    <w:tmpl w:val="759071A2"/>
    <w:lvl w:ilvl="0" w:tplc="A34AE61C">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4">
    <w:nsid w:val="5A55306C"/>
    <w:multiLevelType w:val="hybridMultilevel"/>
    <w:tmpl w:val="DD1ACFDA"/>
    <w:lvl w:ilvl="0" w:tplc="97B4695C">
      <w:start w:val="1"/>
      <w:numFmt w:val="decimal"/>
      <w:lvlText w:val="%1."/>
      <w:lvlJc w:val="left"/>
      <w:pPr>
        <w:ind w:left="72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5CBD15D3"/>
    <w:multiLevelType w:val="hybridMultilevel"/>
    <w:tmpl w:val="5628B264"/>
    <w:lvl w:ilvl="0" w:tplc="084A664E">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6">
    <w:nsid w:val="5E3D2504"/>
    <w:multiLevelType w:val="hybridMultilevel"/>
    <w:tmpl w:val="C69CC34E"/>
    <w:lvl w:ilvl="0" w:tplc="168E8B98">
      <w:start w:val="1"/>
      <w:numFmt w:val="upperLetter"/>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7">
    <w:nsid w:val="5EC27779"/>
    <w:multiLevelType w:val="multilevel"/>
    <w:tmpl w:val="6C427A98"/>
    <w:lvl w:ilvl="0">
      <w:start w:val="1"/>
      <w:numFmt w:val="decimal"/>
      <w:lvlText w:val="%1."/>
      <w:lvlJc w:val="left"/>
      <w:pPr>
        <w:tabs>
          <w:tab w:val="num" w:pos="450"/>
        </w:tabs>
        <w:ind w:left="450" w:hanging="360"/>
      </w:pPr>
      <w:rPr>
        <w:rFonts w:hint="default"/>
        <w:b w:val="0"/>
        <w:bCs w:val="0"/>
        <w:i w:val="0"/>
        <w:iCs w:val="0"/>
        <w:color w:val="auto"/>
        <w:sz w:val="20"/>
        <w:szCs w:val="20"/>
      </w:rPr>
    </w:lvl>
    <w:lvl w:ilvl="1">
      <w:start w:val="1"/>
      <w:numFmt w:val="lowerLetter"/>
      <w:lvlText w:val="%2)"/>
      <w:lvlJc w:val="left"/>
      <w:pPr>
        <w:tabs>
          <w:tab w:val="num" w:pos="720"/>
        </w:tabs>
        <w:ind w:left="720" w:hanging="360"/>
      </w:pPr>
      <w:rPr>
        <w:rFonts w:ascii="Verdana" w:hAnsi="Verdana" w:cs="Verdana" w:hint="default"/>
        <w:b w:val="0"/>
        <w:bCs w:val="0"/>
        <w:i/>
        <w:iCs/>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624B1C89"/>
    <w:multiLevelType w:val="hybridMultilevel"/>
    <w:tmpl w:val="BA6686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63533E99"/>
    <w:multiLevelType w:val="hybridMultilevel"/>
    <w:tmpl w:val="05341352"/>
    <w:lvl w:ilvl="0" w:tplc="ED0459E8">
      <w:start w:val="1"/>
      <w:numFmt w:val="decimal"/>
      <w:lvlText w:val="%1."/>
      <w:lvlJc w:val="left"/>
      <w:pPr>
        <w:tabs>
          <w:tab w:val="num" w:pos="720"/>
        </w:tabs>
      </w:pPr>
      <w:rPr>
        <w:rFonts w:ascii="Verdana" w:hAnsi="Verdana" w:cs="Verdana" w:hint="default"/>
        <w:b w:val="0"/>
        <w:bCs w:val="0"/>
        <w:i w:val="0"/>
        <w:iCs w:val="0"/>
        <w:sz w:val="20"/>
        <w:szCs w:val="20"/>
      </w:rPr>
    </w:lvl>
    <w:lvl w:ilvl="1" w:tplc="323EEAAC">
      <w:start w:val="1"/>
      <w:numFmt w:val="upperLetter"/>
      <w:lvlText w:val="%2)"/>
      <w:lvlJc w:val="left"/>
      <w:pPr>
        <w:tabs>
          <w:tab w:val="num" w:pos="1800"/>
        </w:tabs>
        <w:ind w:left="1800" w:hanging="720"/>
      </w:pPr>
      <w:rPr>
        <w:rFonts w:hint="default"/>
        <w:b/>
        <w:bCs/>
        <w:i/>
        <w:iCs/>
        <w:sz w:val="20"/>
        <w:szCs w:val="20"/>
        <w:u w:val="none"/>
      </w:rPr>
    </w:lvl>
    <w:lvl w:ilvl="2" w:tplc="B96C1A40">
      <w:start w:val="1"/>
      <w:numFmt w:val="lowerRoman"/>
      <w:lvlText w:val="%3."/>
      <w:lvlJc w:val="right"/>
      <w:pPr>
        <w:tabs>
          <w:tab w:val="num" w:pos="2160"/>
        </w:tabs>
        <w:ind w:left="2160" w:hanging="180"/>
      </w:pPr>
    </w:lvl>
    <w:lvl w:ilvl="3" w:tplc="2C0A000F">
      <w:start w:val="1"/>
      <w:numFmt w:val="decimal"/>
      <w:lvlText w:val="%4."/>
      <w:lvlJc w:val="left"/>
      <w:pPr>
        <w:tabs>
          <w:tab w:val="num" w:pos="2880"/>
        </w:tabs>
        <w:ind w:left="2880" w:hanging="360"/>
      </w:pPr>
    </w:lvl>
    <w:lvl w:ilvl="4" w:tplc="2C0A0019">
      <w:start w:val="1"/>
      <w:numFmt w:val="lowerLetter"/>
      <w:lvlText w:val="%5."/>
      <w:lvlJc w:val="left"/>
      <w:pPr>
        <w:tabs>
          <w:tab w:val="num" w:pos="3600"/>
        </w:tabs>
        <w:ind w:left="3600" w:hanging="360"/>
      </w:pPr>
    </w:lvl>
    <w:lvl w:ilvl="5" w:tplc="2C0A001B">
      <w:start w:val="1"/>
      <w:numFmt w:val="lowerRoman"/>
      <w:lvlText w:val="%6."/>
      <w:lvlJc w:val="right"/>
      <w:pPr>
        <w:tabs>
          <w:tab w:val="num" w:pos="4320"/>
        </w:tabs>
        <w:ind w:left="4320" w:hanging="180"/>
      </w:pPr>
    </w:lvl>
    <w:lvl w:ilvl="6" w:tplc="2C0A000F">
      <w:start w:val="1"/>
      <w:numFmt w:val="decimal"/>
      <w:lvlText w:val="%7."/>
      <w:lvlJc w:val="left"/>
      <w:pPr>
        <w:tabs>
          <w:tab w:val="num" w:pos="5040"/>
        </w:tabs>
        <w:ind w:left="5040" w:hanging="360"/>
      </w:pPr>
    </w:lvl>
    <w:lvl w:ilvl="7" w:tplc="2C0A0019">
      <w:start w:val="1"/>
      <w:numFmt w:val="lowerLetter"/>
      <w:lvlText w:val="%8."/>
      <w:lvlJc w:val="left"/>
      <w:pPr>
        <w:tabs>
          <w:tab w:val="num" w:pos="5760"/>
        </w:tabs>
        <w:ind w:left="5760" w:hanging="360"/>
      </w:pPr>
    </w:lvl>
    <w:lvl w:ilvl="8" w:tplc="2C0A001B">
      <w:start w:val="1"/>
      <w:numFmt w:val="lowerRoman"/>
      <w:lvlText w:val="%9."/>
      <w:lvlJc w:val="right"/>
      <w:pPr>
        <w:tabs>
          <w:tab w:val="num" w:pos="6480"/>
        </w:tabs>
        <w:ind w:left="6480" w:hanging="180"/>
      </w:pPr>
    </w:lvl>
  </w:abstractNum>
  <w:abstractNum w:abstractNumId="30">
    <w:nsid w:val="66C3073A"/>
    <w:multiLevelType w:val="hybridMultilevel"/>
    <w:tmpl w:val="71625F92"/>
    <w:lvl w:ilvl="0" w:tplc="ED0459E8">
      <w:start w:val="1"/>
      <w:numFmt w:val="upperLetter"/>
      <w:lvlText w:val="%1)"/>
      <w:lvlJc w:val="left"/>
      <w:pPr>
        <w:ind w:left="720" w:hanging="360"/>
      </w:pPr>
      <w:rPr>
        <w:rFonts w:hint="default"/>
        <w:b/>
        <w:bCs/>
        <w:i/>
        <w:iCs/>
      </w:rPr>
    </w:lvl>
    <w:lvl w:ilvl="1" w:tplc="323EEAAC">
      <w:start w:val="1"/>
      <w:numFmt w:val="lowerLetter"/>
      <w:lvlText w:val="%2."/>
      <w:lvlJc w:val="left"/>
      <w:pPr>
        <w:ind w:left="1440" w:hanging="360"/>
      </w:pPr>
    </w:lvl>
    <w:lvl w:ilvl="2" w:tplc="B96C1A40">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1">
    <w:nsid w:val="68154407"/>
    <w:multiLevelType w:val="hybridMultilevel"/>
    <w:tmpl w:val="FFFCF612"/>
    <w:lvl w:ilvl="0" w:tplc="ED0459E8">
      <w:start w:val="1"/>
      <w:numFmt w:val="decimal"/>
      <w:lvlText w:val="%1."/>
      <w:lvlJc w:val="left"/>
      <w:pPr>
        <w:tabs>
          <w:tab w:val="num" w:pos="680"/>
        </w:tabs>
      </w:pPr>
      <w:rPr>
        <w:rFonts w:hint="default"/>
        <w:b w:val="0"/>
        <w:bCs w:val="0"/>
        <w:i w:val="0"/>
        <w:iCs w:val="0"/>
        <w:strike w:val="0"/>
        <w:sz w:val="20"/>
        <w:szCs w:val="20"/>
      </w:rPr>
    </w:lvl>
    <w:lvl w:ilvl="1" w:tplc="323EEAAC">
      <w:start w:val="1"/>
      <w:numFmt w:val="lowerLetter"/>
      <w:lvlText w:val="%2."/>
      <w:lvlJc w:val="left"/>
      <w:pPr>
        <w:tabs>
          <w:tab w:val="num" w:pos="1440"/>
        </w:tabs>
        <w:ind w:left="1440" w:hanging="360"/>
      </w:pPr>
    </w:lvl>
    <w:lvl w:ilvl="2" w:tplc="B96C1A40">
      <w:start w:val="1"/>
      <w:numFmt w:val="lowerRoman"/>
      <w:lvlText w:val="%3."/>
      <w:lvlJc w:val="right"/>
      <w:pPr>
        <w:tabs>
          <w:tab w:val="num" w:pos="2160"/>
        </w:tabs>
        <w:ind w:left="2160" w:hanging="180"/>
      </w:pPr>
    </w:lvl>
    <w:lvl w:ilvl="3" w:tplc="2C0A000F">
      <w:start w:val="1"/>
      <w:numFmt w:val="decimal"/>
      <w:lvlText w:val="%4."/>
      <w:lvlJc w:val="left"/>
      <w:pPr>
        <w:tabs>
          <w:tab w:val="num" w:pos="2880"/>
        </w:tabs>
        <w:ind w:left="2880" w:hanging="360"/>
      </w:pPr>
    </w:lvl>
    <w:lvl w:ilvl="4" w:tplc="2C0A0019">
      <w:start w:val="1"/>
      <w:numFmt w:val="lowerLetter"/>
      <w:lvlText w:val="%5."/>
      <w:lvlJc w:val="left"/>
      <w:pPr>
        <w:tabs>
          <w:tab w:val="num" w:pos="3600"/>
        </w:tabs>
        <w:ind w:left="3600" w:hanging="360"/>
      </w:pPr>
    </w:lvl>
    <w:lvl w:ilvl="5" w:tplc="2C0A001B">
      <w:start w:val="1"/>
      <w:numFmt w:val="lowerRoman"/>
      <w:lvlText w:val="%6."/>
      <w:lvlJc w:val="right"/>
      <w:pPr>
        <w:tabs>
          <w:tab w:val="num" w:pos="4320"/>
        </w:tabs>
        <w:ind w:left="4320" w:hanging="180"/>
      </w:pPr>
    </w:lvl>
    <w:lvl w:ilvl="6" w:tplc="2C0A000F">
      <w:start w:val="1"/>
      <w:numFmt w:val="decimal"/>
      <w:lvlText w:val="%7."/>
      <w:lvlJc w:val="left"/>
      <w:pPr>
        <w:tabs>
          <w:tab w:val="num" w:pos="5040"/>
        </w:tabs>
        <w:ind w:left="5040" w:hanging="360"/>
      </w:pPr>
    </w:lvl>
    <w:lvl w:ilvl="7" w:tplc="2C0A0019">
      <w:start w:val="1"/>
      <w:numFmt w:val="lowerLetter"/>
      <w:lvlText w:val="%8."/>
      <w:lvlJc w:val="left"/>
      <w:pPr>
        <w:tabs>
          <w:tab w:val="num" w:pos="5760"/>
        </w:tabs>
        <w:ind w:left="5760" w:hanging="360"/>
      </w:pPr>
    </w:lvl>
    <w:lvl w:ilvl="8" w:tplc="2C0A001B">
      <w:start w:val="1"/>
      <w:numFmt w:val="lowerRoman"/>
      <w:lvlText w:val="%9."/>
      <w:lvlJc w:val="right"/>
      <w:pPr>
        <w:tabs>
          <w:tab w:val="num" w:pos="6480"/>
        </w:tabs>
        <w:ind w:left="6480" w:hanging="180"/>
      </w:pPr>
    </w:lvl>
  </w:abstractNum>
  <w:abstractNum w:abstractNumId="32">
    <w:nsid w:val="6C0F400E"/>
    <w:multiLevelType w:val="hybridMultilevel"/>
    <w:tmpl w:val="885CC31A"/>
    <w:lvl w:ilvl="0" w:tplc="C41037A6">
      <w:start w:val="1"/>
      <w:numFmt w:val="decimal"/>
      <w:lvlText w:val="%1."/>
      <w:lvlJc w:val="left"/>
      <w:pPr>
        <w:tabs>
          <w:tab w:val="num" w:pos="1065"/>
        </w:tabs>
        <w:ind w:left="1065" w:hanging="705"/>
      </w:pPr>
      <w:rPr>
        <w:rFonts w:hint="default"/>
        <w:b w:val="0"/>
        <w:bCs w:val="0"/>
      </w:rPr>
    </w:lvl>
    <w:lvl w:ilvl="1" w:tplc="A9860D12">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3">
    <w:nsid w:val="6FC77BE4"/>
    <w:multiLevelType w:val="hybridMultilevel"/>
    <w:tmpl w:val="0C440BDC"/>
    <w:lvl w:ilvl="0" w:tplc="6A441DE4">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7241751B"/>
    <w:multiLevelType w:val="hybridMultilevel"/>
    <w:tmpl w:val="0D109B96"/>
    <w:lvl w:ilvl="0" w:tplc="11DCA784">
      <w:start w:val="1"/>
      <w:numFmt w:val="decimal"/>
      <w:lvlText w:val="%1."/>
      <w:lvlJc w:val="left"/>
      <w:pPr>
        <w:ind w:left="720" w:hanging="360"/>
      </w:pPr>
      <w:rPr>
        <w:rFonts w:ascii="Verdana" w:hAnsi="Verdana" w:cs="Verdana" w:hint="default"/>
        <w:b w:val="0"/>
        <w:sz w:val="20"/>
        <w:szCs w:val="20"/>
      </w:rPr>
    </w:lvl>
    <w:lvl w:ilvl="1" w:tplc="42F89548">
      <w:start w:val="1"/>
      <w:numFmt w:val="lowerLetter"/>
      <w:lvlText w:val="%2."/>
      <w:lvlJc w:val="left"/>
      <w:pPr>
        <w:ind w:left="1440" w:hanging="360"/>
      </w:pPr>
    </w:lvl>
    <w:lvl w:ilvl="2" w:tplc="B96C1A40">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5">
    <w:nsid w:val="730436E2"/>
    <w:multiLevelType w:val="hybridMultilevel"/>
    <w:tmpl w:val="9E3E3434"/>
    <w:lvl w:ilvl="0" w:tplc="D7F07548">
      <w:start w:val="1"/>
      <w:numFmt w:val="upperLetter"/>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36">
    <w:nsid w:val="77AC51D5"/>
    <w:multiLevelType w:val="hybridMultilevel"/>
    <w:tmpl w:val="B11E59B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7">
    <w:nsid w:val="7AAA174D"/>
    <w:multiLevelType w:val="hybridMultilevel"/>
    <w:tmpl w:val="ECFC2960"/>
    <w:lvl w:ilvl="0" w:tplc="ED0459E8">
      <w:start w:val="1"/>
      <w:numFmt w:val="decimal"/>
      <w:lvlText w:val="%1)"/>
      <w:lvlJc w:val="left"/>
      <w:pPr>
        <w:tabs>
          <w:tab w:val="num" w:pos="720"/>
        </w:tabs>
        <w:ind w:left="720" w:hanging="360"/>
      </w:pPr>
      <w:rPr>
        <w:rFonts w:hint="default"/>
      </w:rPr>
    </w:lvl>
    <w:lvl w:ilvl="1" w:tplc="323EEAAC">
      <w:start w:val="1"/>
      <w:numFmt w:val="lowerLetter"/>
      <w:lvlText w:val="%2."/>
      <w:lvlJc w:val="left"/>
      <w:pPr>
        <w:tabs>
          <w:tab w:val="num" w:pos="1440"/>
        </w:tabs>
        <w:ind w:left="1440" w:hanging="360"/>
      </w:pPr>
    </w:lvl>
    <w:lvl w:ilvl="2" w:tplc="B96C1A40">
      <w:start w:val="1"/>
      <w:numFmt w:val="lowerRoman"/>
      <w:lvlText w:val="%3."/>
      <w:lvlJc w:val="right"/>
      <w:pPr>
        <w:tabs>
          <w:tab w:val="num" w:pos="2160"/>
        </w:tabs>
        <w:ind w:left="2160" w:hanging="180"/>
      </w:pPr>
    </w:lvl>
    <w:lvl w:ilvl="3" w:tplc="2C0A000F">
      <w:start w:val="1"/>
      <w:numFmt w:val="decimal"/>
      <w:lvlText w:val="%4."/>
      <w:lvlJc w:val="left"/>
      <w:pPr>
        <w:tabs>
          <w:tab w:val="num" w:pos="2880"/>
        </w:tabs>
        <w:ind w:left="2880" w:hanging="360"/>
      </w:pPr>
    </w:lvl>
    <w:lvl w:ilvl="4" w:tplc="2C0A0019">
      <w:start w:val="1"/>
      <w:numFmt w:val="lowerLetter"/>
      <w:lvlText w:val="%5."/>
      <w:lvlJc w:val="left"/>
      <w:pPr>
        <w:tabs>
          <w:tab w:val="num" w:pos="3600"/>
        </w:tabs>
        <w:ind w:left="3600" w:hanging="360"/>
      </w:pPr>
    </w:lvl>
    <w:lvl w:ilvl="5" w:tplc="2C0A001B">
      <w:start w:val="1"/>
      <w:numFmt w:val="lowerRoman"/>
      <w:lvlText w:val="%6."/>
      <w:lvlJc w:val="right"/>
      <w:pPr>
        <w:tabs>
          <w:tab w:val="num" w:pos="4320"/>
        </w:tabs>
        <w:ind w:left="4320" w:hanging="180"/>
      </w:pPr>
    </w:lvl>
    <w:lvl w:ilvl="6" w:tplc="2C0A000F">
      <w:start w:val="1"/>
      <w:numFmt w:val="decimal"/>
      <w:lvlText w:val="%7."/>
      <w:lvlJc w:val="left"/>
      <w:pPr>
        <w:tabs>
          <w:tab w:val="num" w:pos="5040"/>
        </w:tabs>
        <w:ind w:left="5040" w:hanging="360"/>
      </w:pPr>
    </w:lvl>
    <w:lvl w:ilvl="7" w:tplc="2C0A0019">
      <w:start w:val="1"/>
      <w:numFmt w:val="lowerLetter"/>
      <w:lvlText w:val="%8."/>
      <w:lvlJc w:val="left"/>
      <w:pPr>
        <w:tabs>
          <w:tab w:val="num" w:pos="5760"/>
        </w:tabs>
        <w:ind w:left="5760" w:hanging="360"/>
      </w:pPr>
    </w:lvl>
    <w:lvl w:ilvl="8" w:tplc="2C0A001B">
      <w:start w:val="1"/>
      <w:numFmt w:val="lowerRoman"/>
      <w:lvlText w:val="%9."/>
      <w:lvlJc w:val="right"/>
      <w:pPr>
        <w:tabs>
          <w:tab w:val="num" w:pos="6480"/>
        </w:tabs>
        <w:ind w:left="6480" w:hanging="180"/>
      </w:pPr>
    </w:lvl>
  </w:abstractNum>
  <w:abstractNum w:abstractNumId="38">
    <w:nsid w:val="7B0F3B21"/>
    <w:multiLevelType w:val="hybridMultilevel"/>
    <w:tmpl w:val="1458DCFC"/>
    <w:lvl w:ilvl="0" w:tplc="ED0459E8">
      <w:start w:val="1"/>
      <w:numFmt w:val="decimal"/>
      <w:lvlText w:val="%1."/>
      <w:lvlJc w:val="left"/>
      <w:pPr>
        <w:tabs>
          <w:tab w:val="num" w:pos="705"/>
        </w:tabs>
        <w:ind w:left="705" w:hanging="705"/>
      </w:pPr>
      <w:rPr>
        <w:rFonts w:hint="default"/>
      </w:rPr>
    </w:lvl>
    <w:lvl w:ilvl="1" w:tplc="323EEAAC">
      <w:start w:val="1"/>
      <w:numFmt w:val="lowerLetter"/>
      <w:lvlText w:val="%2."/>
      <w:lvlJc w:val="left"/>
      <w:pPr>
        <w:tabs>
          <w:tab w:val="num" w:pos="1080"/>
        </w:tabs>
        <w:ind w:left="1080" w:hanging="360"/>
      </w:pPr>
    </w:lvl>
    <w:lvl w:ilvl="2" w:tplc="B96C1A40">
      <w:start w:val="1"/>
      <w:numFmt w:val="lowerRoman"/>
      <w:lvlText w:val="%3."/>
      <w:lvlJc w:val="right"/>
      <w:pPr>
        <w:tabs>
          <w:tab w:val="num" w:pos="1800"/>
        </w:tabs>
        <w:ind w:left="1800" w:hanging="180"/>
      </w:pPr>
    </w:lvl>
    <w:lvl w:ilvl="3" w:tplc="2C0A000F">
      <w:start w:val="1"/>
      <w:numFmt w:val="decimal"/>
      <w:lvlText w:val="%4."/>
      <w:lvlJc w:val="left"/>
      <w:pPr>
        <w:tabs>
          <w:tab w:val="num" w:pos="2520"/>
        </w:tabs>
        <w:ind w:left="2520" w:hanging="360"/>
      </w:pPr>
    </w:lvl>
    <w:lvl w:ilvl="4" w:tplc="2C0A0019">
      <w:start w:val="1"/>
      <w:numFmt w:val="lowerLetter"/>
      <w:lvlText w:val="%5."/>
      <w:lvlJc w:val="left"/>
      <w:pPr>
        <w:tabs>
          <w:tab w:val="num" w:pos="3240"/>
        </w:tabs>
        <w:ind w:left="3240" w:hanging="360"/>
      </w:pPr>
    </w:lvl>
    <w:lvl w:ilvl="5" w:tplc="2C0A001B">
      <w:start w:val="1"/>
      <w:numFmt w:val="lowerRoman"/>
      <w:lvlText w:val="%6."/>
      <w:lvlJc w:val="right"/>
      <w:pPr>
        <w:tabs>
          <w:tab w:val="num" w:pos="3960"/>
        </w:tabs>
        <w:ind w:left="3960" w:hanging="180"/>
      </w:pPr>
    </w:lvl>
    <w:lvl w:ilvl="6" w:tplc="2C0A000F">
      <w:start w:val="1"/>
      <w:numFmt w:val="decimal"/>
      <w:lvlText w:val="%7."/>
      <w:lvlJc w:val="left"/>
      <w:pPr>
        <w:tabs>
          <w:tab w:val="num" w:pos="4680"/>
        </w:tabs>
        <w:ind w:left="4680" w:hanging="360"/>
      </w:pPr>
    </w:lvl>
    <w:lvl w:ilvl="7" w:tplc="2C0A0019">
      <w:start w:val="1"/>
      <w:numFmt w:val="lowerLetter"/>
      <w:lvlText w:val="%8."/>
      <w:lvlJc w:val="left"/>
      <w:pPr>
        <w:tabs>
          <w:tab w:val="num" w:pos="5400"/>
        </w:tabs>
        <w:ind w:left="5400" w:hanging="360"/>
      </w:pPr>
    </w:lvl>
    <w:lvl w:ilvl="8" w:tplc="2C0A001B">
      <w:start w:val="1"/>
      <w:numFmt w:val="lowerRoman"/>
      <w:lvlText w:val="%9."/>
      <w:lvlJc w:val="right"/>
      <w:pPr>
        <w:tabs>
          <w:tab w:val="num" w:pos="6120"/>
        </w:tabs>
        <w:ind w:left="6120" w:hanging="180"/>
      </w:pPr>
    </w:lvl>
  </w:abstractNum>
  <w:abstractNum w:abstractNumId="39">
    <w:nsid w:val="7F6342AB"/>
    <w:multiLevelType w:val="hybridMultilevel"/>
    <w:tmpl w:val="28CEB422"/>
    <w:lvl w:ilvl="0" w:tplc="E83A9E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7"/>
  </w:num>
  <w:num w:numId="2">
    <w:abstractNumId w:val="5"/>
  </w:num>
  <w:num w:numId="3">
    <w:abstractNumId w:val="17"/>
  </w:num>
  <w:num w:numId="4">
    <w:abstractNumId w:val="13"/>
  </w:num>
  <w:num w:numId="5">
    <w:abstractNumId w:val="26"/>
  </w:num>
  <w:num w:numId="6">
    <w:abstractNumId w:val="11"/>
  </w:num>
  <w:num w:numId="7">
    <w:abstractNumId w:val="2"/>
  </w:num>
  <w:num w:numId="8">
    <w:abstractNumId w:val="7"/>
  </w:num>
  <w:num w:numId="9">
    <w:abstractNumId w:val="32"/>
  </w:num>
  <w:num w:numId="10">
    <w:abstractNumId w:val="38"/>
  </w:num>
  <w:num w:numId="11">
    <w:abstractNumId w:val="30"/>
  </w:num>
  <w:num w:numId="12">
    <w:abstractNumId w:val="22"/>
  </w:num>
  <w:num w:numId="13">
    <w:abstractNumId w:val="12"/>
  </w:num>
  <w:num w:numId="14">
    <w:abstractNumId w:val="39"/>
  </w:num>
  <w:num w:numId="15">
    <w:abstractNumId w:val="31"/>
  </w:num>
  <w:num w:numId="16">
    <w:abstractNumId w:val="14"/>
  </w:num>
  <w:num w:numId="17">
    <w:abstractNumId w:val="23"/>
  </w:num>
  <w:num w:numId="18">
    <w:abstractNumId w:val="25"/>
  </w:num>
  <w:num w:numId="19">
    <w:abstractNumId w:val="15"/>
  </w:num>
  <w:num w:numId="20">
    <w:abstractNumId w:val="20"/>
  </w:num>
  <w:num w:numId="21">
    <w:abstractNumId w:val="37"/>
  </w:num>
  <w:num w:numId="22">
    <w:abstractNumId w:val="29"/>
  </w:num>
  <w:num w:numId="23">
    <w:abstractNumId w:val="36"/>
  </w:num>
  <w:num w:numId="24">
    <w:abstractNumId w:val="24"/>
  </w:num>
  <w:num w:numId="25">
    <w:abstractNumId w:val="28"/>
  </w:num>
  <w:num w:numId="26">
    <w:abstractNumId w:val="19"/>
  </w:num>
  <w:num w:numId="27">
    <w:abstractNumId w:val="6"/>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8"/>
  </w:num>
  <w:num w:numId="31">
    <w:abstractNumId w:val="34"/>
  </w:num>
  <w:num w:numId="32">
    <w:abstractNumId w:val="9"/>
  </w:num>
  <w:num w:numId="33">
    <w:abstractNumId w:val="33"/>
  </w:num>
  <w:num w:numId="34">
    <w:abstractNumId w:val="21"/>
  </w:num>
  <w:num w:numId="35">
    <w:abstractNumId w:val="10"/>
  </w:num>
  <w:num w:numId="36">
    <w:abstractNumId w:val="3"/>
  </w:num>
  <w:num w:numId="37">
    <w:abstractNumId w:val="0"/>
  </w:num>
  <w:num w:numId="38">
    <w:abstractNumId w:val="8"/>
  </w:num>
  <w:num w:numId="39">
    <w:abstractNumId w:val="35"/>
  </w:num>
  <w:num w:numId="40">
    <w:abstractNumId w:val="16"/>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5389"/>
    <w:rsid w:val="00002230"/>
    <w:rsid w:val="00004E9E"/>
    <w:rsid w:val="000073D2"/>
    <w:rsid w:val="000105F4"/>
    <w:rsid w:val="0001105E"/>
    <w:rsid w:val="0001155B"/>
    <w:rsid w:val="00013636"/>
    <w:rsid w:val="000137F3"/>
    <w:rsid w:val="00013B38"/>
    <w:rsid w:val="00013C85"/>
    <w:rsid w:val="00013EAE"/>
    <w:rsid w:val="00014FBA"/>
    <w:rsid w:val="000170FA"/>
    <w:rsid w:val="000171FF"/>
    <w:rsid w:val="00022F6B"/>
    <w:rsid w:val="000232AB"/>
    <w:rsid w:val="000267B6"/>
    <w:rsid w:val="00027CA2"/>
    <w:rsid w:val="00027F3F"/>
    <w:rsid w:val="000310F5"/>
    <w:rsid w:val="00031413"/>
    <w:rsid w:val="000316DB"/>
    <w:rsid w:val="000323AD"/>
    <w:rsid w:val="000330A1"/>
    <w:rsid w:val="00036415"/>
    <w:rsid w:val="00037DC2"/>
    <w:rsid w:val="00037E44"/>
    <w:rsid w:val="0004161B"/>
    <w:rsid w:val="00041946"/>
    <w:rsid w:val="00042156"/>
    <w:rsid w:val="000423A8"/>
    <w:rsid w:val="00042C44"/>
    <w:rsid w:val="00042C87"/>
    <w:rsid w:val="00043099"/>
    <w:rsid w:val="000437FC"/>
    <w:rsid w:val="00043E49"/>
    <w:rsid w:val="00044BE9"/>
    <w:rsid w:val="00044C16"/>
    <w:rsid w:val="000457B1"/>
    <w:rsid w:val="00045C03"/>
    <w:rsid w:val="0004663F"/>
    <w:rsid w:val="00047DAC"/>
    <w:rsid w:val="00047F8C"/>
    <w:rsid w:val="00050199"/>
    <w:rsid w:val="00051CF4"/>
    <w:rsid w:val="00054D9A"/>
    <w:rsid w:val="00056519"/>
    <w:rsid w:val="00056617"/>
    <w:rsid w:val="00063228"/>
    <w:rsid w:val="00064943"/>
    <w:rsid w:val="00065F96"/>
    <w:rsid w:val="000704AD"/>
    <w:rsid w:val="0007129E"/>
    <w:rsid w:val="00071ED5"/>
    <w:rsid w:val="00073861"/>
    <w:rsid w:val="00073976"/>
    <w:rsid w:val="00073AAA"/>
    <w:rsid w:val="0007403B"/>
    <w:rsid w:val="00074350"/>
    <w:rsid w:val="00074CA3"/>
    <w:rsid w:val="0007571C"/>
    <w:rsid w:val="0007676C"/>
    <w:rsid w:val="00076917"/>
    <w:rsid w:val="0007697B"/>
    <w:rsid w:val="00076DF9"/>
    <w:rsid w:val="00077FD4"/>
    <w:rsid w:val="00081FF6"/>
    <w:rsid w:val="00082D7F"/>
    <w:rsid w:val="00083922"/>
    <w:rsid w:val="00085203"/>
    <w:rsid w:val="00085676"/>
    <w:rsid w:val="000871CA"/>
    <w:rsid w:val="00090B17"/>
    <w:rsid w:val="00093284"/>
    <w:rsid w:val="00094BCC"/>
    <w:rsid w:val="000950D5"/>
    <w:rsid w:val="00096005"/>
    <w:rsid w:val="000A0ED8"/>
    <w:rsid w:val="000A2770"/>
    <w:rsid w:val="000B02B2"/>
    <w:rsid w:val="000B33EF"/>
    <w:rsid w:val="000B5F6B"/>
    <w:rsid w:val="000B6FBE"/>
    <w:rsid w:val="000C0BE3"/>
    <w:rsid w:val="000C0CEB"/>
    <w:rsid w:val="000C0F16"/>
    <w:rsid w:val="000C50BF"/>
    <w:rsid w:val="000C7CCE"/>
    <w:rsid w:val="000D1297"/>
    <w:rsid w:val="000D21C7"/>
    <w:rsid w:val="000D4ED4"/>
    <w:rsid w:val="000D5C42"/>
    <w:rsid w:val="000D6A07"/>
    <w:rsid w:val="000E13F2"/>
    <w:rsid w:val="000E1EFF"/>
    <w:rsid w:val="000E202F"/>
    <w:rsid w:val="000E2BB3"/>
    <w:rsid w:val="000E3BF4"/>
    <w:rsid w:val="000E55AD"/>
    <w:rsid w:val="000E5D80"/>
    <w:rsid w:val="000E64C1"/>
    <w:rsid w:val="000E6BEE"/>
    <w:rsid w:val="000E78A7"/>
    <w:rsid w:val="000F0354"/>
    <w:rsid w:val="000F039E"/>
    <w:rsid w:val="000F0AB8"/>
    <w:rsid w:val="000F1601"/>
    <w:rsid w:val="000F336C"/>
    <w:rsid w:val="000F38C1"/>
    <w:rsid w:val="000F41E3"/>
    <w:rsid w:val="000F4FFA"/>
    <w:rsid w:val="000F5332"/>
    <w:rsid w:val="000F7040"/>
    <w:rsid w:val="000F790D"/>
    <w:rsid w:val="001006A1"/>
    <w:rsid w:val="00100A07"/>
    <w:rsid w:val="001023E6"/>
    <w:rsid w:val="00102859"/>
    <w:rsid w:val="0010500A"/>
    <w:rsid w:val="00105E5B"/>
    <w:rsid w:val="00113402"/>
    <w:rsid w:val="00114ABF"/>
    <w:rsid w:val="00115E8B"/>
    <w:rsid w:val="001160B1"/>
    <w:rsid w:val="001167B2"/>
    <w:rsid w:val="00116AAD"/>
    <w:rsid w:val="00117D77"/>
    <w:rsid w:val="001203C7"/>
    <w:rsid w:val="00120BCE"/>
    <w:rsid w:val="00120FBD"/>
    <w:rsid w:val="00121773"/>
    <w:rsid w:val="00122B35"/>
    <w:rsid w:val="00123379"/>
    <w:rsid w:val="00126186"/>
    <w:rsid w:val="001262E8"/>
    <w:rsid w:val="00126614"/>
    <w:rsid w:val="001266A4"/>
    <w:rsid w:val="00126761"/>
    <w:rsid w:val="0013050E"/>
    <w:rsid w:val="00131278"/>
    <w:rsid w:val="00131C54"/>
    <w:rsid w:val="00131EBF"/>
    <w:rsid w:val="001352B4"/>
    <w:rsid w:val="00136436"/>
    <w:rsid w:val="00137040"/>
    <w:rsid w:val="00140265"/>
    <w:rsid w:val="00140D82"/>
    <w:rsid w:val="001412B2"/>
    <w:rsid w:val="001418A1"/>
    <w:rsid w:val="00141B19"/>
    <w:rsid w:val="0014316E"/>
    <w:rsid w:val="001435CE"/>
    <w:rsid w:val="001463ED"/>
    <w:rsid w:val="0014641E"/>
    <w:rsid w:val="00146C7E"/>
    <w:rsid w:val="00147256"/>
    <w:rsid w:val="00152795"/>
    <w:rsid w:val="001543A9"/>
    <w:rsid w:val="0015674B"/>
    <w:rsid w:val="00156E14"/>
    <w:rsid w:val="00156F06"/>
    <w:rsid w:val="0015737C"/>
    <w:rsid w:val="0016002C"/>
    <w:rsid w:val="001613E3"/>
    <w:rsid w:val="001617A4"/>
    <w:rsid w:val="00161981"/>
    <w:rsid w:val="00161FCC"/>
    <w:rsid w:val="0016210D"/>
    <w:rsid w:val="00163CC9"/>
    <w:rsid w:val="00164812"/>
    <w:rsid w:val="001648CF"/>
    <w:rsid w:val="0016524A"/>
    <w:rsid w:val="001655FC"/>
    <w:rsid w:val="001657C3"/>
    <w:rsid w:val="001676C4"/>
    <w:rsid w:val="00171194"/>
    <w:rsid w:val="0017127C"/>
    <w:rsid w:val="00171411"/>
    <w:rsid w:val="00172066"/>
    <w:rsid w:val="001729C8"/>
    <w:rsid w:val="0017389E"/>
    <w:rsid w:val="00175DBA"/>
    <w:rsid w:val="00176347"/>
    <w:rsid w:val="00176641"/>
    <w:rsid w:val="00177F46"/>
    <w:rsid w:val="001802CD"/>
    <w:rsid w:val="00181541"/>
    <w:rsid w:val="001820F0"/>
    <w:rsid w:val="001839D6"/>
    <w:rsid w:val="00184F26"/>
    <w:rsid w:val="0018508D"/>
    <w:rsid w:val="00186C67"/>
    <w:rsid w:val="0018764F"/>
    <w:rsid w:val="00190FFB"/>
    <w:rsid w:val="0019160C"/>
    <w:rsid w:val="00192E77"/>
    <w:rsid w:val="00196756"/>
    <w:rsid w:val="001978A7"/>
    <w:rsid w:val="001A21FA"/>
    <w:rsid w:val="001A2255"/>
    <w:rsid w:val="001A333C"/>
    <w:rsid w:val="001A3659"/>
    <w:rsid w:val="001A5330"/>
    <w:rsid w:val="001A5D29"/>
    <w:rsid w:val="001B070A"/>
    <w:rsid w:val="001B1584"/>
    <w:rsid w:val="001B2877"/>
    <w:rsid w:val="001B4224"/>
    <w:rsid w:val="001B43EE"/>
    <w:rsid w:val="001B4C26"/>
    <w:rsid w:val="001B5761"/>
    <w:rsid w:val="001B70FC"/>
    <w:rsid w:val="001C034F"/>
    <w:rsid w:val="001C06CC"/>
    <w:rsid w:val="001C08D4"/>
    <w:rsid w:val="001C1C80"/>
    <w:rsid w:val="001C3EB9"/>
    <w:rsid w:val="001C48E6"/>
    <w:rsid w:val="001C4ED2"/>
    <w:rsid w:val="001C6F1F"/>
    <w:rsid w:val="001D006C"/>
    <w:rsid w:val="001D0ABA"/>
    <w:rsid w:val="001D16E9"/>
    <w:rsid w:val="001D1D21"/>
    <w:rsid w:val="001D5EDC"/>
    <w:rsid w:val="001D69BD"/>
    <w:rsid w:val="001D6E2E"/>
    <w:rsid w:val="001D73C0"/>
    <w:rsid w:val="001D7AC0"/>
    <w:rsid w:val="001E1A42"/>
    <w:rsid w:val="001E2A64"/>
    <w:rsid w:val="001E3D16"/>
    <w:rsid w:val="001F036A"/>
    <w:rsid w:val="001F0AFB"/>
    <w:rsid w:val="001F0E1E"/>
    <w:rsid w:val="001F1924"/>
    <w:rsid w:val="001F2952"/>
    <w:rsid w:val="001F30E0"/>
    <w:rsid w:val="001F3205"/>
    <w:rsid w:val="001F344D"/>
    <w:rsid w:val="001F36D5"/>
    <w:rsid w:val="001F3AC2"/>
    <w:rsid w:val="001F3ADB"/>
    <w:rsid w:val="001F3B82"/>
    <w:rsid w:val="001F53FB"/>
    <w:rsid w:val="001F570E"/>
    <w:rsid w:val="001F58D3"/>
    <w:rsid w:val="001F5B17"/>
    <w:rsid w:val="00201196"/>
    <w:rsid w:val="00201360"/>
    <w:rsid w:val="00201950"/>
    <w:rsid w:val="00202E88"/>
    <w:rsid w:val="002039D3"/>
    <w:rsid w:val="00203DAD"/>
    <w:rsid w:val="00203FFF"/>
    <w:rsid w:val="00204800"/>
    <w:rsid w:val="002061CA"/>
    <w:rsid w:val="00206AF4"/>
    <w:rsid w:val="00207390"/>
    <w:rsid w:val="00207ED0"/>
    <w:rsid w:val="00207F6C"/>
    <w:rsid w:val="00207FC2"/>
    <w:rsid w:val="00210B04"/>
    <w:rsid w:val="002113BF"/>
    <w:rsid w:val="002148F2"/>
    <w:rsid w:val="002162CF"/>
    <w:rsid w:val="00216E78"/>
    <w:rsid w:val="00220242"/>
    <w:rsid w:val="002211ED"/>
    <w:rsid w:val="0022193A"/>
    <w:rsid w:val="0022568F"/>
    <w:rsid w:val="00225A6B"/>
    <w:rsid w:val="0022766F"/>
    <w:rsid w:val="00227CCA"/>
    <w:rsid w:val="00227FEA"/>
    <w:rsid w:val="00230C4D"/>
    <w:rsid w:val="00232CA6"/>
    <w:rsid w:val="00232DC5"/>
    <w:rsid w:val="00233605"/>
    <w:rsid w:val="002349AD"/>
    <w:rsid w:val="002353EC"/>
    <w:rsid w:val="00236466"/>
    <w:rsid w:val="0023755A"/>
    <w:rsid w:val="00240C9B"/>
    <w:rsid w:val="00241700"/>
    <w:rsid w:val="00245A6E"/>
    <w:rsid w:val="00245C92"/>
    <w:rsid w:val="00246259"/>
    <w:rsid w:val="0024751E"/>
    <w:rsid w:val="00250CBF"/>
    <w:rsid w:val="00252735"/>
    <w:rsid w:val="00253038"/>
    <w:rsid w:val="002542DE"/>
    <w:rsid w:val="0025521C"/>
    <w:rsid w:val="002558CF"/>
    <w:rsid w:val="0025650B"/>
    <w:rsid w:val="00256F4B"/>
    <w:rsid w:val="00257E10"/>
    <w:rsid w:val="00260A43"/>
    <w:rsid w:val="00263EBC"/>
    <w:rsid w:val="002645AD"/>
    <w:rsid w:val="00267126"/>
    <w:rsid w:val="00271196"/>
    <w:rsid w:val="00272FA1"/>
    <w:rsid w:val="00274F28"/>
    <w:rsid w:val="00275110"/>
    <w:rsid w:val="00281345"/>
    <w:rsid w:val="002818F1"/>
    <w:rsid w:val="00281E48"/>
    <w:rsid w:val="00284A9E"/>
    <w:rsid w:val="002854E4"/>
    <w:rsid w:val="002857A9"/>
    <w:rsid w:val="00286F40"/>
    <w:rsid w:val="00287DB2"/>
    <w:rsid w:val="0029196B"/>
    <w:rsid w:val="00291D66"/>
    <w:rsid w:val="00291DB5"/>
    <w:rsid w:val="00291FDA"/>
    <w:rsid w:val="00294D61"/>
    <w:rsid w:val="0029542E"/>
    <w:rsid w:val="00295542"/>
    <w:rsid w:val="0029575F"/>
    <w:rsid w:val="00296D71"/>
    <w:rsid w:val="00297672"/>
    <w:rsid w:val="00297937"/>
    <w:rsid w:val="002A02FE"/>
    <w:rsid w:val="002A1528"/>
    <w:rsid w:val="002A2B05"/>
    <w:rsid w:val="002A2DC2"/>
    <w:rsid w:val="002A37A1"/>
    <w:rsid w:val="002A3AA8"/>
    <w:rsid w:val="002A5645"/>
    <w:rsid w:val="002A5AFC"/>
    <w:rsid w:val="002A799F"/>
    <w:rsid w:val="002B00CF"/>
    <w:rsid w:val="002B2A65"/>
    <w:rsid w:val="002B3142"/>
    <w:rsid w:val="002B3274"/>
    <w:rsid w:val="002B405C"/>
    <w:rsid w:val="002B42AB"/>
    <w:rsid w:val="002B44EE"/>
    <w:rsid w:val="002B45E6"/>
    <w:rsid w:val="002B5880"/>
    <w:rsid w:val="002C1950"/>
    <w:rsid w:val="002C1E7B"/>
    <w:rsid w:val="002C4526"/>
    <w:rsid w:val="002C4ACA"/>
    <w:rsid w:val="002C607D"/>
    <w:rsid w:val="002C7415"/>
    <w:rsid w:val="002D1693"/>
    <w:rsid w:val="002D16C3"/>
    <w:rsid w:val="002D2E40"/>
    <w:rsid w:val="002D4935"/>
    <w:rsid w:val="002D4B24"/>
    <w:rsid w:val="002D5DEB"/>
    <w:rsid w:val="002D60DC"/>
    <w:rsid w:val="002D64F5"/>
    <w:rsid w:val="002D7862"/>
    <w:rsid w:val="002D7B20"/>
    <w:rsid w:val="002E09D7"/>
    <w:rsid w:val="002E6793"/>
    <w:rsid w:val="002F1093"/>
    <w:rsid w:val="002F1DB1"/>
    <w:rsid w:val="002F3EE2"/>
    <w:rsid w:val="002F58C5"/>
    <w:rsid w:val="002F701C"/>
    <w:rsid w:val="002F7628"/>
    <w:rsid w:val="003004B5"/>
    <w:rsid w:val="003023B8"/>
    <w:rsid w:val="003039FC"/>
    <w:rsid w:val="003047C5"/>
    <w:rsid w:val="00304EBB"/>
    <w:rsid w:val="0030600A"/>
    <w:rsid w:val="00307E28"/>
    <w:rsid w:val="0031388B"/>
    <w:rsid w:val="003142DD"/>
    <w:rsid w:val="003161A1"/>
    <w:rsid w:val="003268F2"/>
    <w:rsid w:val="003277E9"/>
    <w:rsid w:val="003304B6"/>
    <w:rsid w:val="00330A33"/>
    <w:rsid w:val="00332917"/>
    <w:rsid w:val="00332CC8"/>
    <w:rsid w:val="003339A1"/>
    <w:rsid w:val="00333D1E"/>
    <w:rsid w:val="00334BFD"/>
    <w:rsid w:val="00336D19"/>
    <w:rsid w:val="0033789C"/>
    <w:rsid w:val="003378E6"/>
    <w:rsid w:val="00340748"/>
    <w:rsid w:val="0034117E"/>
    <w:rsid w:val="003417C6"/>
    <w:rsid w:val="00341BA4"/>
    <w:rsid w:val="00342AAD"/>
    <w:rsid w:val="003432B3"/>
    <w:rsid w:val="00344DFE"/>
    <w:rsid w:val="00346B53"/>
    <w:rsid w:val="00346C6B"/>
    <w:rsid w:val="00350782"/>
    <w:rsid w:val="00351400"/>
    <w:rsid w:val="00351754"/>
    <w:rsid w:val="00352D85"/>
    <w:rsid w:val="00355242"/>
    <w:rsid w:val="0035779D"/>
    <w:rsid w:val="0036089E"/>
    <w:rsid w:val="00360A3E"/>
    <w:rsid w:val="00360E77"/>
    <w:rsid w:val="00364754"/>
    <w:rsid w:val="003648B6"/>
    <w:rsid w:val="00365054"/>
    <w:rsid w:val="00365181"/>
    <w:rsid w:val="00365D8B"/>
    <w:rsid w:val="00366DA7"/>
    <w:rsid w:val="0036743E"/>
    <w:rsid w:val="0037182F"/>
    <w:rsid w:val="00372CED"/>
    <w:rsid w:val="00373066"/>
    <w:rsid w:val="003756C0"/>
    <w:rsid w:val="00376D24"/>
    <w:rsid w:val="00377547"/>
    <w:rsid w:val="00377B4C"/>
    <w:rsid w:val="003800DB"/>
    <w:rsid w:val="00382320"/>
    <w:rsid w:val="00382356"/>
    <w:rsid w:val="003836DB"/>
    <w:rsid w:val="00383C66"/>
    <w:rsid w:val="003847EB"/>
    <w:rsid w:val="00385639"/>
    <w:rsid w:val="00386A42"/>
    <w:rsid w:val="00386E5A"/>
    <w:rsid w:val="00387980"/>
    <w:rsid w:val="00387F90"/>
    <w:rsid w:val="0039020E"/>
    <w:rsid w:val="00391240"/>
    <w:rsid w:val="00391D7A"/>
    <w:rsid w:val="00392710"/>
    <w:rsid w:val="00392E00"/>
    <w:rsid w:val="00393E8B"/>
    <w:rsid w:val="003953A2"/>
    <w:rsid w:val="00395C50"/>
    <w:rsid w:val="00396296"/>
    <w:rsid w:val="003A3CC0"/>
    <w:rsid w:val="003A438C"/>
    <w:rsid w:val="003A7DCD"/>
    <w:rsid w:val="003B0F50"/>
    <w:rsid w:val="003B2280"/>
    <w:rsid w:val="003B35F0"/>
    <w:rsid w:val="003B4535"/>
    <w:rsid w:val="003B4AA3"/>
    <w:rsid w:val="003B4ACB"/>
    <w:rsid w:val="003B4F7E"/>
    <w:rsid w:val="003B5087"/>
    <w:rsid w:val="003B5754"/>
    <w:rsid w:val="003C3411"/>
    <w:rsid w:val="003C7C06"/>
    <w:rsid w:val="003C7ED9"/>
    <w:rsid w:val="003D05A0"/>
    <w:rsid w:val="003D1BBA"/>
    <w:rsid w:val="003D3216"/>
    <w:rsid w:val="003D5CBE"/>
    <w:rsid w:val="003D7A96"/>
    <w:rsid w:val="003E277E"/>
    <w:rsid w:val="003E2EBD"/>
    <w:rsid w:val="003E435C"/>
    <w:rsid w:val="003E4A66"/>
    <w:rsid w:val="003E52C4"/>
    <w:rsid w:val="003E55C8"/>
    <w:rsid w:val="003E60D2"/>
    <w:rsid w:val="003F110B"/>
    <w:rsid w:val="003F140F"/>
    <w:rsid w:val="003F14E8"/>
    <w:rsid w:val="003F2659"/>
    <w:rsid w:val="003F3DB7"/>
    <w:rsid w:val="003F4695"/>
    <w:rsid w:val="003F7B71"/>
    <w:rsid w:val="00401F1A"/>
    <w:rsid w:val="00406C54"/>
    <w:rsid w:val="004079F4"/>
    <w:rsid w:val="00407DC9"/>
    <w:rsid w:val="004110A1"/>
    <w:rsid w:val="004112DF"/>
    <w:rsid w:val="00411494"/>
    <w:rsid w:val="00412481"/>
    <w:rsid w:val="004124FB"/>
    <w:rsid w:val="0041331B"/>
    <w:rsid w:val="00417A8F"/>
    <w:rsid w:val="00417C14"/>
    <w:rsid w:val="0042026F"/>
    <w:rsid w:val="0042144F"/>
    <w:rsid w:val="00422715"/>
    <w:rsid w:val="004255B8"/>
    <w:rsid w:val="004255DB"/>
    <w:rsid w:val="00425889"/>
    <w:rsid w:val="00425F5B"/>
    <w:rsid w:val="004265C7"/>
    <w:rsid w:val="00427402"/>
    <w:rsid w:val="004309E9"/>
    <w:rsid w:val="00430A20"/>
    <w:rsid w:val="00433C8C"/>
    <w:rsid w:val="004341B9"/>
    <w:rsid w:val="0044065F"/>
    <w:rsid w:val="004416EF"/>
    <w:rsid w:val="00441AA2"/>
    <w:rsid w:val="00443460"/>
    <w:rsid w:val="00443BD9"/>
    <w:rsid w:val="00446AC3"/>
    <w:rsid w:val="00447C86"/>
    <w:rsid w:val="00447D6B"/>
    <w:rsid w:val="004534CB"/>
    <w:rsid w:val="00454A11"/>
    <w:rsid w:val="00454C6E"/>
    <w:rsid w:val="004562E4"/>
    <w:rsid w:val="0045642A"/>
    <w:rsid w:val="00456C3E"/>
    <w:rsid w:val="00461ECE"/>
    <w:rsid w:val="00462DFE"/>
    <w:rsid w:val="004643AE"/>
    <w:rsid w:val="004668E5"/>
    <w:rsid w:val="0046779A"/>
    <w:rsid w:val="004678BF"/>
    <w:rsid w:val="00470186"/>
    <w:rsid w:val="004729DD"/>
    <w:rsid w:val="00473CF4"/>
    <w:rsid w:val="00475389"/>
    <w:rsid w:val="0047540F"/>
    <w:rsid w:val="00476241"/>
    <w:rsid w:val="004765B3"/>
    <w:rsid w:val="00477F92"/>
    <w:rsid w:val="004807C7"/>
    <w:rsid w:val="00480946"/>
    <w:rsid w:val="00481139"/>
    <w:rsid w:val="00481308"/>
    <w:rsid w:val="00481328"/>
    <w:rsid w:val="0048232F"/>
    <w:rsid w:val="00484053"/>
    <w:rsid w:val="0048456D"/>
    <w:rsid w:val="00484E10"/>
    <w:rsid w:val="0048531E"/>
    <w:rsid w:val="00485842"/>
    <w:rsid w:val="00487EF1"/>
    <w:rsid w:val="004916BC"/>
    <w:rsid w:val="00491DCA"/>
    <w:rsid w:val="004933DF"/>
    <w:rsid w:val="00493931"/>
    <w:rsid w:val="00495455"/>
    <w:rsid w:val="00495612"/>
    <w:rsid w:val="00495D1A"/>
    <w:rsid w:val="00497951"/>
    <w:rsid w:val="004A016A"/>
    <w:rsid w:val="004A01AE"/>
    <w:rsid w:val="004A0B15"/>
    <w:rsid w:val="004A20EE"/>
    <w:rsid w:val="004A35FB"/>
    <w:rsid w:val="004A36E4"/>
    <w:rsid w:val="004A3F0D"/>
    <w:rsid w:val="004A4198"/>
    <w:rsid w:val="004A4229"/>
    <w:rsid w:val="004A48BA"/>
    <w:rsid w:val="004A4F0F"/>
    <w:rsid w:val="004A51E3"/>
    <w:rsid w:val="004A55EB"/>
    <w:rsid w:val="004A6E8B"/>
    <w:rsid w:val="004A7EE0"/>
    <w:rsid w:val="004B62BE"/>
    <w:rsid w:val="004B7765"/>
    <w:rsid w:val="004C273E"/>
    <w:rsid w:val="004C2F7B"/>
    <w:rsid w:val="004C386D"/>
    <w:rsid w:val="004C4165"/>
    <w:rsid w:val="004C496C"/>
    <w:rsid w:val="004C4EA6"/>
    <w:rsid w:val="004C6495"/>
    <w:rsid w:val="004C6614"/>
    <w:rsid w:val="004C76B6"/>
    <w:rsid w:val="004C7D2D"/>
    <w:rsid w:val="004D05B2"/>
    <w:rsid w:val="004D0B3F"/>
    <w:rsid w:val="004D1AF8"/>
    <w:rsid w:val="004D1DBF"/>
    <w:rsid w:val="004D3F70"/>
    <w:rsid w:val="004D49A3"/>
    <w:rsid w:val="004D6416"/>
    <w:rsid w:val="004D70B5"/>
    <w:rsid w:val="004E0734"/>
    <w:rsid w:val="004E0CF4"/>
    <w:rsid w:val="004E1E06"/>
    <w:rsid w:val="004E2F74"/>
    <w:rsid w:val="004E34ED"/>
    <w:rsid w:val="004E3519"/>
    <w:rsid w:val="004E4B76"/>
    <w:rsid w:val="004E53D9"/>
    <w:rsid w:val="004E617F"/>
    <w:rsid w:val="004F12FE"/>
    <w:rsid w:val="004F2303"/>
    <w:rsid w:val="004F244F"/>
    <w:rsid w:val="004F24D9"/>
    <w:rsid w:val="004F2E83"/>
    <w:rsid w:val="004F3575"/>
    <w:rsid w:val="004F4F63"/>
    <w:rsid w:val="004F5F4E"/>
    <w:rsid w:val="00500D97"/>
    <w:rsid w:val="00501E68"/>
    <w:rsid w:val="00502E28"/>
    <w:rsid w:val="00503754"/>
    <w:rsid w:val="00507FD5"/>
    <w:rsid w:val="005122F4"/>
    <w:rsid w:val="005126C9"/>
    <w:rsid w:val="0051303D"/>
    <w:rsid w:val="00514026"/>
    <w:rsid w:val="00517D4B"/>
    <w:rsid w:val="005243BB"/>
    <w:rsid w:val="0052466A"/>
    <w:rsid w:val="00524807"/>
    <w:rsid w:val="00525A38"/>
    <w:rsid w:val="00525C48"/>
    <w:rsid w:val="00530BD0"/>
    <w:rsid w:val="00534527"/>
    <w:rsid w:val="00536B49"/>
    <w:rsid w:val="005373B5"/>
    <w:rsid w:val="00537579"/>
    <w:rsid w:val="005417E6"/>
    <w:rsid w:val="00541DE8"/>
    <w:rsid w:val="00542BD5"/>
    <w:rsid w:val="005439D6"/>
    <w:rsid w:val="005442D8"/>
    <w:rsid w:val="00544808"/>
    <w:rsid w:val="00545AC1"/>
    <w:rsid w:val="005464F1"/>
    <w:rsid w:val="00547B8E"/>
    <w:rsid w:val="00550DFD"/>
    <w:rsid w:val="00550FA9"/>
    <w:rsid w:val="00552D76"/>
    <w:rsid w:val="005560AF"/>
    <w:rsid w:val="00561155"/>
    <w:rsid w:val="00561B93"/>
    <w:rsid w:val="00563D25"/>
    <w:rsid w:val="0056492E"/>
    <w:rsid w:val="00565728"/>
    <w:rsid w:val="005667F7"/>
    <w:rsid w:val="00571CD8"/>
    <w:rsid w:val="00572EF9"/>
    <w:rsid w:val="00573B81"/>
    <w:rsid w:val="0057583F"/>
    <w:rsid w:val="00575DF6"/>
    <w:rsid w:val="00575FD0"/>
    <w:rsid w:val="005767D3"/>
    <w:rsid w:val="00580CCA"/>
    <w:rsid w:val="00583B17"/>
    <w:rsid w:val="005851AD"/>
    <w:rsid w:val="005866B7"/>
    <w:rsid w:val="00587EC4"/>
    <w:rsid w:val="0059139B"/>
    <w:rsid w:val="00591D83"/>
    <w:rsid w:val="005A0160"/>
    <w:rsid w:val="005A21D0"/>
    <w:rsid w:val="005A23F6"/>
    <w:rsid w:val="005A2744"/>
    <w:rsid w:val="005A2DDF"/>
    <w:rsid w:val="005A5E8B"/>
    <w:rsid w:val="005A72A1"/>
    <w:rsid w:val="005A73DA"/>
    <w:rsid w:val="005B09CB"/>
    <w:rsid w:val="005B0BBB"/>
    <w:rsid w:val="005B111A"/>
    <w:rsid w:val="005B16C8"/>
    <w:rsid w:val="005B1766"/>
    <w:rsid w:val="005B1AF9"/>
    <w:rsid w:val="005B55D5"/>
    <w:rsid w:val="005B6383"/>
    <w:rsid w:val="005B679E"/>
    <w:rsid w:val="005B6CD5"/>
    <w:rsid w:val="005C0DF4"/>
    <w:rsid w:val="005C1FA6"/>
    <w:rsid w:val="005C21FC"/>
    <w:rsid w:val="005C2C5E"/>
    <w:rsid w:val="005C4940"/>
    <w:rsid w:val="005C5484"/>
    <w:rsid w:val="005C63AF"/>
    <w:rsid w:val="005C70FD"/>
    <w:rsid w:val="005C7D82"/>
    <w:rsid w:val="005D171E"/>
    <w:rsid w:val="005D26E2"/>
    <w:rsid w:val="005D367B"/>
    <w:rsid w:val="005D3C61"/>
    <w:rsid w:val="005D67FA"/>
    <w:rsid w:val="005D7048"/>
    <w:rsid w:val="005D7153"/>
    <w:rsid w:val="005E3422"/>
    <w:rsid w:val="005E3506"/>
    <w:rsid w:val="005F0D0E"/>
    <w:rsid w:val="005F2C72"/>
    <w:rsid w:val="005F3721"/>
    <w:rsid w:val="005F4EF6"/>
    <w:rsid w:val="005F77F5"/>
    <w:rsid w:val="00600F9E"/>
    <w:rsid w:val="00602089"/>
    <w:rsid w:val="00602D40"/>
    <w:rsid w:val="0060491E"/>
    <w:rsid w:val="00604EB9"/>
    <w:rsid w:val="0060626D"/>
    <w:rsid w:val="00607140"/>
    <w:rsid w:val="006077C0"/>
    <w:rsid w:val="00610D7F"/>
    <w:rsid w:val="006112E2"/>
    <w:rsid w:val="0061141A"/>
    <w:rsid w:val="006117FD"/>
    <w:rsid w:val="00611AA8"/>
    <w:rsid w:val="00612073"/>
    <w:rsid w:val="00613B84"/>
    <w:rsid w:val="00613F52"/>
    <w:rsid w:val="0061497D"/>
    <w:rsid w:val="00616A57"/>
    <w:rsid w:val="0061717B"/>
    <w:rsid w:val="006174C2"/>
    <w:rsid w:val="00620ADE"/>
    <w:rsid w:val="0062168F"/>
    <w:rsid w:val="006217AC"/>
    <w:rsid w:val="00621CE7"/>
    <w:rsid w:val="00622FEA"/>
    <w:rsid w:val="0062418B"/>
    <w:rsid w:val="0062752D"/>
    <w:rsid w:val="00627D2F"/>
    <w:rsid w:val="00627D76"/>
    <w:rsid w:val="00630013"/>
    <w:rsid w:val="0063043D"/>
    <w:rsid w:val="00632FBC"/>
    <w:rsid w:val="00634722"/>
    <w:rsid w:val="00635080"/>
    <w:rsid w:val="0063560F"/>
    <w:rsid w:val="0063599A"/>
    <w:rsid w:val="00636F27"/>
    <w:rsid w:val="00640C55"/>
    <w:rsid w:val="00642B3A"/>
    <w:rsid w:val="00644C99"/>
    <w:rsid w:val="00646166"/>
    <w:rsid w:val="00647D00"/>
    <w:rsid w:val="006519CA"/>
    <w:rsid w:val="006521F9"/>
    <w:rsid w:val="00653AD4"/>
    <w:rsid w:val="00654B48"/>
    <w:rsid w:val="00655F9B"/>
    <w:rsid w:val="006560D9"/>
    <w:rsid w:val="00656A69"/>
    <w:rsid w:val="006602D1"/>
    <w:rsid w:val="00661D8D"/>
    <w:rsid w:val="00662215"/>
    <w:rsid w:val="0066249F"/>
    <w:rsid w:val="00662FE3"/>
    <w:rsid w:val="00663527"/>
    <w:rsid w:val="006659B7"/>
    <w:rsid w:val="00666C99"/>
    <w:rsid w:val="00666DB0"/>
    <w:rsid w:val="00667555"/>
    <w:rsid w:val="006679D5"/>
    <w:rsid w:val="00670BB7"/>
    <w:rsid w:val="00671C82"/>
    <w:rsid w:val="00671F92"/>
    <w:rsid w:val="006724EA"/>
    <w:rsid w:val="00673446"/>
    <w:rsid w:val="00674183"/>
    <w:rsid w:val="00676A3E"/>
    <w:rsid w:val="006806DF"/>
    <w:rsid w:val="00680B19"/>
    <w:rsid w:val="00680CD2"/>
    <w:rsid w:val="006828A2"/>
    <w:rsid w:val="00682DA1"/>
    <w:rsid w:val="0068548F"/>
    <w:rsid w:val="00685EFA"/>
    <w:rsid w:val="00686E00"/>
    <w:rsid w:val="00687A3A"/>
    <w:rsid w:val="00694815"/>
    <w:rsid w:val="006A1635"/>
    <w:rsid w:val="006A1756"/>
    <w:rsid w:val="006A1B9F"/>
    <w:rsid w:val="006A2DBF"/>
    <w:rsid w:val="006A3495"/>
    <w:rsid w:val="006A389C"/>
    <w:rsid w:val="006A3981"/>
    <w:rsid w:val="006A4A3A"/>
    <w:rsid w:val="006A60DB"/>
    <w:rsid w:val="006A7DC3"/>
    <w:rsid w:val="006B24C4"/>
    <w:rsid w:val="006B282C"/>
    <w:rsid w:val="006B340F"/>
    <w:rsid w:val="006B393C"/>
    <w:rsid w:val="006B6159"/>
    <w:rsid w:val="006B796E"/>
    <w:rsid w:val="006C0307"/>
    <w:rsid w:val="006C0606"/>
    <w:rsid w:val="006C15DA"/>
    <w:rsid w:val="006C1820"/>
    <w:rsid w:val="006C2351"/>
    <w:rsid w:val="006C4430"/>
    <w:rsid w:val="006C5201"/>
    <w:rsid w:val="006C5463"/>
    <w:rsid w:val="006C5B83"/>
    <w:rsid w:val="006C64C3"/>
    <w:rsid w:val="006C7C99"/>
    <w:rsid w:val="006D052A"/>
    <w:rsid w:val="006D05B1"/>
    <w:rsid w:val="006D0941"/>
    <w:rsid w:val="006D1D1B"/>
    <w:rsid w:val="006D41F8"/>
    <w:rsid w:val="006D4C55"/>
    <w:rsid w:val="006D52DE"/>
    <w:rsid w:val="006D5DB4"/>
    <w:rsid w:val="006D6429"/>
    <w:rsid w:val="006D6E10"/>
    <w:rsid w:val="006D6E3D"/>
    <w:rsid w:val="006D77D7"/>
    <w:rsid w:val="006D7B98"/>
    <w:rsid w:val="006D7DE2"/>
    <w:rsid w:val="006E0C64"/>
    <w:rsid w:val="006E1A60"/>
    <w:rsid w:val="006E1EC0"/>
    <w:rsid w:val="006E50C0"/>
    <w:rsid w:val="006E50DB"/>
    <w:rsid w:val="006E5C47"/>
    <w:rsid w:val="006E64E1"/>
    <w:rsid w:val="006E6B06"/>
    <w:rsid w:val="006F0E4A"/>
    <w:rsid w:val="006F2BB7"/>
    <w:rsid w:val="006F5863"/>
    <w:rsid w:val="006F609F"/>
    <w:rsid w:val="006F64CE"/>
    <w:rsid w:val="006F7689"/>
    <w:rsid w:val="007008C5"/>
    <w:rsid w:val="007016D9"/>
    <w:rsid w:val="0070351C"/>
    <w:rsid w:val="00703E49"/>
    <w:rsid w:val="0070474D"/>
    <w:rsid w:val="00705731"/>
    <w:rsid w:val="00713666"/>
    <w:rsid w:val="0071464B"/>
    <w:rsid w:val="007158B7"/>
    <w:rsid w:val="00715F14"/>
    <w:rsid w:val="007168B2"/>
    <w:rsid w:val="00717753"/>
    <w:rsid w:val="00717E9D"/>
    <w:rsid w:val="00720245"/>
    <w:rsid w:val="007208B0"/>
    <w:rsid w:val="00721211"/>
    <w:rsid w:val="00721297"/>
    <w:rsid w:val="00721F05"/>
    <w:rsid w:val="0072266F"/>
    <w:rsid w:val="0072353E"/>
    <w:rsid w:val="007244B4"/>
    <w:rsid w:val="0072451A"/>
    <w:rsid w:val="00724CB1"/>
    <w:rsid w:val="0072785E"/>
    <w:rsid w:val="00727BC2"/>
    <w:rsid w:val="0073017C"/>
    <w:rsid w:val="007308FA"/>
    <w:rsid w:val="00731126"/>
    <w:rsid w:val="00735A8E"/>
    <w:rsid w:val="00736C08"/>
    <w:rsid w:val="00740205"/>
    <w:rsid w:val="00740476"/>
    <w:rsid w:val="00743635"/>
    <w:rsid w:val="00744B2B"/>
    <w:rsid w:val="00745E5A"/>
    <w:rsid w:val="0074774B"/>
    <w:rsid w:val="00747D5F"/>
    <w:rsid w:val="0075051C"/>
    <w:rsid w:val="007519CC"/>
    <w:rsid w:val="00752DAF"/>
    <w:rsid w:val="00753321"/>
    <w:rsid w:val="00753A60"/>
    <w:rsid w:val="007556CD"/>
    <w:rsid w:val="007664EB"/>
    <w:rsid w:val="00766894"/>
    <w:rsid w:val="00766EA5"/>
    <w:rsid w:val="00771035"/>
    <w:rsid w:val="00771926"/>
    <w:rsid w:val="00773625"/>
    <w:rsid w:val="00774E0A"/>
    <w:rsid w:val="007754BE"/>
    <w:rsid w:val="00775979"/>
    <w:rsid w:val="00777231"/>
    <w:rsid w:val="00781880"/>
    <w:rsid w:val="00781DA6"/>
    <w:rsid w:val="00782696"/>
    <w:rsid w:val="0078272A"/>
    <w:rsid w:val="007828ED"/>
    <w:rsid w:val="0078294B"/>
    <w:rsid w:val="00784327"/>
    <w:rsid w:val="007849AC"/>
    <w:rsid w:val="00784F5F"/>
    <w:rsid w:val="00785D0A"/>
    <w:rsid w:val="00786746"/>
    <w:rsid w:val="0078699E"/>
    <w:rsid w:val="00787800"/>
    <w:rsid w:val="00787B96"/>
    <w:rsid w:val="00790991"/>
    <w:rsid w:val="00792AE9"/>
    <w:rsid w:val="00793522"/>
    <w:rsid w:val="00795152"/>
    <w:rsid w:val="00795723"/>
    <w:rsid w:val="00795831"/>
    <w:rsid w:val="00795BAB"/>
    <w:rsid w:val="00795D8A"/>
    <w:rsid w:val="00796960"/>
    <w:rsid w:val="007A2C10"/>
    <w:rsid w:val="007A4C15"/>
    <w:rsid w:val="007A63C5"/>
    <w:rsid w:val="007B0B13"/>
    <w:rsid w:val="007B0D5A"/>
    <w:rsid w:val="007B0DA6"/>
    <w:rsid w:val="007B1187"/>
    <w:rsid w:val="007B2570"/>
    <w:rsid w:val="007B2742"/>
    <w:rsid w:val="007B2E41"/>
    <w:rsid w:val="007B41AA"/>
    <w:rsid w:val="007B43ED"/>
    <w:rsid w:val="007B4770"/>
    <w:rsid w:val="007B66D4"/>
    <w:rsid w:val="007C2650"/>
    <w:rsid w:val="007C40A0"/>
    <w:rsid w:val="007C5244"/>
    <w:rsid w:val="007C6A4C"/>
    <w:rsid w:val="007C702E"/>
    <w:rsid w:val="007C70DF"/>
    <w:rsid w:val="007C7136"/>
    <w:rsid w:val="007D0663"/>
    <w:rsid w:val="007D30F8"/>
    <w:rsid w:val="007D4882"/>
    <w:rsid w:val="007D4C9F"/>
    <w:rsid w:val="007D6EA5"/>
    <w:rsid w:val="007E356D"/>
    <w:rsid w:val="007E4F1C"/>
    <w:rsid w:val="007E582D"/>
    <w:rsid w:val="007E69D3"/>
    <w:rsid w:val="007E6B02"/>
    <w:rsid w:val="007F04CA"/>
    <w:rsid w:val="007F1F96"/>
    <w:rsid w:val="007F6622"/>
    <w:rsid w:val="00801AC1"/>
    <w:rsid w:val="00802BF6"/>
    <w:rsid w:val="00807F76"/>
    <w:rsid w:val="0081068F"/>
    <w:rsid w:val="00812144"/>
    <w:rsid w:val="008123D2"/>
    <w:rsid w:val="00813C8F"/>
    <w:rsid w:val="00813F48"/>
    <w:rsid w:val="00821169"/>
    <w:rsid w:val="008217FE"/>
    <w:rsid w:val="00821CC2"/>
    <w:rsid w:val="00821F6F"/>
    <w:rsid w:val="008223B6"/>
    <w:rsid w:val="0082430D"/>
    <w:rsid w:val="00824D07"/>
    <w:rsid w:val="00830569"/>
    <w:rsid w:val="0083059B"/>
    <w:rsid w:val="008307A5"/>
    <w:rsid w:val="00832171"/>
    <w:rsid w:val="008321B4"/>
    <w:rsid w:val="008322B9"/>
    <w:rsid w:val="00834FF2"/>
    <w:rsid w:val="00835C4E"/>
    <w:rsid w:val="0083615E"/>
    <w:rsid w:val="00841AB1"/>
    <w:rsid w:val="0084291C"/>
    <w:rsid w:val="00843AFE"/>
    <w:rsid w:val="00843D69"/>
    <w:rsid w:val="00844185"/>
    <w:rsid w:val="00844E94"/>
    <w:rsid w:val="00845BD5"/>
    <w:rsid w:val="0085100B"/>
    <w:rsid w:val="00851AB4"/>
    <w:rsid w:val="00852F53"/>
    <w:rsid w:val="00854337"/>
    <w:rsid w:val="00854D38"/>
    <w:rsid w:val="00854F59"/>
    <w:rsid w:val="0085565A"/>
    <w:rsid w:val="0085573A"/>
    <w:rsid w:val="0085582B"/>
    <w:rsid w:val="00855D0A"/>
    <w:rsid w:val="008576D9"/>
    <w:rsid w:val="00857CE8"/>
    <w:rsid w:val="008605FA"/>
    <w:rsid w:val="008621EB"/>
    <w:rsid w:val="0086387F"/>
    <w:rsid w:val="008673EB"/>
    <w:rsid w:val="00871A1C"/>
    <w:rsid w:val="0087289E"/>
    <w:rsid w:val="0087301F"/>
    <w:rsid w:val="00873343"/>
    <w:rsid w:val="00873896"/>
    <w:rsid w:val="00874342"/>
    <w:rsid w:val="008763E1"/>
    <w:rsid w:val="00876CC8"/>
    <w:rsid w:val="008778F9"/>
    <w:rsid w:val="00877B82"/>
    <w:rsid w:val="00877DAE"/>
    <w:rsid w:val="008804FD"/>
    <w:rsid w:val="0088092D"/>
    <w:rsid w:val="008811B5"/>
    <w:rsid w:val="00881B2C"/>
    <w:rsid w:val="00881D86"/>
    <w:rsid w:val="008821A2"/>
    <w:rsid w:val="00882D78"/>
    <w:rsid w:val="00884034"/>
    <w:rsid w:val="00884B52"/>
    <w:rsid w:val="00886973"/>
    <w:rsid w:val="008879D9"/>
    <w:rsid w:val="00891BB1"/>
    <w:rsid w:val="00895B37"/>
    <w:rsid w:val="00896440"/>
    <w:rsid w:val="008966BC"/>
    <w:rsid w:val="008A305E"/>
    <w:rsid w:val="008A3CF5"/>
    <w:rsid w:val="008A4B81"/>
    <w:rsid w:val="008A53CC"/>
    <w:rsid w:val="008A56CF"/>
    <w:rsid w:val="008A632E"/>
    <w:rsid w:val="008A66F9"/>
    <w:rsid w:val="008A6E42"/>
    <w:rsid w:val="008A6F8C"/>
    <w:rsid w:val="008A72A6"/>
    <w:rsid w:val="008B0103"/>
    <w:rsid w:val="008B0698"/>
    <w:rsid w:val="008B0E4F"/>
    <w:rsid w:val="008B11ED"/>
    <w:rsid w:val="008C0C82"/>
    <w:rsid w:val="008C1113"/>
    <w:rsid w:val="008C26BE"/>
    <w:rsid w:val="008C421F"/>
    <w:rsid w:val="008C5567"/>
    <w:rsid w:val="008C79EF"/>
    <w:rsid w:val="008D043B"/>
    <w:rsid w:val="008D076E"/>
    <w:rsid w:val="008D14B1"/>
    <w:rsid w:val="008D1D7E"/>
    <w:rsid w:val="008D228D"/>
    <w:rsid w:val="008D2E65"/>
    <w:rsid w:val="008D338E"/>
    <w:rsid w:val="008D3805"/>
    <w:rsid w:val="008D3A2F"/>
    <w:rsid w:val="008D41A5"/>
    <w:rsid w:val="008D439E"/>
    <w:rsid w:val="008D62FA"/>
    <w:rsid w:val="008D7EBF"/>
    <w:rsid w:val="008D7FB8"/>
    <w:rsid w:val="008E0270"/>
    <w:rsid w:val="008E0E81"/>
    <w:rsid w:val="008F1736"/>
    <w:rsid w:val="008F7DD6"/>
    <w:rsid w:val="00900619"/>
    <w:rsid w:val="0090108A"/>
    <w:rsid w:val="00901578"/>
    <w:rsid w:val="00901FCB"/>
    <w:rsid w:val="00903C65"/>
    <w:rsid w:val="00904667"/>
    <w:rsid w:val="00906B9F"/>
    <w:rsid w:val="00907048"/>
    <w:rsid w:val="00907C77"/>
    <w:rsid w:val="00911CBD"/>
    <w:rsid w:val="009126A3"/>
    <w:rsid w:val="00913719"/>
    <w:rsid w:val="00913DF0"/>
    <w:rsid w:val="00913F8C"/>
    <w:rsid w:val="009171C7"/>
    <w:rsid w:val="00920601"/>
    <w:rsid w:val="00921286"/>
    <w:rsid w:val="00921850"/>
    <w:rsid w:val="0092257E"/>
    <w:rsid w:val="00923870"/>
    <w:rsid w:val="00923C8B"/>
    <w:rsid w:val="0092563B"/>
    <w:rsid w:val="00926192"/>
    <w:rsid w:val="00926829"/>
    <w:rsid w:val="0092709A"/>
    <w:rsid w:val="00935AB4"/>
    <w:rsid w:val="00935C67"/>
    <w:rsid w:val="0093651C"/>
    <w:rsid w:val="00936AEC"/>
    <w:rsid w:val="00936DF2"/>
    <w:rsid w:val="00936E77"/>
    <w:rsid w:val="00937F5F"/>
    <w:rsid w:val="009408B1"/>
    <w:rsid w:val="0094234A"/>
    <w:rsid w:val="0094321A"/>
    <w:rsid w:val="0094438B"/>
    <w:rsid w:val="009456AC"/>
    <w:rsid w:val="00946230"/>
    <w:rsid w:val="00950296"/>
    <w:rsid w:val="009545CA"/>
    <w:rsid w:val="00954BE1"/>
    <w:rsid w:val="009570A2"/>
    <w:rsid w:val="00957569"/>
    <w:rsid w:val="00962EF2"/>
    <w:rsid w:val="0096303C"/>
    <w:rsid w:val="00963ABD"/>
    <w:rsid w:val="009642ED"/>
    <w:rsid w:val="00965F95"/>
    <w:rsid w:val="009660C2"/>
    <w:rsid w:val="00966469"/>
    <w:rsid w:val="00967437"/>
    <w:rsid w:val="00967C6E"/>
    <w:rsid w:val="00967E0E"/>
    <w:rsid w:val="00967FFE"/>
    <w:rsid w:val="009704A9"/>
    <w:rsid w:val="00972E80"/>
    <w:rsid w:val="009747CD"/>
    <w:rsid w:val="00974E1E"/>
    <w:rsid w:val="009762B7"/>
    <w:rsid w:val="00977733"/>
    <w:rsid w:val="00982DC8"/>
    <w:rsid w:val="00983036"/>
    <w:rsid w:val="00983B56"/>
    <w:rsid w:val="00983B83"/>
    <w:rsid w:val="00984BF4"/>
    <w:rsid w:val="0099095F"/>
    <w:rsid w:val="00992585"/>
    <w:rsid w:val="00992EC2"/>
    <w:rsid w:val="00993327"/>
    <w:rsid w:val="00993576"/>
    <w:rsid w:val="009938F4"/>
    <w:rsid w:val="00994F4B"/>
    <w:rsid w:val="00996094"/>
    <w:rsid w:val="00996F6D"/>
    <w:rsid w:val="009A01A3"/>
    <w:rsid w:val="009A09AF"/>
    <w:rsid w:val="009A0C40"/>
    <w:rsid w:val="009A28F3"/>
    <w:rsid w:val="009A2C5D"/>
    <w:rsid w:val="009A34DB"/>
    <w:rsid w:val="009A38AE"/>
    <w:rsid w:val="009A3D50"/>
    <w:rsid w:val="009A4C77"/>
    <w:rsid w:val="009B02C0"/>
    <w:rsid w:val="009B27C5"/>
    <w:rsid w:val="009B32A5"/>
    <w:rsid w:val="009B4586"/>
    <w:rsid w:val="009C0DF5"/>
    <w:rsid w:val="009C2728"/>
    <w:rsid w:val="009C2A17"/>
    <w:rsid w:val="009C34D5"/>
    <w:rsid w:val="009C4126"/>
    <w:rsid w:val="009C52E7"/>
    <w:rsid w:val="009C650B"/>
    <w:rsid w:val="009C7389"/>
    <w:rsid w:val="009D09D4"/>
    <w:rsid w:val="009D142B"/>
    <w:rsid w:val="009D27FC"/>
    <w:rsid w:val="009D3A3E"/>
    <w:rsid w:val="009D47E1"/>
    <w:rsid w:val="009D51A1"/>
    <w:rsid w:val="009D5E6B"/>
    <w:rsid w:val="009D65BC"/>
    <w:rsid w:val="009D72C9"/>
    <w:rsid w:val="009D73FE"/>
    <w:rsid w:val="009D77EF"/>
    <w:rsid w:val="009D7D56"/>
    <w:rsid w:val="009D7D95"/>
    <w:rsid w:val="009E00C2"/>
    <w:rsid w:val="009E0EFE"/>
    <w:rsid w:val="009E2252"/>
    <w:rsid w:val="009E25B8"/>
    <w:rsid w:val="009E333A"/>
    <w:rsid w:val="009E35AA"/>
    <w:rsid w:val="009E6141"/>
    <w:rsid w:val="009E6D8D"/>
    <w:rsid w:val="009F2ACA"/>
    <w:rsid w:val="009F2BE5"/>
    <w:rsid w:val="009F3084"/>
    <w:rsid w:val="009F32D6"/>
    <w:rsid w:val="009F3A80"/>
    <w:rsid w:val="009F4508"/>
    <w:rsid w:val="009F483B"/>
    <w:rsid w:val="009F4AF3"/>
    <w:rsid w:val="009F4B91"/>
    <w:rsid w:val="009F6053"/>
    <w:rsid w:val="009F6955"/>
    <w:rsid w:val="00A0172A"/>
    <w:rsid w:val="00A03EB7"/>
    <w:rsid w:val="00A06CE8"/>
    <w:rsid w:val="00A07FA3"/>
    <w:rsid w:val="00A10D62"/>
    <w:rsid w:val="00A12EEC"/>
    <w:rsid w:val="00A1359A"/>
    <w:rsid w:val="00A14329"/>
    <w:rsid w:val="00A166AB"/>
    <w:rsid w:val="00A206FF"/>
    <w:rsid w:val="00A207C6"/>
    <w:rsid w:val="00A2092F"/>
    <w:rsid w:val="00A2110C"/>
    <w:rsid w:val="00A21346"/>
    <w:rsid w:val="00A218AD"/>
    <w:rsid w:val="00A23C7B"/>
    <w:rsid w:val="00A24951"/>
    <w:rsid w:val="00A253D9"/>
    <w:rsid w:val="00A256F2"/>
    <w:rsid w:val="00A2666F"/>
    <w:rsid w:val="00A2717A"/>
    <w:rsid w:val="00A273E0"/>
    <w:rsid w:val="00A30F79"/>
    <w:rsid w:val="00A30F92"/>
    <w:rsid w:val="00A31E46"/>
    <w:rsid w:val="00A3292B"/>
    <w:rsid w:val="00A332E2"/>
    <w:rsid w:val="00A33516"/>
    <w:rsid w:val="00A33F92"/>
    <w:rsid w:val="00A346A8"/>
    <w:rsid w:val="00A36C60"/>
    <w:rsid w:val="00A36E46"/>
    <w:rsid w:val="00A379D0"/>
    <w:rsid w:val="00A4035C"/>
    <w:rsid w:val="00A403E4"/>
    <w:rsid w:val="00A409EA"/>
    <w:rsid w:val="00A40FEB"/>
    <w:rsid w:val="00A41A4F"/>
    <w:rsid w:val="00A43196"/>
    <w:rsid w:val="00A43BA7"/>
    <w:rsid w:val="00A44536"/>
    <w:rsid w:val="00A44D49"/>
    <w:rsid w:val="00A44E45"/>
    <w:rsid w:val="00A45D6A"/>
    <w:rsid w:val="00A461DA"/>
    <w:rsid w:val="00A4678F"/>
    <w:rsid w:val="00A47933"/>
    <w:rsid w:val="00A47CFD"/>
    <w:rsid w:val="00A51376"/>
    <w:rsid w:val="00A51FFD"/>
    <w:rsid w:val="00A52C7F"/>
    <w:rsid w:val="00A53460"/>
    <w:rsid w:val="00A55EC7"/>
    <w:rsid w:val="00A56FF9"/>
    <w:rsid w:val="00A61832"/>
    <w:rsid w:val="00A61BF4"/>
    <w:rsid w:val="00A62C9E"/>
    <w:rsid w:val="00A64322"/>
    <w:rsid w:val="00A645F3"/>
    <w:rsid w:val="00A64767"/>
    <w:rsid w:val="00A64A42"/>
    <w:rsid w:val="00A6555B"/>
    <w:rsid w:val="00A65ADB"/>
    <w:rsid w:val="00A66C34"/>
    <w:rsid w:val="00A67D1B"/>
    <w:rsid w:val="00A710F2"/>
    <w:rsid w:val="00A71519"/>
    <w:rsid w:val="00A71730"/>
    <w:rsid w:val="00A71DAE"/>
    <w:rsid w:val="00A7290C"/>
    <w:rsid w:val="00A72936"/>
    <w:rsid w:val="00A7489A"/>
    <w:rsid w:val="00A75967"/>
    <w:rsid w:val="00A76CE4"/>
    <w:rsid w:val="00A777F3"/>
    <w:rsid w:val="00A77B32"/>
    <w:rsid w:val="00A8161F"/>
    <w:rsid w:val="00A823C8"/>
    <w:rsid w:val="00A82446"/>
    <w:rsid w:val="00A82B2F"/>
    <w:rsid w:val="00A84E3D"/>
    <w:rsid w:val="00A90A2F"/>
    <w:rsid w:val="00A9177F"/>
    <w:rsid w:val="00A930D5"/>
    <w:rsid w:val="00A93758"/>
    <w:rsid w:val="00A945CB"/>
    <w:rsid w:val="00A9540A"/>
    <w:rsid w:val="00A96A7B"/>
    <w:rsid w:val="00A96DAB"/>
    <w:rsid w:val="00AA0EB6"/>
    <w:rsid w:val="00AA2762"/>
    <w:rsid w:val="00AA40DA"/>
    <w:rsid w:val="00AA5258"/>
    <w:rsid w:val="00AA6C71"/>
    <w:rsid w:val="00AA70D0"/>
    <w:rsid w:val="00AA7B31"/>
    <w:rsid w:val="00AB1FD7"/>
    <w:rsid w:val="00AB3FC5"/>
    <w:rsid w:val="00AB4020"/>
    <w:rsid w:val="00AB4811"/>
    <w:rsid w:val="00AB7F5A"/>
    <w:rsid w:val="00AC13E7"/>
    <w:rsid w:val="00AC1CB9"/>
    <w:rsid w:val="00AC2F4A"/>
    <w:rsid w:val="00AC3241"/>
    <w:rsid w:val="00AC3F70"/>
    <w:rsid w:val="00AC6D42"/>
    <w:rsid w:val="00AC7F50"/>
    <w:rsid w:val="00AC7F71"/>
    <w:rsid w:val="00AD210E"/>
    <w:rsid w:val="00AD270C"/>
    <w:rsid w:val="00AD47D8"/>
    <w:rsid w:val="00AD4BE6"/>
    <w:rsid w:val="00AE0D70"/>
    <w:rsid w:val="00AE1686"/>
    <w:rsid w:val="00AE175F"/>
    <w:rsid w:val="00AE1EC6"/>
    <w:rsid w:val="00AE3195"/>
    <w:rsid w:val="00AE33D7"/>
    <w:rsid w:val="00AE47BD"/>
    <w:rsid w:val="00AE5224"/>
    <w:rsid w:val="00AE5A4D"/>
    <w:rsid w:val="00AE6DFD"/>
    <w:rsid w:val="00AF02AB"/>
    <w:rsid w:val="00AF2A87"/>
    <w:rsid w:val="00AF2A9F"/>
    <w:rsid w:val="00AF2AFD"/>
    <w:rsid w:val="00AF2FB5"/>
    <w:rsid w:val="00AF3536"/>
    <w:rsid w:val="00AF3589"/>
    <w:rsid w:val="00AF3F0C"/>
    <w:rsid w:val="00AF46CC"/>
    <w:rsid w:val="00AF721B"/>
    <w:rsid w:val="00AF767C"/>
    <w:rsid w:val="00AF76F0"/>
    <w:rsid w:val="00AF7A7E"/>
    <w:rsid w:val="00B00E4C"/>
    <w:rsid w:val="00B0193C"/>
    <w:rsid w:val="00B022B2"/>
    <w:rsid w:val="00B022D4"/>
    <w:rsid w:val="00B02652"/>
    <w:rsid w:val="00B02C9B"/>
    <w:rsid w:val="00B036A9"/>
    <w:rsid w:val="00B048B7"/>
    <w:rsid w:val="00B04EFD"/>
    <w:rsid w:val="00B06357"/>
    <w:rsid w:val="00B066BB"/>
    <w:rsid w:val="00B10561"/>
    <w:rsid w:val="00B12A4D"/>
    <w:rsid w:val="00B14A4E"/>
    <w:rsid w:val="00B14AD2"/>
    <w:rsid w:val="00B15BB0"/>
    <w:rsid w:val="00B1639D"/>
    <w:rsid w:val="00B16D5F"/>
    <w:rsid w:val="00B16FD0"/>
    <w:rsid w:val="00B17371"/>
    <w:rsid w:val="00B2088E"/>
    <w:rsid w:val="00B20F71"/>
    <w:rsid w:val="00B274E6"/>
    <w:rsid w:val="00B3277C"/>
    <w:rsid w:val="00B33357"/>
    <w:rsid w:val="00B334CA"/>
    <w:rsid w:val="00B334E4"/>
    <w:rsid w:val="00B33874"/>
    <w:rsid w:val="00B40689"/>
    <w:rsid w:val="00B420F1"/>
    <w:rsid w:val="00B42826"/>
    <w:rsid w:val="00B44604"/>
    <w:rsid w:val="00B4741B"/>
    <w:rsid w:val="00B5104F"/>
    <w:rsid w:val="00B52DE7"/>
    <w:rsid w:val="00B548C2"/>
    <w:rsid w:val="00B55390"/>
    <w:rsid w:val="00B55667"/>
    <w:rsid w:val="00B55D1D"/>
    <w:rsid w:val="00B57629"/>
    <w:rsid w:val="00B57A80"/>
    <w:rsid w:val="00B6096C"/>
    <w:rsid w:val="00B618C2"/>
    <w:rsid w:val="00B640D9"/>
    <w:rsid w:val="00B64477"/>
    <w:rsid w:val="00B6475E"/>
    <w:rsid w:val="00B65CD9"/>
    <w:rsid w:val="00B66134"/>
    <w:rsid w:val="00B666B6"/>
    <w:rsid w:val="00B70385"/>
    <w:rsid w:val="00B71C49"/>
    <w:rsid w:val="00B724EC"/>
    <w:rsid w:val="00B73131"/>
    <w:rsid w:val="00B731DB"/>
    <w:rsid w:val="00B73A4A"/>
    <w:rsid w:val="00B74C89"/>
    <w:rsid w:val="00B7690C"/>
    <w:rsid w:val="00B77A63"/>
    <w:rsid w:val="00B80300"/>
    <w:rsid w:val="00B8117D"/>
    <w:rsid w:val="00B8314A"/>
    <w:rsid w:val="00B83426"/>
    <w:rsid w:val="00B84500"/>
    <w:rsid w:val="00B867DC"/>
    <w:rsid w:val="00B903FF"/>
    <w:rsid w:val="00B91EC5"/>
    <w:rsid w:val="00B94BDD"/>
    <w:rsid w:val="00B9511D"/>
    <w:rsid w:val="00B977FD"/>
    <w:rsid w:val="00BA01E1"/>
    <w:rsid w:val="00BA29D8"/>
    <w:rsid w:val="00BA2A40"/>
    <w:rsid w:val="00BA2DCF"/>
    <w:rsid w:val="00BA34E5"/>
    <w:rsid w:val="00BA379D"/>
    <w:rsid w:val="00BA3CB5"/>
    <w:rsid w:val="00BA41C5"/>
    <w:rsid w:val="00BA612D"/>
    <w:rsid w:val="00BA63F7"/>
    <w:rsid w:val="00BA6D7C"/>
    <w:rsid w:val="00BA78E7"/>
    <w:rsid w:val="00BB0F28"/>
    <w:rsid w:val="00BB1590"/>
    <w:rsid w:val="00BB2066"/>
    <w:rsid w:val="00BB31EB"/>
    <w:rsid w:val="00BB3AEF"/>
    <w:rsid w:val="00BB4979"/>
    <w:rsid w:val="00BB5BC9"/>
    <w:rsid w:val="00BB66CC"/>
    <w:rsid w:val="00BC0779"/>
    <w:rsid w:val="00BC39D5"/>
    <w:rsid w:val="00BC4C92"/>
    <w:rsid w:val="00BC4F62"/>
    <w:rsid w:val="00BC6351"/>
    <w:rsid w:val="00BC6F0F"/>
    <w:rsid w:val="00BD01AA"/>
    <w:rsid w:val="00BD2202"/>
    <w:rsid w:val="00BD40D6"/>
    <w:rsid w:val="00BD595E"/>
    <w:rsid w:val="00BD6B79"/>
    <w:rsid w:val="00BD7FE6"/>
    <w:rsid w:val="00BE097C"/>
    <w:rsid w:val="00BE12BC"/>
    <w:rsid w:val="00BE3077"/>
    <w:rsid w:val="00BE377B"/>
    <w:rsid w:val="00BE42AE"/>
    <w:rsid w:val="00BE481D"/>
    <w:rsid w:val="00BE53E8"/>
    <w:rsid w:val="00BE627E"/>
    <w:rsid w:val="00BE661B"/>
    <w:rsid w:val="00BF08CA"/>
    <w:rsid w:val="00BF11D7"/>
    <w:rsid w:val="00BF19C3"/>
    <w:rsid w:val="00BF2C0A"/>
    <w:rsid w:val="00BF428B"/>
    <w:rsid w:val="00BF4C29"/>
    <w:rsid w:val="00BF519F"/>
    <w:rsid w:val="00BF6A39"/>
    <w:rsid w:val="00BF6C0C"/>
    <w:rsid w:val="00C00548"/>
    <w:rsid w:val="00C00EF1"/>
    <w:rsid w:val="00C04498"/>
    <w:rsid w:val="00C05844"/>
    <w:rsid w:val="00C05F49"/>
    <w:rsid w:val="00C07DC4"/>
    <w:rsid w:val="00C10FC2"/>
    <w:rsid w:val="00C112AE"/>
    <w:rsid w:val="00C164D2"/>
    <w:rsid w:val="00C16F5C"/>
    <w:rsid w:val="00C16FE1"/>
    <w:rsid w:val="00C175B2"/>
    <w:rsid w:val="00C2000A"/>
    <w:rsid w:val="00C2177F"/>
    <w:rsid w:val="00C21F36"/>
    <w:rsid w:val="00C2525F"/>
    <w:rsid w:val="00C2618D"/>
    <w:rsid w:val="00C2630F"/>
    <w:rsid w:val="00C27C25"/>
    <w:rsid w:val="00C30833"/>
    <w:rsid w:val="00C3191C"/>
    <w:rsid w:val="00C3654A"/>
    <w:rsid w:val="00C37902"/>
    <w:rsid w:val="00C37C75"/>
    <w:rsid w:val="00C40519"/>
    <w:rsid w:val="00C40650"/>
    <w:rsid w:val="00C41313"/>
    <w:rsid w:val="00C43544"/>
    <w:rsid w:val="00C43CD1"/>
    <w:rsid w:val="00C4416B"/>
    <w:rsid w:val="00C441D4"/>
    <w:rsid w:val="00C453F3"/>
    <w:rsid w:val="00C45F7B"/>
    <w:rsid w:val="00C46047"/>
    <w:rsid w:val="00C47E73"/>
    <w:rsid w:val="00C50302"/>
    <w:rsid w:val="00C519A6"/>
    <w:rsid w:val="00C52BB8"/>
    <w:rsid w:val="00C52CAB"/>
    <w:rsid w:val="00C540C9"/>
    <w:rsid w:val="00C54D71"/>
    <w:rsid w:val="00C55009"/>
    <w:rsid w:val="00C551D5"/>
    <w:rsid w:val="00C56299"/>
    <w:rsid w:val="00C57C88"/>
    <w:rsid w:val="00C60F49"/>
    <w:rsid w:val="00C6306C"/>
    <w:rsid w:val="00C63A62"/>
    <w:rsid w:val="00C640A3"/>
    <w:rsid w:val="00C6458B"/>
    <w:rsid w:val="00C64F91"/>
    <w:rsid w:val="00C6545A"/>
    <w:rsid w:val="00C655F4"/>
    <w:rsid w:val="00C65819"/>
    <w:rsid w:val="00C67057"/>
    <w:rsid w:val="00C67F5D"/>
    <w:rsid w:val="00C70025"/>
    <w:rsid w:val="00C704AA"/>
    <w:rsid w:val="00C70BA3"/>
    <w:rsid w:val="00C71576"/>
    <w:rsid w:val="00C72D97"/>
    <w:rsid w:val="00C73DF0"/>
    <w:rsid w:val="00C8113C"/>
    <w:rsid w:val="00C81738"/>
    <w:rsid w:val="00C82281"/>
    <w:rsid w:val="00C82C70"/>
    <w:rsid w:val="00C82ECA"/>
    <w:rsid w:val="00C83C02"/>
    <w:rsid w:val="00C83FC5"/>
    <w:rsid w:val="00C84582"/>
    <w:rsid w:val="00C9259F"/>
    <w:rsid w:val="00C93C37"/>
    <w:rsid w:val="00C950BB"/>
    <w:rsid w:val="00C958A7"/>
    <w:rsid w:val="00C95979"/>
    <w:rsid w:val="00CA02D9"/>
    <w:rsid w:val="00CA0785"/>
    <w:rsid w:val="00CA3749"/>
    <w:rsid w:val="00CA5E45"/>
    <w:rsid w:val="00CA6225"/>
    <w:rsid w:val="00CA6452"/>
    <w:rsid w:val="00CA6599"/>
    <w:rsid w:val="00CA782A"/>
    <w:rsid w:val="00CB004A"/>
    <w:rsid w:val="00CB0441"/>
    <w:rsid w:val="00CB050E"/>
    <w:rsid w:val="00CB068C"/>
    <w:rsid w:val="00CB34EA"/>
    <w:rsid w:val="00CB47AF"/>
    <w:rsid w:val="00CB4A43"/>
    <w:rsid w:val="00CB4C7E"/>
    <w:rsid w:val="00CB52F4"/>
    <w:rsid w:val="00CC0664"/>
    <w:rsid w:val="00CC11E0"/>
    <w:rsid w:val="00CC27C1"/>
    <w:rsid w:val="00CC3F8B"/>
    <w:rsid w:val="00CC53D7"/>
    <w:rsid w:val="00CC649D"/>
    <w:rsid w:val="00CC7D16"/>
    <w:rsid w:val="00CD3B0C"/>
    <w:rsid w:val="00CD3BAA"/>
    <w:rsid w:val="00CD3EC5"/>
    <w:rsid w:val="00CD4B51"/>
    <w:rsid w:val="00CD5366"/>
    <w:rsid w:val="00CD5750"/>
    <w:rsid w:val="00CE006D"/>
    <w:rsid w:val="00CE2629"/>
    <w:rsid w:val="00CE4122"/>
    <w:rsid w:val="00CE43ED"/>
    <w:rsid w:val="00CE497A"/>
    <w:rsid w:val="00CE6280"/>
    <w:rsid w:val="00CE6903"/>
    <w:rsid w:val="00CE69B9"/>
    <w:rsid w:val="00CE69D6"/>
    <w:rsid w:val="00CE75A4"/>
    <w:rsid w:val="00CF0B4B"/>
    <w:rsid w:val="00CF10D6"/>
    <w:rsid w:val="00CF1622"/>
    <w:rsid w:val="00CF4226"/>
    <w:rsid w:val="00CF55FC"/>
    <w:rsid w:val="00CF5956"/>
    <w:rsid w:val="00CF7D60"/>
    <w:rsid w:val="00D00018"/>
    <w:rsid w:val="00D02576"/>
    <w:rsid w:val="00D04956"/>
    <w:rsid w:val="00D04E85"/>
    <w:rsid w:val="00D06038"/>
    <w:rsid w:val="00D06615"/>
    <w:rsid w:val="00D06D9A"/>
    <w:rsid w:val="00D06FB0"/>
    <w:rsid w:val="00D1153B"/>
    <w:rsid w:val="00D11A78"/>
    <w:rsid w:val="00D11C98"/>
    <w:rsid w:val="00D12AC4"/>
    <w:rsid w:val="00D13ABB"/>
    <w:rsid w:val="00D14325"/>
    <w:rsid w:val="00D17192"/>
    <w:rsid w:val="00D20238"/>
    <w:rsid w:val="00D21124"/>
    <w:rsid w:val="00D23E91"/>
    <w:rsid w:val="00D247E4"/>
    <w:rsid w:val="00D2522D"/>
    <w:rsid w:val="00D25433"/>
    <w:rsid w:val="00D268D4"/>
    <w:rsid w:val="00D304FB"/>
    <w:rsid w:val="00D3079E"/>
    <w:rsid w:val="00D30C84"/>
    <w:rsid w:val="00D30D68"/>
    <w:rsid w:val="00D3184C"/>
    <w:rsid w:val="00D3193A"/>
    <w:rsid w:val="00D35F36"/>
    <w:rsid w:val="00D37038"/>
    <w:rsid w:val="00D40454"/>
    <w:rsid w:val="00D40C52"/>
    <w:rsid w:val="00D41D54"/>
    <w:rsid w:val="00D42940"/>
    <w:rsid w:val="00D44000"/>
    <w:rsid w:val="00D44436"/>
    <w:rsid w:val="00D44F12"/>
    <w:rsid w:val="00D45B57"/>
    <w:rsid w:val="00D4783C"/>
    <w:rsid w:val="00D525A3"/>
    <w:rsid w:val="00D52938"/>
    <w:rsid w:val="00D52BD5"/>
    <w:rsid w:val="00D551D8"/>
    <w:rsid w:val="00D5525A"/>
    <w:rsid w:val="00D5632D"/>
    <w:rsid w:val="00D56A85"/>
    <w:rsid w:val="00D570EF"/>
    <w:rsid w:val="00D57394"/>
    <w:rsid w:val="00D605F8"/>
    <w:rsid w:val="00D62D28"/>
    <w:rsid w:val="00D6440C"/>
    <w:rsid w:val="00D6488A"/>
    <w:rsid w:val="00D64A74"/>
    <w:rsid w:val="00D64A9F"/>
    <w:rsid w:val="00D64D5E"/>
    <w:rsid w:val="00D64F06"/>
    <w:rsid w:val="00D6738B"/>
    <w:rsid w:val="00D72185"/>
    <w:rsid w:val="00D73C6D"/>
    <w:rsid w:val="00D73D07"/>
    <w:rsid w:val="00D7445D"/>
    <w:rsid w:val="00D75382"/>
    <w:rsid w:val="00D769DE"/>
    <w:rsid w:val="00D77554"/>
    <w:rsid w:val="00D80CDC"/>
    <w:rsid w:val="00D8124F"/>
    <w:rsid w:val="00D83DAA"/>
    <w:rsid w:val="00D870F7"/>
    <w:rsid w:val="00D92781"/>
    <w:rsid w:val="00D92CAB"/>
    <w:rsid w:val="00D95186"/>
    <w:rsid w:val="00D96883"/>
    <w:rsid w:val="00D970DF"/>
    <w:rsid w:val="00D972EC"/>
    <w:rsid w:val="00DA1472"/>
    <w:rsid w:val="00DA1A1C"/>
    <w:rsid w:val="00DA3109"/>
    <w:rsid w:val="00DA3746"/>
    <w:rsid w:val="00DA49E0"/>
    <w:rsid w:val="00DA5326"/>
    <w:rsid w:val="00DA567B"/>
    <w:rsid w:val="00DA7BFC"/>
    <w:rsid w:val="00DA7EF3"/>
    <w:rsid w:val="00DB0EF3"/>
    <w:rsid w:val="00DB1261"/>
    <w:rsid w:val="00DB251D"/>
    <w:rsid w:val="00DB28AA"/>
    <w:rsid w:val="00DB2E4C"/>
    <w:rsid w:val="00DB2F10"/>
    <w:rsid w:val="00DB2FFD"/>
    <w:rsid w:val="00DB463B"/>
    <w:rsid w:val="00DB5258"/>
    <w:rsid w:val="00DC12AF"/>
    <w:rsid w:val="00DC14EB"/>
    <w:rsid w:val="00DC24AF"/>
    <w:rsid w:val="00DC4402"/>
    <w:rsid w:val="00DC5055"/>
    <w:rsid w:val="00DC518A"/>
    <w:rsid w:val="00DC5835"/>
    <w:rsid w:val="00DC698C"/>
    <w:rsid w:val="00DC6D8B"/>
    <w:rsid w:val="00DC783A"/>
    <w:rsid w:val="00DD03EF"/>
    <w:rsid w:val="00DD2264"/>
    <w:rsid w:val="00DD2AB1"/>
    <w:rsid w:val="00DD5705"/>
    <w:rsid w:val="00DD5FAC"/>
    <w:rsid w:val="00DD7AF2"/>
    <w:rsid w:val="00DD7B87"/>
    <w:rsid w:val="00DE11B1"/>
    <w:rsid w:val="00DE2CA5"/>
    <w:rsid w:val="00DE37B5"/>
    <w:rsid w:val="00DE4DBF"/>
    <w:rsid w:val="00DE540C"/>
    <w:rsid w:val="00DE5C59"/>
    <w:rsid w:val="00DE6091"/>
    <w:rsid w:val="00DE6C01"/>
    <w:rsid w:val="00DE6DF2"/>
    <w:rsid w:val="00DF0E07"/>
    <w:rsid w:val="00DF108F"/>
    <w:rsid w:val="00DF1F7E"/>
    <w:rsid w:val="00DF2461"/>
    <w:rsid w:val="00DF40BD"/>
    <w:rsid w:val="00DF49B7"/>
    <w:rsid w:val="00DF5A33"/>
    <w:rsid w:val="00DF5FFD"/>
    <w:rsid w:val="00DF712B"/>
    <w:rsid w:val="00E00112"/>
    <w:rsid w:val="00E00D22"/>
    <w:rsid w:val="00E0108F"/>
    <w:rsid w:val="00E01615"/>
    <w:rsid w:val="00E01CC0"/>
    <w:rsid w:val="00E03140"/>
    <w:rsid w:val="00E036A7"/>
    <w:rsid w:val="00E038C8"/>
    <w:rsid w:val="00E0560E"/>
    <w:rsid w:val="00E069D2"/>
    <w:rsid w:val="00E1002F"/>
    <w:rsid w:val="00E12A85"/>
    <w:rsid w:val="00E14FC1"/>
    <w:rsid w:val="00E1709A"/>
    <w:rsid w:val="00E17DB8"/>
    <w:rsid w:val="00E2079C"/>
    <w:rsid w:val="00E22FFD"/>
    <w:rsid w:val="00E23010"/>
    <w:rsid w:val="00E24EB8"/>
    <w:rsid w:val="00E24F9D"/>
    <w:rsid w:val="00E26583"/>
    <w:rsid w:val="00E266BE"/>
    <w:rsid w:val="00E2675D"/>
    <w:rsid w:val="00E26F24"/>
    <w:rsid w:val="00E319C0"/>
    <w:rsid w:val="00E32457"/>
    <w:rsid w:val="00E32B9F"/>
    <w:rsid w:val="00E354FA"/>
    <w:rsid w:val="00E365FD"/>
    <w:rsid w:val="00E41129"/>
    <w:rsid w:val="00E43099"/>
    <w:rsid w:val="00E4467A"/>
    <w:rsid w:val="00E44931"/>
    <w:rsid w:val="00E45A12"/>
    <w:rsid w:val="00E475A9"/>
    <w:rsid w:val="00E50494"/>
    <w:rsid w:val="00E51945"/>
    <w:rsid w:val="00E53815"/>
    <w:rsid w:val="00E564A5"/>
    <w:rsid w:val="00E566A0"/>
    <w:rsid w:val="00E57E65"/>
    <w:rsid w:val="00E60B4B"/>
    <w:rsid w:val="00E61003"/>
    <w:rsid w:val="00E64518"/>
    <w:rsid w:val="00E64663"/>
    <w:rsid w:val="00E65A66"/>
    <w:rsid w:val="00E66C1F"/>
    <w:rsid w:val="00E71633"/>
    <w:rsid w:val="00E7191B"/>
    <w:rsid w:val="00E724E3"/>
    <w:rsid w:val="00E81419"/>
    <w:rsid w:val="00E82476"/>
    <w:rsid w:val="00E86810"/>
    <w:rsid w:val="00E90553"/>
    <w:rsid w:val="00E921F7"/>
    <w:rsid w:val="00E94305"/>
    <w:rsid w:val="00E953A8"/>
    <w:rsid w:val="00E953AC"/>
    <w:rsid w:val="00E95C19"/>
    <w:rsid w:val="00E95E15"/>
    <w:rsid w:val="00E96F32"/>
    <w:rsid w:val="00EA3914"/>
    <w:rsid w:val="00EA48BB"/>
    <w:rsid w:val="00EA75B8"/>
    <w:rsid w:val="00EB02CE"/>
    <w:rsid w:val="00EB0CD9"/>
    <w:rsid w:val="00EB1A80"/>
    <w:rsid w:val="00EB1AF1"/>
    <w:rsid w:val="00EB2209"/>
    <w:rsid w:val="00EB4AA7"/>
    <w:rsid w:val="00EB5485"/>
    <w:rsid w:val="00EB64A8"/>
    <w:rsid w:val="00EB64E0"/>
    <w:rsid w:val="00EB69EE"/>
    <w:rsid w:val="00EC1731"/>
    <w:rsid w:val="00EC1AB9"/>
    <w:rsid w:val="00EC3623"/>
    <w:rsid w:val="00EC3C7D"/>
    <w:rsid w:val="00EC5874"/>
    <w:rsid w:val="00EC593A"/>
    <w:rsid w:val="00EC7889"/>
    <w:rsid w:val="00ED0C88"/>
    <w:rsid w:val="00ED2DB7"/>
    <w:rsid w:val="00ED4377"/>
    <w:rsid w:val="00ED4968"/>
    <w:rsid w:val="00ED4FA5"/>
    <w:rsid w:val="00ED5575"/>
    <w:rsid w:val="00ED59BB"/>
    <w:rsid w:val="00ED6628"/>
    <w:rsid w:val="00ED7D97"/>
    <w:rsid w:val="00EE216C"/>
    <w:rsid w:val="00EE5934"/>
    <w:rsid w:val="00EE69AB"/>
    <w:rsid w:val="00EE6BFF"/>
    <w:rsid w:val="00EE7CE5"/>
    <w:rsid w:val="00EF0619"/>
    <w:rsid w:val="00EF1274"/>
    <w:rsid w:val="00EF27D5"/>
    <w:rsid w:val="00EF2DD4"/>
    <w:rsid w:val="00EF3CEF"/>
    <w:rsid w:val="00EF57AB"/>
    <w:rsid w:val="00EF7692"/>
    <w:rsid w:val="00F00010"/>
    <w:rsid w:val="00F00F05"/>
    <w:rsid w:val="00F010E2"/>
    <w:rsid w:val="00F01772"/>
    <w:rsid w:val="00F01F75"/>
    <w:rsid w:val="00F03DBB"/>
    <w:rsid w:val="00F054C5"/>
    <w:rsid w:val="00F057C4"/>
    <w:rsid w:val="00F06DCD"/>
    <w:rsid w:val="00F07AE0"/>
    <w:rsid w:val="00F10503"/>
    <w:rsid w:val="00F107A3"/>
    <w:rsid w:val="00F108D5"/>
    <w:rsid w:val="00F13DE9"/>
    <w:rsid w:val="00F17521"/>
    <w:rsid w:val="00F17E97"/>
    <w:rsid w:val="00F203D7"/>
    <w:rsid w:val="00F20AEE"/>
    <w:rsid w:val="00F20F87"/>
    <w:rsid w:val="00F219BC"/>
    <w:rsid w:val="00F21C94"/>
    <w:rsid w:val="00F21CB5"/>
    <w:rsid w:val="00F22810"/>
    <w:rsid w:val="00F23348"/>
    <w:rsid w:val="00F26E9D"/>
    <w:rsid w:val="00F30106"/>
    <w:rsid w:val="00F308A6"/>
    <w:rsid w:val="00F31620"/>
    <w:rsid w:val="00F31680"/>
    <w:rsid w:val="00F31920"/>
    <w:rsid w:val="00F320FC"/>
    <w:rsid w:val="00F359A6"/>
    <w:rsid w:val="00F35FA1"/>
    <w:rsid w:val="00F36EB0"/>
    <w:rsid w:val="00F37E1A"/>
    <w:rsid w:val="00F40C87"/>
    <w:rsid w:val="00F40D8F"/>
    <w:rsid w:val="00F41ED9"/>
    <w:rsid w:val="00F4282A"/>
    <w:rsid w:val="00F42DBE"/>
    <w:rsid w:val="00F431C8"/>
    <w:rsid w:val="00F45400"/>
    <w:rsid w:val="00F45DEE"/>
    <w:rsid w:val="00F45F87"/>
    <w:rsid w:val="00F470B2"/>
    <w:rsid w:val="00F47617"/>
    <w:rsid w:val="00F521A8"/>
    <w:rsid w:val="00F52551"/>
    <w:rsid w:val="00F53869"/>
    <w:rsid w:val="00F568FD"/>
    <w:rsid w:val="00F5725B"/>
    <w:rsid w:val="00F574A4"/>
    <w:rsid w:val="00F577AA"/>
    <w:rsid w:val="00F62B9F"/>
    <w:rsid w:val="00F6560B"/>
    <w:rsid w:val="00F66643"/>
    <w:rsid w:val="00F7007D"/>
    <w:rsid w:val="00F71545"/>
    <w:rsid w:val="00F71E02"/>
    <w:rsid w:val="00F724E2"/>
    <w:rsid w:val="00F72FF4"/>
    <w:rsid w:val="00F740E9"/>
    <w:rsid w:val="00F75791"/>
    <w:rsid w:val="00F75C39"/>
    <w:rsid w:val="00F77D6B"/>
    <w:rsid w:val="00F8539E"/>
    <w:rsid w:val="00F90560"/>
    <w:rsid w:val="00F90BF3"/>
    <w:rsid w:val="00F91900"/>
    <w:rsid w:val="00F92757"/>
    <w:rsid w:val="00F92F25"/>
    <w:rsid w:val="00F95393"/>
    <w:rsid w:val="00F96D3D"/>
    <w:rsid w:val="00F97756"/>
    <w:rsid w:val="00FA0E7B"/>
    <w:rsid w:val="00FA2413"/>
    <w:rsid w:val="00FA2C15"/>
    <w:rsid w:val="00FA2CE6"/>
    <w:rsid w:val="00FA3332"/>
    <w:rsid w:val="00FA585A"/>
    <w:rsid w:val="00FA62C7"/>
    <w:rsid w:val="00FB0A8F"/>
    <w:rsid w:val="00FB0E83"/>
    <w:rsid w:val="00FB13EC"/>
    <w:rsid w:val="00FB169A"/>
    <w:rsid w:val="00FB2FC5"/>
    <w:rsid w:val="00FB4AC4"/>
    <w:rsid w:val="00FB4AD0"/>
    <w:rsid w:val="00FB62B8"/>
    <w:rsid w:val="00FB66C7"/>
    <w:rsid w:val="00FB6DA3"/>
    <w:rsid w:val="00FB7153"/>
    <w:rsid w:val="00FC148F"/>
    <w:rsid w:val="00FC1984"/>
    <w:rsid w:val="00FC1D69"/>
    <w:rsid w:val="00FC33D6"/>
    <w:rsid w:val="00FC4BDA"/>
    <w:rsid w:val="00FC56EC"/>
    <w:rsid w:val="00FC5D01"/>
    <w:rsid w:val="00FC78F2"/>
    <w:rsid w:val="00FD002D"/>
    <w:rsid w:val="00FD0132"/>
    <w:rsid w:val="00FD021E"/>
    <w:rsid w:val="00FD1866"/>
    <w:rsid w:val="00FD2EAA"/>
    <w:rsid w:val="00FD315C"/>
    <w:rsid w:val="00FD467E"/>
    <w:rsid w:val="00FD499E"/>
    <w:rsid w:val="00FD523D"/>
    <w:rsid w:val="00FD5C7A"/>
    <w:rsid w:val="00FE0F2C"/>
    <w:rsid w:val="00FE0F75"/>
    <w:rsid w:val="00FE0F89"/>
    <w:rsid w:val="00FE202C"/>
    <w:rsid w:val="00FE4011"/>
    <w:rsid w:val="00FE55DD"/>
    <w:rsid w:val="00FE5EC3"/>
    <w:rsid w:val="00FE6801"/>
    <w:rsid w:val="00FE6904"/>
    <w:rsid w:val="00FF0117"/>
    <w:rsid w:val="00FF071D"/>
    <w:rsid w:val="00FF0F69"/>
    <w:rsid w:val="00FF16C6"/>
    <w:rsid w:val="00FF2F98"/>
    <w:rsid w:val="00FF404D"/>
    <w:rsid w:val="00FF50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qFormat="1"/>
    <w:lsdException w:name="caption" w:locked="1" w:uiPriority="0" w:qFormat="1"/>
    <w:lsdException w:name="footnote reference"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389"/>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aliases w:val="Footnote"/>
    <w:basedOn w:val="Normal"/>
    <w:uiPriority w:val="99"/>
    <w:rsid w:val="00475389"/>
    <w:rPr>
      <w:sz w:val="16"/>
      <w:szCs w:val="16"/>
    </w:rPr>
  </w:style>
  <w:style w:type="paragraph" w:styleId="Ttulo">
    <w:name w:val="Title"/>
    <w:basedOn w:val="Normal"/>
    <w:link w:val="TtuloCar"/>
    <w:uiPriority w:val="99"/>
    <w:qFormat/>
    <w:rsid w:val="00475389"/>
    <w:pPr>
      <w:jc w:val="center"/>
    </w:pPr>
    <w:rPr>
      <w:rFonts w:ascii="Verdana" w:hAnsi="Verdana" w:cs="Verdana"/>
      <w:b/>
      <w:bCs/>
      <w:smallCaps/>
      <w:sz w:val="20"/>
      <w:szCs w:val="20"/>
    </w:rPr>
  </w:style>
  <w:style w:type="character" w:customStyle="1" w:styleId="TtuloCar">
    <w:name w:val="Título Car"/>
    <w:link w:val="Ttulo"/>
    <w:uiPriority w:val="99"/>
    <w:locked/>
    <w:rsid w:val="00475389"/>
    <w:rPr>
      <w:rFonts w:ascii="Verdana" w:hAnsi="Verdana" w:cs="Verdana"/>
      <w:b/>
      <w:bCs/>
      <w:smallCaps/>
      <w:sz w:val="24"/>
      <w:szCs w:val="24"/>
      <w:lang w:val="es-ES"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 Car,C"/>
    <w:basedOn w:val="Normal"/>
    <w:link w:val="TextonotapieCar1"/>
    <w:qFormat/>
    <w:rsid w:val="00475389"/>
  </w:style>
  <w:style w:type="character" w:customStyle="1" w:styleId="TextonotapieCar1">
    <w:name w:val="Texto nota pie Car1"/>
    <w:aliases w:val="Footnote reference Car,FA Fu Car1,Footnote Text Char Char Char Char Char Car,Footnote Text Char Char Char Char Car,Footnote Text Char Char Char Car,Footnote Text Cha Car,FA Fußnotentext Car,FA Fuﬂnotentext Car,FA Fu?notentext Car"/>
    <w:link w:val="Textonotapie"/>
    <w:uiPriority w:val="99"/>
    <w:locked/>
    <w:rsid w:val="00475389"/>
    <w:rPr>
      <w:rFonts w:ascii="Times New Roman" w:hAnsi="Times New Roman" w:cs="Times New Roman"/>
      <w:sz w:val="24"/>
      <w:szCs w:val="24"/>
      <w:lang w:val="es-ES" w:eastAsia="es-ES"/>
    </w:rPr>
  </w:style>
  <w:style w:type="character" w:customStyle="1" w:styleId="TextonotapieCar">
    <w:name w:val="Texto nota pie Car"/>
    <w:uiPriority w:val="99"/>
    <w:semiHidden/>
    <w:rsid w:val="00475389"/>
    <w:rPr>
      <w:rFonts w:ascii="Times New Roman" w:hAnsi="Times New Roman" w:cs="Times New Roman"/>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475389"/>
    <w:rPr>
      <w:vertAlign w:val="superscript"/>
    </w:rPr>
  </w:style>
  <w:style w:type="paragraph" w:styleId="Prrafodelista">
    <w:name w:val="List Paragraph"/>
    <w:basedOn w:val="Normal"/>
    <w:uiPriority w:val="99"/>
    <w:qFormat/>
    <w:rsid w:val="00475389"/>
    <w:pPr>
      <w:ind w:left="720"/>
    </w:pPr>
  </w:style>
  <w:style w:type="paragraph" w:styleId="Textoindependiente">
    <w:name w:val="Body Text"/>
    <w:basedOn w:val="Normal"/>
    <w:link w:val="TextoindependienteCar"/>
    <w:uiPriority w:val="99"/>
    <w:rsid w:val="00475389"/>
    <w:pPr>
      <w:widowControl w:val="0"/>
      <w:tabs>
        <w:tab w:val="left" w:pos="360"/>
      </w:tabs>
      <w:ind w:right="720"/>
      <w:jc w:val="both"/>
    </w:pPr>
    <w:rPr>
      <w:rFonts w:ascii="Garamond" w:hAnsi="Garamond" w:cs="Garamond"/>
      <w:lang w:val="es-ES_tradnl" w:eastAsia="en-US"/>
    </w:rPr>
  </w:style>
  <w:style w:type="character" w:customStyle="1" w:styleId="TextoindependienteCar">
    <w:name w:val="Texto independiente Car"/>
    <w:link w:val="Textoindependiente"/>
    <w:uiPriority w:val="99"/>
    <w:locked/>
    <w:rsid w:val="00475389"/>
    <w:rPr>
      <w:rFonts w:ascii="Garamond" w:hAnsi="Garamond" w:cs="Garamond"/>
      <w:sz w:val="20"/>
      <w:szCs w:val="20"/>
      <w:lang w:val="es-ES_tradnl"/>
    </w:rPr>
  </w:style>
  <w:style w:type="paragraph" w:customStyle="1" w:styleId="Default">
    <w:name w:val="Default"/>
    <w:rsid w:val="00475389"/>
    <w:pPr>
      <w:autoSpaceDE w:val="0"/>
      <w:autoSpaceDN w:val="0"/>
      <w:adjustRightInd w:val="0"/>
    </w:pPr>
    <w:rPr>
      <w:rFonts w:ascii="Verdana" w:hAnsi="Verdana" w:cs="Verdana"/>
      <w:color w:val="000000"/>
      <w:sz w:val="24"/>
      <w:szCs w:val="24"/>
      <w:lang w:val="en-US" w:eastAsia="en-US"/>
    </w:rPr>
  </w:style>
  <w:style w:type="character" w:styleId="Refdecomentario">
    <w:name w:val="annotation reference"/>
    <w:uiPriority w:val="99"/>
    <w:semiHidden/>
    <w:rsid w:val="00475389"/>
    <w:rPr>
      <w:sz w:val="18"/>
      <w:szCs w:val="18"/>
    </w:rPr>
  </w:style>
  <w:style w:type="paragraph" w:styleId="Textocomentario">
    <w:name w:val="annotation text"/>
    <w:basedOn w:val="Normal"/>
    <w:link w:val="TextocomentarioCar"/>
    <w:uiPriority w:val="99"/>
    <w:semiHidden/>
    <w:rsid w:val="00475389"/>
    <w:rPr>
      <w:rFonts w:ascii="Calibri" w:hAnsi="Calibri" w:cs="Calibri"/>
      <w:lang w:val="es-ES_tradnl"/>
    </w:rPr>
  </w:style>
  <w:style w:type="character" w:customStyle="1" w:styleId="TextocomentarioCar">
    <w:name w:val="Texto comentario Car"/>
    <w:link w:val="Textocomentario"/>
    <w:uiPriority w:val="99"/>
    <w:semiHidden/>
    <w:locked/>
    <w:rsid w:val="00475389"/>
    <w:rPr>
      <w:rFonts w:eastAsia="Times New Roman"/>
      <w:sz w:val="24"/>
      <w:szCs w:val="24"/>
      <w:lang w:val="es-ES_tradnl" w:eastAsia="es-ES"/>
    </w:rPr>
  </w:style>
  <w:style w:type="paragraph" w:styleId="Textodeglobo">
    <w:name w:val="Balloon Text"/>
    <w:basedOn w:val="Normal"/>
    <w:link w:val="TextodegloboCar"/>
    <w:uiPriority w:val="99"/>
    <w:semiHidden/>
    <w:rsid w:val="00475389"/>
    <w:rPr>
      <w:rFonts w:ascii="Lucida Grande" w:hAnsi="Lucida Grande" w:cs="Lucida Grande"/>
      <w:sz w:val="18"/>
      <w:szCs w:val="18"/>
    </w:rPr>
  </w:style>
  <w:style w:type="character" w:customStyle="1" w:styleId="TextodegloboCar">
    <w:name w:val="Texto de globo Car"/>
    <w:link w:val="Textodeglobo"/>
    <w:uiPriority w:val="99"/>
    <w:semiHidden/>
    <w:locked/>
    <w:rsid w:val="00475389"/>
    <w:rPr>
      <w:rFonts w:ascii="Lucida Grande" w:hAnsi="Lucida Grande" w:cs="Lucida Grande"/>
      <w:sz w:val="18"/>
      <w:szCs w:val="18"/>
      <w:lang w:val="es-ES" w:eastAsia="es-ES"/>
    </w:rPr>
  </w:style>
  <w:style w:type="paragraph" w:styleId="Asuntodelcomentario">
    <w:name w:val="annotation subject"/>
    <w:basedOn w:val="Textocomentario"/>
    <w:next w:val="Textocomentario"/>
    <w:link w:val="AsuntodelcomentarioCar"/>
    <w:uiPriority w:val="99"/>
    <w:semiHidden/>
    <w:rsid w:val="00475389"/>
    <w:rPr>
      <w:rFonts w:ascii="Times New Roman" w:hAnsi="Times New Roman" w:cs="Times New Roman"/>
      <w:b/>
      <w:bCs/>
      <w:sz w:val="20"/>
      <w:szCs w:val="20"/>
      <w:lang w:val="es-ES"/>
    </w:rPr>
  </w:style>
  <w:style w:type="character" w:customStyle="1" w:styleId="AsuntodelcomentarioCar">
    <w:name w:val="Asunto del comentario Car"/>
    <w:link w:val="Asuntodelcomentario"/>
    <w:uiPriority w:val="99"/>
    <w:semiHidden/>
    <w:locked/>
    <w:rsid w:val="00475389"/>
    <w:rPr>
      <w:rFonts w:ascii="Times New Roman" w:eastAsia="Times New Roman" w:hAnsi="Times New Roman" w:cs="Times New Roman"/>
      <w:b/>
      <w:bCs/>
      <w:sz w:val="20"/>
      <w:szCs w:val="20"/>
      <w:lang w:val="es-ES" w:eastAsia="es-ES"/>
    </w:rPr>
  </w:style>
  <w:style w:type="paragraph" w:styleId="Piedepgina">
    <w:name w:val="footer"/>
    <w:basedOn w:val="Normal"/>
    <w:link w:val="PiedepginaCar"/>
    <w:uiPriority w:val="99"/>
    <w:rsid w:val="00475389"/>
    <w:pPr>
      <w:tabs>
        <w:tab w:val="center" w:pos="4252"/>
        <w:tab w:val="right" w:pos="8504"/>
      </w:tabs>
    </w:pPr>
  </w:style>
  <w:style w:type="character" w:customStyle="1" w:styleId="PiedepginaCar">
    <w:name w:val="Pie de página Car"/>
    <w:link w:val="Piedepgina"/>
    <w:uiPriority w:val="99"/>
    <w:locked/>
    <w:rsid w:val="00475389"/>
    <w:rPr>
      <w:rFonts w:ascii="Times New Roman" w:hAnsi="Times New Roman" w:cs="Times New Roman"/>
      <w:sz w:val="24"/>
      <w:szCs w:val="24"/>
      <w:lang w:val="es-ES" w:eastAsia="es-ES"/>
    </w:rPr>
  </w:style>
  <w:style w:type="character" w:styleId="Nmerodepgina">
    <w:name w:val="page number"/>
    <w:basedOn w:val="Fuentedeprrafopredeter"/>
    <w:uiPriority w:val="99"/>
    <w:semiHidden/>
    <w:rsid w:val="00475389"/>
  </w:style>
  <w:style w:type="paragraph" w:styleId="Textoindependiente2">
    <w:name w:val="Body Text 2"/>
    <w:basedOn w:val="Normal"/>
    <w:link w:val="Textoindependiente2Car"/>
    <w:uiPriority w:val="99"/>
    <w:semiHidden/>
    <w:rsid w:val="00475389"/>
    <w:pPr>
      <w:spacing w:after="120" w:line="480" w:lineRule="auto"/>
    </w:pPr>
  </w:style>
  <w:style w:type="character" w:customStyle="1" w:styleId="Textoindependiente2Car">
    <w:name w:val="Texto independiente 2 Car"/>
    <w:link w:val="Textoindependiente2"/>
    <w:uiPriority w:val="99"/>
    <w:semiHidden/>
    <w:locked/>
    <w:rsid w:val="00475389"/>
    <w:rPr>
      <w:rFonts w:ascii="Times New Roman" w:hAnsi="Times New Roman" w:cs="Times New Roman"/>
      <w:sz w:val="24"/>
      <w:szCs w:val="24"/>
      <w:lang w:val="es-ES" w:eastAsia="es-ES"/>
    </w:rPr>
  </w:style>
  <w:style w:type="paragraph" w:styleId="Sangradetextonormal">
    <w:name w:val="Body Text Indent"/>
    <w:basedOn w:val="Normal"/>
    <w:link w:val="SangradetextonormalCar"/>
    <w:uiPriority w:val="99"/>
    <w:rsid w:val="00475389"/>
    <w:pPr>
      <w:spacing w:after="120" w:line="276" w:lineRule="auto"/>
      <w:ind w:left="360"/>
    </w:pPr>
    <w:rPr>
      <w:rFonts w:ascii="Calibri" w:eastAsia="Calibri" w:hAnsi="Calibri" w:cs="Calibri"/>
      <w:sz w:val="22"/>
      <w:szCs w:val="22"/>
      <w:lang w:val="es-MX" w:eastAsia="en-US"/>
    </w:rPr>
  </w:style>
  <w:style w:type="character" w:customStyle="1" w:styleId="SangradetextonormalCar">
    <w:name w:val="Sangría de texto normal Car"/>
    <w:link w:val="Sangradetextonormal"/>
    <w:uiPriority w:val="99"/>
    <w:locked/>
    <w:rsid w:val="00475389"/>
    <w:rPr>
      <w:rFonts w:ascii="Calibri" w:eastAsia="Times New Roman" w:hAnsi="Calibri" w:cs="Calibri"/>
      <w:lang w:val="es-MX"/>
    </w:rPr>
  </w:style>
  <w:style w:type="paragraph" w:customStyle="1" w:styleId="style2">
    <w:name w:val="style2"/>
    <w:basedOn w:val="Normal"/>
    <w:uiPriority w:val="99"/>
    <w:rsid w:val="00475389"/>
    <w:pPr>
      <w:spacing w:before="100" w:beforeAutospacing="1" w:after="100" w:afterAutospacing="1" w:line="155" w:lineRule="atLeast"/>
      <w:jc w:val="both"/>
    </w:pPr>
    <w:rPr>
      <w:rFonts w:ascii="Verdana" w:hAnsi="Verdana" w:cs="Verdana"/>
      <w:color w:val="000000"/>
      <w:sz w:val="11"/>
      <w:szCs w:val="11"/>
      <w:lang w:val="en-US" w:eastAsia="en-US"/>
    </w:rPr>
  </w:style>
  <w:style w:type="paragraph" w:customStyle="1" w:styleId="ColorfulList-Accent11">
    <w:name w:val="Colorful List - Accent 11"/>
    <w:basedOn w:val="Normal"/>
    <w:uiPriority w:val="99"/>
    <w:rsid w:val="00475389"/>
    <w:pPr>
      <w:ind w:left="720"/>
    </w:pPr>
    <w:rPr>
      <w:rFonts w:ascii="Times" w:eastAsia="MS Mincho" w:hAnsi="Times" w:cs="Times"/>
      <w:lang w:val="es-ES_tradnl" w:eastAsia="en-US"/>
    </w:rPr>
  </w:style>
  <w:style w:type="paragraph" w:styleId="Sangra2detindependiente">
    <w:name w:val="Body Text Indent 2"/>
    <w:basedOn w:val="Normal"/>
    <w:link w:val="Sangra2detindependienteCar"/>
    <w:uiPriority w:val="99"/>
    <w:semiHidden/>
    <w:rsid w:val="00475389"/>
    <w:pPr>
      <w:spacing w:after="120" w:line="480" w:lineRule="auto"/>
      <w:ind w:left="283"/>
    </w:pPr>
  </w:style>
  <w:style w:type="character" w:customStyle="1" w:styleId="Sangra2detindependienteCar">
    <w:name w:val="Sangría 2 de t. independiente Car"/>
    <w:link w:val="Sangra2detindependiente"/>
    <w:uiPriority w:val="99"/>
    <w:semiHidden/>
    <w:locked/>
    <w:rsid w:val="00475389"/>
    <w:rPr>
      <w:rFonts w:ascii="Times New Roman" w:hAnsi="Times New Roman" w:cs="Times New Roman"/>
      <w:sz w:val="24"/>
      <w:szCs w:val="24"/>
      <w:lang w:val="es-ES" w:eastAsia="es-ES"/>
    </w:rPr>
  </w:style>
  <w:style w:type="paragraph" w:styleId="Encabezado">
    <w:name w:val="header"/>
    <w:basedOn w:val="Normal"/>
    <w:link w:val="EncabezadoCar"/>
    <w:uiPriority w:val="99"/>
    <w:rsid w:val="00475389"/>
    <w:pPr>
      <w:tabs>
        <w:tab w:val="center" w:pos="4419"/>
        <w:tab w:val="right" w:pos="8838"/>
      </w:tabs>
    </w:pPr>
  </w:style>
  <w:style w:type="character" w:customStyle="1" w:styleId="EncabezadoCar">
    <w:name w:val="Encabezado Car"/>
    <w:link w:val="Encabezado"/>
    <w:uiPriority w:val="99"/>
    <w:locked/>
    <w:rsid w:val="00475389"/>
    <w:rPr>
      <w:rFonts w:ascii="Times New Roman" w:hAnsi="Times New Roman" w:cs="Times New Roman"/>
      <w:sz w:val="24"/>
      <w:szCs w:val="24"/>
      <w:lang w:val="es-ES" w:eastAsia="es-ES"/>
    </w:rPr>
  </w:style>
  <w:style w:type="paragraph" w:styleId="Revisin">
    <w:name w:val="Revision"/>
    <w:hidden/>
    <w:uiPriority w:val="99"/>
    <w:semiHidden/>
    <w:rsid w:val="004D05B2"/>
    <w:rPr>
      <w:rFonts w:ascii="Times New Roman" w:eastAsia="Times New Roman" w:hAnsi="Times New Roman"/>
      <w:sz w:val="24"/>
      <w:szCs w:val="24"/>
      <w:lang w:val="es-ES" w:eastAsia="es-ES"/>
    </w:rPr>
  </w:style>
  <w:style w:type="character" w:customStyle="1" w:styleId="Smbolodenotaalpie">
    <w:name w:val="Símbolo de nota al pie"/>
    <w:uiPriority w:val="99"/>
    <w:rsid w:val="00771035"/>
    <w:rPr>
      <w:vertAlign w:val="superscript"/>
    </w:rPr>
  </w:style>
  <w:style w:type="paragraph" w:styleId="Subttulo">
    <w:name w:val="Subtitle"/>
    <w:basedOn w:val="Normal"/>
    <w:link w:val="SubttuloCar"/>
    <w:uiPriority w:val="99"/>
    <w:qFormat/>
    <w:rsid w:val="004A4229"/>
    <w:pPr>
      <w:spacing w:after="60"/>
      <w:ind w:right="746"/>
      <w:jc w:val="center"/>
    </w:pPr>
    <w:rPr>
      <w:rFonts w:ascii="Garamond" w:eastAsia="Calibri" w:hAnsi="Garamond" w:cs="Garamond"/>
      <w:b/>
      <w:bCs/>
      <w:smallCaps/>
      <w:lang w:val="es-ES_tradnl"/>
    </w:rPr>
  </w:style>
  <w:style w:type="character" w:customStyle="1" w:styleId="SubttuloCar">
    <w:name w:val="Subtítulo Car"/>
    <w:link w:val="Subttulo"/>
    <w:uiPriority w:val="99"/>
    <w:locked/>
    <w:rsid w:val="004A4229"/>
    <w:rPr>
      <w:rFonts w:ascii="Garamond" w:eastAsia="Times New Roman" w:hAnsi="Garamond" w:cs="Garamond"/>
      <w:b/>
      <w:bCs/>
      <w:smallCaps/>
      <w:sz w:val="20"/>
      <w:szCs w:val="20"/>
      <w:lang w:val="es-ES_tradnl" w:eastAsia="es-ES"/>
    </w:rPr>
  </w:style>
  <w:style w:type="character" w:styleId="Hipervnculo">
    <w:name w:val="Hyperlink"/>
    <w:uiPriority w:val="99"/>
    <w:unhideWhenUsed/>
    <w:rsid w:val="009B27C5"/>
    <w:rPr>
      <w:color w:val="0000FF"/>
      <w:u w:val="single"/>
    </w:rPr>
  </w:style>
  <w:style w:type="paragraph" w:customStyle="1" w:styleId="ListParagraph1">
    <w:name w:val="List Paragraph1"/>
    <w:basedOn w:val="Normal"/>
    <w:rsid w:val="00DC14EB"/>
    <w:pPr>
      <w:ind w:left="720"/>
    </w:pPr>
    <w:rPr>
      <w:rFonts w:eastAsia="Calibri"/>
    </w:rPr>
  </w:style>
  <w:style w:type="character" w:styleId="nfasissutil">
    <w:name w:val="Subtle Emphasis"/>
    <w:basedOn w:val="Fuentedeprrafopredeter"/>
    <w:uiPriority w:val="19"/>
    <w:qFormat/>
    <w:rsid w:val="00913F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07749">
      <w:bodyDiv w:val="1"/>
      <w:marLeft w:val="0"/>
      <w:marRight w:val="0"/>
      <w:marTop w:val="0"/>
      <w:marBottom w:val="0"/>
      <w:divBdr>
        <w:top w:val="none" w:sz="0" w:space="0" w:color="auto"/>
        <w:left w:val="none" w:sz="0" w:space="0" w:color="auto"/>
        <w:bottom w:val="none" w:sz="0" w:space="0" w:color="auto"/>
        <w:right w:val="none" w:sz="0" w:space="0" w:color="auto"/>
      </w:divBdr>
    </w:div>
    <w:div w:id="1929002857">
      <w:marLeft w:val="0"/>
      <w:marRight w:val="0"/>
      <w:marTop w:val="0"/>
      <w:marBottom w:val="0"/>
      <w:divBdr>
        <w:top w:val="none" w:sz="0" w:space="0" w:color="auto"/>
        <w:left w:val="none" w:sz="0" w:space="0" w:color="auto"/>
        <w:bottom w:val="none" w:sz="0" w:space="0" w:color="auto"/>
        <w:right w:val="none" w:sz="0" w:space="0" w:color="auto"/>
      </w:divBdr>
      <w:divsChild>
        <w:div w:id="1929002875">
          <w:marLeft w:val="0"/>
          <w:marRight w:val="0"/>
          <w:marTop w:val="0"/>
          <w:marBottom w:val="0"/>
          <w:divBdr>
            <w:top w:val="none" w:sz="0" w:space="0" w:color="auto"/>
            <w:left w:val="none" w:sz="0" w:space="0" w:color="auto"/>
            <w:bottom w:val="none" w:sz="0" w:space="0" w:color="auto"/>
            <w:right w:val="none" w:sz="0" w:space="0" w:color="auto"/>
          </w:divBdr>
          <w:divsChild>
            <w:div w:id="1929002866">
              <w:marLeft w:val="0"/>
              <w:marRight w:val="0"/>
              <w:marTop w:val="0"/>
              <w:marBottom w:val="0"/>
              <w:divBdr>
                <w:top w:val="none" w:sz="0" w:space="0" w:color="auto"/>
                <w:left w:val="none" w:sz="0" w:space="0" w:color="auto"/>
                <w:bottom w:val="none" w:sz="0" w:space="0" w:color="auto"/>
                <w:right w:val="none" w:sz="0" w:space="0" w:color="auto"/>
              </w:divBdr>
              <w:divsChild>
                <w:div w:id="1929002861">
                  <w:marLeft w:val="0"/>
                  <w:marRight w:val="0"/>
                  <w:marTop w:val="0"/>
                  <w:marBottom w:val="0"/>
                  <w:divBdr>
                    <w:top w:val="none" w:sz="0" w:space="0" w:color="auto"/>
                    <w:left w:val="none" w:sz="0" w:space="0" w:color="auto"/>
                    <w:bottom w:val="none" w:sz="0" w:space="0" w:color="auto"/>
                    <w:right w:val="none" w:sz="0" w:space="0" w:color="auto"/>
                  </w:divBdr>
                  <w:divsChild>
                    <w:div w:id="1929002874">
                      <w:marLeft w:val="0"/>
                      <w:marRight w:val="0"/>
                      <w:marTop w:val="0"/>
                      <w:marBottom w:val="0"/>
                      <w:divBdr>
                        <w:top w:val="none" w:sz="0" w:space="0" w:color="auto"/>
                        <w:left w:val="none" w:sz="0" w:space="0" w:color="auto"/>
                        <w:bottom w:val="none" w:sz="0" w:space="0" w:color="auto"/>
                        <w:right w:val="none" w:sz="0" w:space="0" w:color="auto"/>
                      </w:divBdr>
                      <w:divsChild>
                        <w:div w:id="1929002886">
                          <w:marLeft w:val="0"/>
                          <w:marRight w:val="0"/>
                          <w:marTop w:val="0"/>
                          <w:marBottom w:val="0"/>
                          <w:divBdr>
                            <w:top w:val="none" w:sz="0" w:space="0" w:color="auto"/>
                            <w:left w:val="none" w:sz="0" w:space="0" w:color="auto"/>
                            <w:bottom w:val="none" w:sz="0" w:space="0" w:color="auto"/>
                            <w:right w:val="none" w:sz="0" w:space="0" w:color="auto"/>
                          </w:divBdr>
                          <w:divsChild>
                            <w:div w:id="1929002856">
                              <w:marLeft w:val="0"/>
                              <w:marRight w:val="0"/>
                              <w:marTop w:val="0"/>
                              <w:marBottom w:val="0"/>
                              <w:divBdr>
                                <w:top w:val="none" w:sz="0" w:space="0" w:color="auto"/>
                                <w:left w:val="none" w:sz="0" w:space="0" w:color="auto"/>
                                <w:bottom w:val="none" w:sz="0" w:space="0" w:color="auto"/>
                                <w:right w:val="none" w:sz="0" w:space="0" w:color="auto"/>
                              </w:divBdr>
                              <w:divsChild>
                                <w:div w:id="1929002854">
                                  <w:marLeft w:val="0"/>
                                  <w:marRight w:val="0"/>
                                  <w:marTop w:val="0"/>
                                  <w:marBottom w:val="0"/>
                                  <w:divBdr>
                                    <w:top w:val="none" w:sz="0" w:space="0" w:color="auto"/>
                                    <w:left w:val="none" w:sz="0" w:space="0" w:color="auto"/>
                                    <w:bottom w:val="none" w:sz="0" w:space="0" w:color="auto"/>
                                    <w:right w:val="none" w:sz="0" w:space="0" w:color="auto"/>
                                  </w:divBdr>
                                  <w:divsChild>
                                    <w:div w:id="1929002853">
                                      <w:marLeft w:val="0"/>
                                      <w:marRight w:val="0"/>
                                      <w:marTop w:val="0"/>
                                      <w:marBottom w:val="0"/>
                                      <w:divBdr>
                                        <w:top w:val="none" w:sz="0" w:space="0" w:color="auto"/>
                                        <w:left w:val="none" w:sz="0" w:space="0" w:color="auto"/>
                                        <w:bottom w:val="none" w:sz="0" w:space="0" w:color="auto"/>
                                        <w:right w:val="none" w:sz="0" w:space="0" w:color="auto"/>
                                      </w:divBdr>
                                      <w:divsChild>
                                        <w:div w:id="1929002855">
                                          <w:marLeft w:val="0"/>
                                          <w:marRight w:val="0"/>
                                          <w:marTop w:val="0"/>
                                          <w:marBottom w:val="0"/>
                                          <w:divBdr>
                                            <w:top w:val="none" w:sz="0" w:space="0" w:color="auto"/>
                                            <w:left w:val="none" w:sz="0" w:space="0" w:color="auto"/>
                                            <w:bottom w:val="none" w:sz="0" w:space="0" w:color="auto"/>
                                            <w:right w:val="none" w:sz="0" w:space="0" w:color="auto"/>
                                          </w:divBdr>
                                          <w:divsChild>
                                            <w:div w:id="1929002867">
                                              <w:marLeft w:val="0"/>
                                              <w:marRight w:val="0"/>
                                              <w:marTop w:val="0"/>
                                              <w:marBottom w:val="0"/>
                                              <w:divBdr>
                                                <w:top w:val="none" w:sz="0" w:space="0" w:color="auto"/>
                                                <w:left w:val="none" w:sz="0" w:space="0" w:color="auto"/>
                                                <w:bottom w:val="none" w:sz="0" w:space="0" w:color="auto"/>
                                                <w:right w:val="none" w:sz="0" w:space="0" w:color="auto"/>
                                              </w:divBdr>
                                              <w:divsChild>
                                                <w:div w:id="1929002860">
                                                  <w:marLeft w:val="0"/>
                                                  <w:marRight w:val="0"/>
                                                  <w:marTop w:val="0"/>
                                                  <w:marBottom w:val="0"/>
                                                  <w:divBdr>
                                                    <w:top w:val="none" w:sz="0" w:space="0" w:color="auto"/>
                                                    <w:left w:val="none" w:sz="0" w:space="0" w:color="auto"/>
                                                    <w:bottom w:val="none" w:sz="0" w:space="0" w:color="auto"/>
                                                    <w:right w:val="none" w:sz="0" w:space="0" w:color="auto"/>
                                                  </w:divBdr>
                                                  <w:divsChild>
                                                    <w:div w:id="1929002887">
                                                      <w:marLeft w:val="0"/>
                                                      <w:marRight w:val="0"/>
                                                      <w:marTop w:val="0"/>
                                                      <w:marBottom w:val="0"/>
                                                      <w:divBdr>
                                                        <w:top w:val="none" w:sz="0" w:space="0" w:color="auto"/>
                                                        <w:left w:val="none" w:sz="0" w:space="0" w:color="auto"/>
                                                        <w:bottom w:val="none" w:sz="0" w:space="0" w:color="auto"/>
                                                        <w:right w:val="none" w:sz="0" w:space="0" w:color="auto"/>
                                                      </w:divBdr>
                                                      <w:divsChild>
                                                        <w:div w:id="1929002884">
                                                          <w:marLeft w:val="0"/>
                                                          <w:marRight w:val="0"/>
                                                          <w:marTop w:val="290"/>
                                                          <w:marBottom w:val="290"/>
                                                          <w:divBdr>
                                                            <w:top w:val="none" w:sz="0" w:space="0" w:color="auto"/>
                                                            <w:left w:val="none" w:sz="0" w:space="0" w:color="auto"/>
                                                            <w:bottom w:val="none" w:sz="0" w:space="0" w:color="auto"/>
                                                            <w:right w:val="none" w:sz="0" w:space="0" w:color="auto"/>
                                                          </w:divBdr>
                                                          <w:divsChild>
                                                            <w:div w:id="1929002879">
                                                              <w:marLeft w:val="0"/>
                                                              <w:marRight w:val="0"/>
                                                              <w:marTop w:val="0"/>
                                                              <w:marBottom w:val="0"/>
                                                              <w:divBdr>
                                                                <w:top w:val="none" w:sz="0" w:space="0" w:color="auto"/>
                                                                <w:left w:val="none" w:sz="0" w:space="0" w:color="auto"/>
                                                                <w:bottom w:val="none" w:sz="0" w:space="0" w:color="auto"/>
                                                                <w:right w:val="none" w:sz="0" w:space="0" w:color="auto"/>
                                                              </w:divBdr>
                                                              <w:divsChild>
                                                                <w:div w:id="1929002889">
                                                                  <w:marLeft w:val="0"/>
                                                                  <w:marRight w:val="0"/>
                                                                  <w:marTop w:val="290"/>
                                                                  <w:marBottom w:val="193"/>
                                                                  <w:divBdr>
                                                                    <w:top w:val="single" w:sz="4" w:space="0" w:color="6AA84F"/>
                                                                    <w:left w:val="single" w:sz="4" w:space="7" w:color="6AA84F"/>
                                                                    <w:bottom w:val="single" w:sz="4" w:space="0" w:color="6AA84F"/>
                                                                    <w:right w:val="single" w:sz="4" w:space="7" w:color="6AA84F"/>
                                                                  </w:divBdr>
                                                                  <w:divsChild>
                                                                    <w:div w:id="1929002865">
                                                                      <w:marLeft w:val="0"/>
                                                                      <w:marRight w:val="0"/>
                                                                      <w:marTop w:val="0"/>
                                                                      <w:marBottom w:val="0"/>
                                                                      <w:divBdr>
                                                                        <w:top w:val="none" w:sz="0" w:space="0" w:color="auto"/>
                                                                        <w:left w:val="none" w:sz="0" w:space="0" w:color="auto"/>
                                                                        <w:bottom w:val="none" w:sz="0" w:space="0" w:color="auto"/>
                                                                        <w:right w:val="none" w:sz="0" w:space="0" w:color="auto"/>
                                                                      </w:divBdr>
                                                                      <w:divsChild>
                                                                        <w:div w:id="1929002890">
                                                                          <w:marLeft w:val="0"/>
                                                                          <w:marRight w:val="0"/>
                                                                          <w:marTop w:val="0"/>
                                                                          <w:marBottom w:val="0"/>
                                                                          <w:divBdr>
                                                                            <w:top w:val="single" w:sz="4" w:space="7" w:color="6AA84F"/>
                                                                            <w:left w:val="none" w:sz="0" w:space="0" w:color="auto"/>
                                                                            <w:bottom w:val="none" w:sz="0" w:space="0" w:color="auto"/>
                                                                            <w:right w:val="none" w:sz="0" w:space="0" w:color="auto"/>
                                                                          </w:divBdr>
                                                                          <w:divsChild>
                                                                            <w:div w:id="1929002862">
                                                                              <w:marLeft w:val="0"/>
                                                                              <w:marRight w:val="0"/>
                                                                              <w:marTop w:val="0"/>
                                                                              <w:marBottom w:val="0"/>
                                                                              <w:divBdr>
                                                                                <w:top w:val="none" w:sz="0" w:space="0" w:color="auto"/>
                                                                                <w:left w:val="none" w:sz="0" w:space="0" w:color="auto"/>
                                                                                <w:bottom w:val="none" w:sz="0" w:space="0" w:color="auto"/>
                                                                                <w:right w:val="none" w:sz="0" w:space="0" w:color="auto"/>
                                                                              </w:divBdr>
                                                                              <w:divsChild>
                                                                                <w:div w:id="19290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002868">
      <w:marLeft w:val="0"/>
      <w:marRight w:val="0"/>
      <w:marTop w:val="0"/>
      <w:marBottom w:val="0"/>
      <w:divBdr>
        <w:top w:val="none" w:sz="0" w:space="0" w:color="auto"/>
        <w:left w:val="none" w:sz="0" w:space="0" w:color="auto"/>
        <w:bottom w:val="none" w:sz="0" w:space="0" w:color="auto"/>
        <w:right w:val="none" w:sz="0" w:space="0" w:color="auto"/>
      </w:divBdr>
    </w:div>
    <w:div w:id="1929002869">
      <w:marLeft w:val="0"/>
      <w:marRight w:val="0"/>
      <w:marTop w:val="0"/>
      <w:marBottom w:val="0"/>
      <w:divBdr>
        <w:top w:val="none" w:sz="0" w:space="0" w:color="auto"/>
        <w:left w:val="none" w:sz="0" w:space="0" w:color="auto"/>
        <w:bottom w:val="none" w:sz="0" w:space="0" w:color="auto"/>
        <w:right w:val="none" w:sz="0" w:space="0" w:color="auto"/>
      </w:divBdr>
      <w:divsChild>
        <w:div w:id="1929002851">
          <w:marLeft w:val="0"/>
          <w:marRight w:val="0"/>
          <w:marTop w:val="0"/>
          <w:marBottom w:val="0"/>
          <w:divBdr>
            <w:top w:val="none" w:sz="0" w:space="0" w:color="auto"/>
            <w:left w:val="none" w:sz="0" w:space="0" w:color="auto"/>
            <w:bottom w:val="none" w:sz="0" w:space="0" w:color="auto"/>
            <w:right w:val="none" w:sz="0" w:space="0" w:color="auto"/>
          </w:divBdr>
          <w:divsChild>
            <w:div w:id="1929002870">
              <w:marLeft w:val="0"/>
              <w:marRight w:val="0"/>
              <w:marTop w:val="0"/>
              <w:marBottom w:val="0"/>
              <w:divBdr>
                <w:top w:val="none" w:sz="0" w:space="0" w:color="auto"/>
                <w:left w:val="none" w:sz="0" w:space="0" w:color="auto"/>
                <w:bottom w:val="none" w:sz="0" w:space="0" w:color="auto"/>
                <w:right w:val="none" w:sz="0" w:space="0" w:color="auto"/>
              </w:divBdr>
              <w:divsChild>
                <w:div w:id="1929002891">
                  <w:marLeft w:val="0"/>
                  <w:marRight w:val="0"/>
                  <w:marTop w:val="0"/>
                  <w:marBottom w:val="0"/>
                  <w:divBdr>
                    <w:top w:val="none" w:sz="0" w:space="0" w:color="auto"/>
                    <w:left w:val="none" w:sz="0" w:space="0" w:color="auto"/>
                    <w:bottom w:val="none" w:sz="0" w:space="0" w:color="auto"/>
                    <w:right w:val="none" w:sz="0" w:space="0" w:color="auto"/>
                  </w:divBdr>
                  <w:divsChild>
                    <w:div w:id="1929002863">
                      <w:marLeft w:val="0"/>
                      <w:marRight w:val="0"/>
                      <w:marTop w:val="0"/>
                      <w:marBottom w:val="0"/>
                      <w:divBdr>
                        <w:top w:val="none" w:sz="0" w:space="0" w:color="auto"/>
                        <w:left w:val="none" w:sz="0" w:space="0" w:color="auto"/>
                        <w:bottom w:val="none" w:sz="0" w:space="0" w:color="auto"/>
                        <w:right w:val="none" w:sz="0" w:space="0" w:color="auto"/>
                      </w:divBdr>
                      <w:divsChild>
                        <w:div w:id="1929002858">
                          <w:marLeft w:val="0"/>
                          <w:marRight w:val="0"/>
                          <w:marTop w:val="0"/>
                          <w:marBottom w:val="0"/>
                          <w:divBdr>
                            <w:top w:val="none" w:sz="0" w:space="0" w:color="auto"/>
                            <w:left w:val="none" w:sz="0" w:space="0" w:color="auto"/>
                            <w:bottom w:val="none" w:sz="0" w:space="0" w:color="auto"/>
                            <w:right w:val="none" w:sz="0" w:space="0" w:color="auto"/>
                          </w:divBdr>
                          <w:divsChild>
                            <w:div w:id="1929002859">
                              <w:marLeft w:val="0"/>
                              <w:marRight w:val="0"/>
                              <w:marTop w:val="0"/>
                              <w:marBottom w:val="0"/>
                              <w:divBdr>
                                <w:top w:val="none" w:sz="0" w:space="0" w:color="auto"/>
                                <w:left w:val="none" w:sz="0" w:space="0" w:color="auto"/>
                                <w:bottom w:val="none" w:sz="0" w:space="0" w:color="auto"/>
                                <w:right w:val="none" w:sz="0" w:space="0" w:color="auto"/>
                              </w:divBdr>
                              <w:divsChild>
                                <w:div w:id="1929002880">
                                  <w:marLeft w:val="0"/>
                                  <w:marRight w:val="0"/>
                                  <w:marTop w:val="0"/>
                                  <w:marBottom w:val="0"/>
                                  <w:divBdr>
                                    <w:top w:val="none" w:sz="0" w:space="0" w:color="auto"/>
                                    <w:left w:val="none" w:sz="0" w:space="0" w:color="auto"/>
                                    <w:bottom w:val="none" w:sz="0" w:space="0" w:color="auto"/>
                                    <w:right w:val="none" w:sz="0" w:space="0" w:color="auto"/>
                                  </w:divBdr>
                                  <w:divsChild>
                                    <w:div w:id="1929002850">
                                      <w:marLeft w:val="0"/>
                                      <w:marRight w:val="0"/>
                                      <w:marTop w:val="0"/>
                                      <w:marBottom w:val="0"/>
                                      <w:divBdr>
                                        <w:top w:val="none" w:sz="0" w:space="0" w:color="auto"/>
                                        <w:left w:val="none" w:sz="0" w:space="0" w:color="auto"/>
                                        <w:bottom w:val="none" w:sz="0" w:space="0" w:color="auto"/>
                                        <w:right w:val="none" w:sz="0" w:space="0" w:color="auto"/>
                                      </w:divBdr>
                                      <w:divsChild>
                                        <w:div w:id="1929002878">
                                          <w:marLeft w:val="0"/>
                                          <w:marRight w:val="0"/>
                                          <w:marTop w:val="0"/>
                                          <w:marBottom w:val="0"/>
                                          <w:divBdr>
                                            <w:top w:val="none" w:sz="0" w:space="0" w:color="auto"/>
                                            <w:left w:val="none" w:sz="0" w:space="0" w:color="auto"/>
                                            <w:bottom w:val="none" w:sz="0" w:space="0" w:color="auto"/>
                                            <w:right w:val="none" w:sz="0" w:space="0" w:color="auto"/>
                                          </w:divBdr>
                                          <w:divsChild>
                                            <w:div w:id="1929002888">
                                              <w:marLeft w:val="0"/>
                                              <w:marRight w:val="0"/>
                                              <w:marTop w:val="0"/>
                                              <w:marBottom w:val="0"/>
                                              <w:divBdr>
                                                <w:top w:val="none" w:sz="0" w:space="0" w:color="auto"/>
                                                <w:left w:val="none" w:sz="0" w:space="0" w:color="auto"/>
                                                <w:bottom w:val="none" w:sz="0" w:space="0" w:color="auto"/>
                                                <w:right w:val="none" w:sz="0" w:space="0" w:color="auto"/>
                                              </w:divBdr>
                                              <w:divsChild>
                                                <w:div w:id="1929002883">
                                                  <w:marLeft w:val="0"/>
                                                  <w:marRight w:val="0"/>
                                                  <w:marTop w:val="0"/>
                                                  <w:marBottom w:val="0"/>
                                                  <w:divBdr>
                                                    <w:top w:val="none" w:sz="0" w:space="0" w:color="auto"/>
                                                    <w:left w:val="none" w:sz="0" w:space="0" w:color="auto"/>
                                                    <w:bottom w:val="none" w:sz="0" w:space="0" w:color="auto"/>
                                                    <w:right w:val="none" w:sz="0" w:space="0" w:color="auto"/>
                                                  </w:divBdr>
                                                  <w:divsChild>
                                                    <w:div w:id="1929002872">
                                                      <w:marLeft w:val="0"/>
                                                      <w:marRight w:val="0"/>
                                                      <w:marTop w:val="0"/>
                                                      <w:marBottom w:val="0"/>
                                                      <w:divBdr>
                                                        <w:top w:val="none" w:sz="0" w:space="0" w:color="auto"/>
                                                        <w:left w:val="none" w:sz="0" w:space="0" w:color="auto"/>
                                                        <w:bottom w:val="none" w:sz="0" w:space="0" w:color="auto"/>
                                                        <w:right w:val="none" w:sz="0" w:space="0" w:color="auto"/>
                                                      </w:divBdr>
                                                      <w:divsChild>
                                                        <w:div w:id="1929002864">
                                                          <w:marLeft w:val="0"/>
                                                          <w:marRight w:val="0"/>
                                                          <w:marTop w:val="0"/>
                                                          <w:marBottom w:val="0"/>
                                                          <w:divBdr>
                                                            <w:top w:val="none" w:sz="0" w:space="0" w:color="auto"/>
                                                            <w:left w:val="none" w:sz="0" w:space="0" w:color="auto"/>
                                                            <w:bottom w:val="none" w:sz="0" w:space="0" w:color="auto"/>
                                                            <w:right w:val="none" w:sz="0" w:space="0" w:color="auto"/>
                                                          </w:divBdr>
                                                          <w:divsChild>
                                                            <w:div w:id="1929002852">
                                                              <w:marLeft w:val="0"/>
                                                              <w:marRight w:val="0"/>
                                                              <w:marTop w:val="0"/>
                                                              <w:marBottom w:val="0"/>
                                                              <w:divBdr>
                                                                <w:top w:val="none" w:sz="0" w:space="0" w:color="auto"/>
                                                                <w:left w:val="none" w:sz="0" w:space="0" w:color="auto"/>
                                                                <w:bottom w:val="none" w:sz="0" w:space="0" w:color="auto"/>
                                                                <w:right w:val="none" w:sz="0" w:space="0" w:color="auto"/>
                                                              </w:divBdr>
                                                              <w:divsChild>
                                                                <w:div w:id="1929002882">
                                                                  <w:marLeft w:val="0"/>
                                                                  <w:marRight w:val="0"/>
                                                                  <w:marTop w:val="0"/>
                                                                  <w:marBottom w:val="0"/>
                                                                  <w:divBdr>
                                                                    <w:top w:val="none" w:sz="0" w:space="0" w:color="auto"/>
                                                                    <w:left w:val="none" w:sz="0" w:space="0" w:color="auto"/>
                                                                    <w:bottom w:val="none" w:sz="0" w:space="0" w:color="auto"/>
                                                                    <w:right w:val="none" w:sz="0" w:space="0" w:color="auto"/>
                                                                  </w:divBdr>
                                                                  <w:divsChild>
                                                                    <w:div w:id="1929002877">
                                                                      <w:marLeft w:val="0"/>
                                                                      <w:marRight w:val="0"/>
                                                                      <w:marTop w:val="0"/>
                                                                      <w:marBottom w:val="0"/>
                                                                      <w:divBdr>
                                                                        <w:top w:val="none" w:sz="0" w:space="0" w:color="auto"/>
                                                                        <w:left w:val="none" w:sz="0" w:space="0" w:color="auto"/>
                                                                        <w:bottom w:val="none" w:sz="0" w:space="0" w:color="auto"/>
                                                                        <w:right w:val="none" w:sz="0" w:space="0" w:color="auto"/>
                                                                      </w:divBdr>
                                                                      <w:divsChild>
                                                                        <w:div w:id="1929002873">
                                                                          <w:marLeft w:val="0"/>
                                                                          <w:marRight w:val="0"/>
                                                                          <w:marTop w:val="0"/>
                                                                          <w:marBottom w:val="0"/>
                                                                          <w:divBdr>
                                                                            <w:top w:val="none" w:sz="0" w:space="0" w:color="auto"/>
                                                                            <w:left w:val="none" w:sz="0" w:space="0" w:color="auto"/>
                                                                            <w:bottom w:val="none" w:sz="0" w:space="0" w:color="auto"/>
                                                                            <w:right w:val="none" w:sz="0" w:space="0" w:color="auto"/>
                                                                          </w:divBdr>
                                                                          <w:divsChild>
                                                                            <w:div w:id="1929002871">
                                                                              <w:marLeft w:val="0"/>
                                                                              <w:marRight w:val="0"/>
                                                                              <w:marTop w:val="0"/>
                                                                              <w:marBottom w:val="0"/>
                                                                              <w:divBdr>
                                                                                <w:top w:val="none" w:sz="0" w:space="0" w:color="auto"/>
                                                                                <w:left w:val="none" w:sz="0" w:space="0" w:color="auto"/>
                                                                                <w:bottom w:val="none" w:sz="0" w:space="0" w:color="auto"/>
                                                                                <w:right w:val="none" w:sz="0" w:space="0" w:color="auto"/>
                                                                              </w:divBdr>
                                                                              <w:divsChild>
                                                                                <w:div w:id="1929002876">
                                                                                  <w:marLeft w:val="0"/>
                                                                                  <w:marRight w:val="0"/>
                                                                                  <w:marTop w:val="0"/>
                                                                                  <w:marBottom w:val="0"/>
                                                                                  <w:divBdr>
                                                                                    <w:top w:val="none" w:sz="0" w:space="0" w:color="auto"/>
                                                                                    <w:left w:val="none" w:sz="0" w:space="0" w:color="auto"/>
                                                                                    <w:bottom w:val="none" w:sz="0" w:space="0" w:color="auto"/>
                                                                                    <w:right w:val="none" w:sz="0" w:space="0" w:color="auto"/>
                                                                                  </w:divBdr>
                                                                                  <w:divsChild>
                                                                                    <w:div w:id="1929002881">
                                                                                      <w:marLeft w:val="57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8C13D-D3C7-406A-91D6-FA709673A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Granier y otros (RCTV). Resolución del Presidente de 14 de abril de 2014</Template>
  <TotalTime>0</TotalTime>
  <Pages>18</Pages>
  <Words>8103</Words>
  <Characters>44569</Characters>
  <Application>Microsoft Office Word</Application>
  <DocSecurity>0</DocSecurity>
  <Lines>371</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diego</Company>
  <LinksUpToDate>false</LinksUpToDate>
  <CharactersWithSpaces>52567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2</cp:revision>
  <cp:lastPrinted>2017-08-02T22:21:00Z</cp:lastPrinted>
  <dcterms:created xsi:type="dcterms:W3CDTF">2017-08-02T22:24:00Z</dcterms:created>
  <dcterms:modified xsi:type="dcterms:W3CDTF">2017-08-02T22:24:00Z</dcterms:modified>
</cp:coreProperties>
</file>