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D8F" w:rsidRPr="000A116D" w:rsidRDefault="003D2D8F" w:rsidP="003D2D8F">
      <w:pPr>
        <w:rPr>
          <w:lang w:val="en-US"/>
        </w:rPr>
      </w:pPr>
      <w:bookmarkStart w:id="0" w:name="_GoBack"/>
      <w:bookmarkEnd w:id="0"/>
    </w:p>
    <w:p w:rsidR="003D2D8F" w:rsidRPr="000A116D" w:rsidRDefault="003D2D8F" w:rsidP="003D2D8F">
      <w:pPr>
        <w:rPr>
          <w:lang w:val="en-US"/>
        </w:rPr>
      </w:pPr>
    </w:p>
    <w:p w:rsidR="003D2D8F" w:rsidRPr="000A116D" w:rsidRDefault="003D2D8F" w:rsidP="003D2D8F">
      <w:pPr>
        <w:rPr>
          <w:lang w:val="en-US"/>
        </w:rPr>
      </w:pPr>
    </w:p>
    <w:p w:rsidR="003D2D8F" w:rsidRPr="000A116D" w:rsidRDefault="003D2D8F" w:rsidP="003D2D8F">
      <w:pPr>
        <w:rPr>
          <w:lang w:val="en-US"/>
        </w:rPr>
      </w:pPr>
    </w:p>
    <w:p w:rsidR="003D2D8F" w:rsidRPr="000A116D" w:rsidRDefault="003D2D8F" w:rsidP="003D2D8F">
      <w:pPr>
        <w:rPr>
          <w:lang w:val="en-US"/>
        </w:rPr>
      </w:pPr>
    </w:p>
    <w:p w:rsidR="00240F2E" w:rsidRPr="000A116D" w:rsidRDefault="00240F2E" w:rsidP="00B05187">
      <w:pPr>
        <w:pStyle w:val="Ttulo6"/>
        <w:ind w:right="0"/>
        <w:rPr>
          <w:smallCaps w:val="0"/>
          <w:lang w:val="en-US"/>
        </w:rPr>
      </w:pPr>
      <w:r w:rsidRPr="000A116D">
        <w:rPr>
          <w:smallCaps w:val="0"/>
          <w:lang w:val="en-US"/>
        </w:rPr>
        <w:t xml:space="preserve">ORDER OF THE </w:t>
      </w:r>
    </w:p>
    <w:p w:rsidR="00F75B6D" w:rsidRPr="000A116D" w:rsidRDefault="00240F2E" w:rsidP="00240F2E">
      <w:pPr>
        <w:pStyle w:val="Ttulo6"/>
        <w:ind w:right="0"/>
        <w:rPr>
          <w:b w:val="0"/>
          <w:lang w:val="en-US"/>
        </w:rPr>
      </w:pPr>
      <w:r w:rsidRPr="000A116D">
        <w:rPr>
          <w:smallCaps w:val="0"/>
          <w:lang w:val="en-US"/>
        </w:rPr>
        <w:t>INTER-AMERICAN COURT OF HUMAN RIGHTS</w:t>
      </w:r>
    </w:p>
    <w:p w:rsidR="00F75B6D" w:rsidRPr="000A116D" w:rsidRDefault="00F75B6D" w:rsidP="00B05187">
      <w:pPr>
        <w:jc w:val="center"/>
        <w:rPr>
          <w:rFonts w:ascii="Verdana" w:hAnsi="Verdana"/>
          <w:b/>
          <w:sz w:val="20"/>
          <w:lang w:val="en-US"/>
        </w:rPr>
      </w:pPr>
    </w:p>
    <w:p w:rsidR="00081B28" w:rsidRDefault="00081B28" w:rsidP="00B05187">
      <w:pPr>
        <w:jc w:val="center"/>
        <w:rPr>
          <w:rFonts w:ascii="Verdana" w:hAnsi="Verdana"/>
          <w:b/>
          <w:sz w:val="20"/>
          <w:lang w:val="en-US"/>
        </w:rPr>
      </w:pPr>
    </w:p>
    <w:p w:rsidR="00F75B6D" w:rsidRPr="000A116D" w:rsidRDefault="00240F2E" w:rsidP="00B05187">
      <w:pPr>
        <w:jc w:val="center"/>
        <w:rPr>
          <w:rFonts w:ascii="Verdana" w:hAnsi="Verdana"/>
          <w:b/>
          <w:sz w:val="20"/>
          <w:lang w:val="en-US"/>
        </w:rPr>
      </w:pPr>
      <w:r w:rsidRPr="000A116D">
        <w:rPr>
          <w:rFonts w:ascii="Verdana" w:hAnsi="Verdana"/>
          <w:b/>
          <w:sz w:val="20"/>
          <w:lang w:val="en-US"/>
        </w:rPr>
        <w:t xml:space="preserve">FEBRUARY </w:t>
      </w:r>
      <w:r w:rsidR="00AA120C" w:rsidRPr="000A116D">
        <w:rPr>
          <w:rFonts w:ascii="Verdana" w:hAnsi="Verdana"/>
          <w:b/>
          <w:sz w:val="20"/>
          <w:lang w:val="en-US"/>
        </w:rPr>
        <w:t>6</w:t>
      </w:r>
      <w:r w:rsidRPr="000A116D">
        <w:rPr>
          <w:rFonts w:ascii="Verdana" w:hAnsi="Verdana"/>
          <w:b/>
          <w:sz w:val="20"/>
          <w:lang w:val="en-US"/>
        </w:rPr>
        <w:t>,</w:t>
      </w:r>
      <w:r w:rsidR="00327B66" w:rsidRPr="000A116D">
        <w:rPr>
          <w:rFonts w:ascii="Verdana" w:hAnsi="Verdana"/>
          <w:b/>
          <w:sz w:val="20"/>
          <w:lang w:val="en-US"/>
        </w:rPr>
        <w:t xml:space="preserve"> 2014</w:t>
      </w:r>
    </w:p>
    <w:p w:rsidR="00F75B6D" w:rsidRPr="000A116D" w:rsidRDefault="00F75B6D" w:rsidP="00B05187">
      <w:pPr>
        <w:jc w:val="center"/>
        <w:rPr>
          <w:rFonts w:ascii="Verdana" w:hAnsi="Verdana"/>
          <w:b/>
          <w:sz w:val="20"/>
          <w:lang w:val="en-US"/>
        </w:rPr>
      </w:pPr>
    </w:p>
    <w:p w:rsidR="00F75B6D" w:rsidRPr="000A116D" w:rsidRDefault="00327B66" w:rsidP="00B05187">
      <w:pPr>
        <w:jc w:val="center"/>
        <w:rPr>
          <w:rFonts w:ascii="Verdana" w:hAnsi="Verdana"/>
          <w:b/>
          <w:sz w:val="20"/>
          <w:lang w:val="en-US"/>
        </w:rPr>
      </w:pPr>
      <w:r w:rsidRPr="000A116D">
        <w:rPr>
          <w:rFonts w:ascii="Verdana" w:hAnsi="Verdana"/>
          <w:b/>
          <w:sz w:val="20"/>
          <w:lang w:val="en-US"/>
        </w:rPr>
        <w:t>CASE OF</w:t>
      </w:r>
      <w:r w:rsidR="00F75B6D" w:rsidRPr="000A116D">
        <w:rPr>
          <w:rFonts w:ascii="Verdana" w:hAnsi="Verdana"/>
          <w:b/>
          <w:sz w:val="20"/>
          <w:lang w:val="en-US"/>
        </w:rPr>
        <w:t xml:space="preserve"> </w:t>
      </w:r>
      <w:r w:rsidR="003B3844" w:rsidRPr="000A116D">
        <w:rPr>
          <w:rFonts w:ascii="Verdana" w:hAnsi="Verdana"/>
          <w:b/>
          <w:sz w:val="20"/>
          <w:lang w:val="en-US"/>
        </w:rPr>
        <w:t xml:space="preserve">GRANIER </w:t>
      </w:r>
      <w:r w:rsidRPr="004F363F">
        <w:rPr>
          <w:rFonts w:ascii="Verdana" w:hAnsi="Verdana"/>
          <w:b/>
          <w:i/>
          <w:sz w:val="20"/>
          <w:lang w:val="en-US"/>
        </w:rPr>
        <w:t>ET AL.</w:t>
      </w:r>
      <w:r w:rsidR="003B3844" w:rsidRPr="000A116D">
        <w:rPr>
          <w:rFonts w:ascii="Verdana" w:hAnsi="Verdana"/>
          <w:b/>
          <w:sz w:val="20"/>
          <w:lang w:val="en-US"/>
        </w:rPr>
        <w:t xml:space="preserve"> (RADIO CARACAS TELEVISIÓN) </w:t>
      </w:r>
      <w:r w:rsidR="004F363F" w:rsidRPr="004F363F">
        <w:rPr>
          <w:rFonts w:ascii="Verdana" w:hAnsi="Verdana"/>
          <w:b/>
          <w:i/>
          <w:sz w:val="20"/>
          <w:lang w:val="en-US"/>
        </w:rPr>
        <w:t>v</w:t>
      </w:r>
      <w:r w:rsidR="00F75B6D" w:rsidRPr="000A116D">
        <w:rPr>
          <w:rFonts w:ascii="Verdana" w:hAnsi="Verdana"/>
          <w:b/>
          <w:sz w:val="20"/>
          <w:lang w:val="en-US"/>
        </w:rPr>
        <w:t>. VENEZUELA</w:t>
      </w:r>
    </w:p>
    <w:p w:rsidR="00F75B6D" w:rsidRPr="000A116D" w:rsidRDefault="00F75B6D" w:rsidP="00B05187">
      <w:pPr>
        <w:jc w:val="center"/>
        <w:rPr>
          <w:rFonts w:ascii="Verdana" w:hAnsi="Verdana"/>
          <w:b/>
          <w:sz w:val="20"/>
          <w:lang w:val="en-US"/>
        </w:rPr>
      </w:pPr>
    </w:p>
    <w:p w:rsidR="00F75B6D" w:rsidRPr="000A116D" w:rsidRDefault="00327B66" w:rsidP="00B05187">
      <w:pPr>
        <w:ind w:right="746"/>
        <w:jc w:val="both"/>
        <w:rPr>
          <w:rFonts w:ascii="Verdana" w:hAnsi="Verdana"/>
          <w:b/>
          <w:sz w:val="20"/>
          <w:lang w:val="en-US"/>
        </w:rPr>
      </w:pPr>
      <w:r w:rsidRPr="000A116D">
        <w:rPr>
          <w:rFonts w:ascii="Verdana" w:hAnsi="Verdana"/>
          <w:b/>
          <w:sz w:val="20"/>
          <w:lang w:val="en-US"/>
        </w:rPr>
        <w:t>HAVING SEEN</w:t>
      </w:r>
      <w:r w:rsidR="00F75B6D" w:rsidRPr="000A116D">
        <w:rPr>
          <w:rFonts w:ascii="Verdana" w:hAnsi="Verdana"/>
          <w:b/>
          <w:sz w:val="20"/>
          <w:lang w:val="en-US"/>
        </w:rPr>
        <w:t>:</w:t>
      </w:r>
    </w:p>
    <w:p w:rsidR="00F75B6D" w:rsidRPr="000A116D" w:rsidRDefault="00F75B6D" w:rsidP="00B05187">
      <w:pPr>
        <w:ind w:right="746"/>
        <w:jc w:val="both"/>
        <w:rPr>
          <w:rFonts w:ascii="Verdana" w:hAnsi="Verdana"/>
          <w:sz w:val="20"/>
          <w:lang w:val="en-US"/>
        </w:rPr>
      </w:pPr>
    </w:p>
    <w:p w:rsidR="00F75B6D" w:rsidRPr="000A116D" w:rsidRDefault="007E0CF8" w:rsidP="00B05187">
      <w:pPr>
        <w:numPr>
          <w:ilvl w:val="0"/>
          <w:numId w:val="3"/>
        </w:numPr>
        <w:tabs>
          <w:tab w:val="clear" w:pos="1065"/>
        </w:tabs>
        <w:ind w:left="0" w:firstLine="0"/>
        <w:jc w:val="both"/>
        <w:rPr>
          <w:rFonts w:ascii="Verdana" w:hAnsi="Verdana"/>
          <w:sz w:val="20"/>
          <w:lang w:val="en-US"/>
        </w:rPr>
      </w:pPr>
      <w:r w:rsidRPr="000A116D">
        <w:rPr>
          <w:rFonts w:ascii="Verdana" w:hAnsi="Verdana"/>
          <w:sz w:val="20"/>
          <w:lang w:val="en-US"/>
        </w:rPr>
        <w:t>The brief</w:t>
      </w:r>
      <w:r w:rsidR="00F75B6D" w:rsidRPr="000A116D">
        <w:rPr>
          <w:rFonts w:ascii="Verdana" w:hAnsi="Verdana"/>
          <w:sz w:val="20"/>
          <w:lang w:val="en-US"/>
        </w:rPr>
        <w:t xml:space="preserve"> </w:t>
      </w:r>
      <w:r w:rsidR="00315B33" w:rsidRPr="000A116D">
        <w:rPr>
          <w:rFonts w:ascii="Verdana" w:hAnsi="Verdana"/>
          <w:sz w:val="20"/>
          <w:lang w:val="en-US"/>
        </w:rPr>
        <w:t>of the Boliv</w:t>
      </w:r>
      <w:r w:rsidRPr="000A116D">
        <w:rPr>
          <w:rFonts w:ascii="Verdana" w:hAnsi="Verdana"/>
          <w:sz w:val="20"/>
          <w:lang w:val="en-US"/>
        </w:rPr>
        <w:t>a</w:t>
      </w:r>
      <w:r w:rsidR="00315B33" w:rsidRPr="000A116D">
        <w:rPr>
          <w:rFonts w:ascii="Verdana" w:hAnsi="Verdana"/>
          <w:sz w:val="20"/>
          <w:lang w:val="en-US"/>
        </w:rPr>
        <w:t>ria</w:t>
      </w:r>
      <w:r w:rsidRPr="000A116D">
        <w:rPr>
          <w:rFonts w:ascii="Verdana" w:hAnsi="Verdana"/>
          <w:sz w:val="20"/>
          <w:lang w:val="en-US"/>
        </w:rPr>
        <w:t xml:space="preserve">n Republic of Venezuela (hereinafter “the State” or “Venezuela) received on December 14, 2013 at the Inter-American Court of Human Rights (hereinafter “the Inter-American Court,” “the Court,” or “the Tribunal”) wherein, </w:t>
      </w:r>
      <w:r w:rsidRPr="000A116D">
        <w:rPr>
          <w:rFonts w:ascii="Verdana" w:hAnsi="Verdana"/>
          <w:i/>
          <w:sz w:val="20"/>
          <w:lang w:val="en-US"/>
        </w:rPr>
        <w:t>inter alia,</w:t>
      </w:r>
      <w:r w:rsidR="00936140" w:rsidRPr="000A116D">
        <w:rPr>
          <w:rFonts w:ascii="Verdana" w:hAnsi="Verdana"/>
          <w:i/>
          <w:sz w:val="20"/>
          <w:lang w:val="en-US"/>
        </w:rPr>
        <w:t xml:space="preserve"> </w:t>
      </w:r>
      <w:r w:rsidR="00936140" w:rsidRPr="000A116D">
        <w:rPr>
          <w:rFonts w:ascii="Verdana" w:hAnsi="Verdana"/>
          <w:sz w:val="20"/>
          <w:lang w:val="en-US"/>
        </w:rPr>
        <w:t xml:space="preserve">it challenged Judged Diego García-Sayán and </w:t>
      </w:r>
      <w:r w:rsidR="001B1B01" w:rsidRPr="000A116D">
        <w:rPr>
          <w:rFonts w:ascii="Verdana" w:hAnsi="Verdana"/>
          <w:sz w:val="20"/>
          <w:lang w:val="en-US"/>
        </w:rPr>
        <w:t>Manuel E. Ventura Robles</w:t>
      </w:r>
      <w:r w:rsidR="00F75B6D" w:rsidRPr="000A116D">
        <w:rPr>
          <w:rFonts w:ascii="Verdana" w:hAnsi="Verdana"/>
          <w:sz w:val="20"/>
          <w:lang w:val="en-US"/>
        </w:rPr>
        <w:t>.</w:t>
      </w:r>
    </w:p>
    <w:p w:rsidR="008B0F1B" w:rsidRPr="000A116D" w:rsidRDefault="008B0F1B" w:rsidP="00B05187">
      <w:pPr>
        <w:jc w:val="both"/>
        <w:rPr>
          <w:rFonts w:ascii="Verdana" w:hAnsi="Verdana"/>
          <w:sz w:val="20"/>
          <w:lang w:val="en-US"/>
        </w:rPr>
      </w:pPr>
    </w:p>
    <w:p w:rsidR="00F75B6D" w:rsidRPr="000A116D" w:rsidRDefault="00315B33" w:rsidP="00B05187">
      <w:pPr>
        <w:jc w:val="both"/>
        <w:rPr>
          <w:rFonts w:ascii="Verdana" w:hAnsi="Verdana"/>
          <w:b/>
          <w:sz w:val="20"/>
          <w:lang w:val="en-US"/>
        </w:rPr>
      </w:pPr>
      <w:r w:rsidRPr="000A116D">
        <w:rPr>
          <w:rFonts w:ascii="Verdana" w:hAnsi="Verdana"/>
          <w:b/>
          <w:sz w:val="20"/>
          <w:lang w:val="en-US"/>
        </w:rPr>
        <w:t>CONSIDERING THAT</w:t>
      </w:r>
      <w:r w:rsidR="00F75B6D" w:rsidRPr="000A116D">
        <w:rPr>
          <w:rFonts w:ascii="Verdana" w:hAnsi="Verdana"/>
          <w:b/>
          <w:sz w:val="20"/>
          <w:lang w:val="en-US"/>
        </w:rPr>
        <w:t>:</w:t>
      </w:r>
    </w:p>
    <w:p w:rsidR="00F75B6D" w:rsidRPr="000A116D" w:rsidRDefault="00F75B6D" w:rsidP="00B05187">
      <w:pPr>
        <w:jc w:val="both"/>
        <w:rPr>
          <w:rFonts w:ascii="Verdana" w:hAnsi="Verdana" w:cs="Century Gothic"/>
          <w:color w:val="000000"/>
          <w:sz w:val="20"/>
          <w:lang w:val="en-US"/>
        </w:rPr>
      </w:pPr>
      <w:bookmarkStart w:id="1" w:name="_Ref262456113"/>
    </w:p>
    <w:p w:rsidR="00F75B6D" w:rsidRPr="000A116D" w:rsidRDefault="00F75B6D" w:rsidP="00B05187">
      <w:pPr>
        <w:numPr>
          <w:ilvl w:val="0"/>
          <w:numId w:val="1"/>
        </w:numPr>
        <w:tabs>
          <w:tab w:val="clear" w:pos="360"/>
        </w:tabs>
        <w:ind w:left="0" w:firstLine="0"/>
        <w:jc w:val="both"/>
        <w:rPr>
          <w:rFonts w:ascii="Verdana" w:hAnsi="Verdana" w:cs="Century Gothic"/>
          <w:color w:val="000000"/>
          <w:sz w:val="20"/>
          <w:lang w:val="en-US"/>
        </w:rPr>
      </w:pPr>
      <w:r w:rsidRPr="000A116D">
        <w:rPr>
          <w:rFonts w:ascii="Verdana" w:hAnsi="Verdana"/>
          <w:sz w:val="20"/>
          <w:lang w:val="en-US"/>
        </w:rPr>
        <w:t xml:space="preserve">Venezuela </w:t>
      </w:r>
      <w:r w:rsidR="004B780D" w:rsidRPr="000A116D">
        <w:rPr>
          <w:rFonts w:ascii="Verdana" w:hAnsi="Verdana"/>
          <w:sz w:val="20"/>
          <w:lang w:val="en-US"/>
        </w:rPr>
        <w:t xml:space="preserve">has been a State Party to the American Convention on Human Rights (hereinafter “the American Convention” or “the Convention”) since August 9, 1977, and it recognized the contentious jurisdiction of the Court on June 24, 1981. Its jurisdiction has not been challenged in this case. </w:t>
      </w:r>
      <w:bookmarkEnd w:id="1"/>
    </w:p>
    <w:p w:rsidR="00F75B6D" w:rsidRPr="000A116D" w:rsidRDefault="00F75B6D" w:rsidP="00B05187">
      <w:pPr>
        <w:jc w:val="both"/>
        <w:rPr>
          <w:rFonts w:ascii="Verdana" w:hAnsi="Verdana"/>
          <w:sz w:val="20"/>
          <w:lang w:val="en-US"/>
        </w:rPr>
      </w:pPr>
    </w:p>
    <w:p w:rsidR="00F75B6D" w:rsidRPr="000A116D" w:rsidRDefault="00FA52C8" w:rsidP="00B05187">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The commitment is to adopt the decision on the proceeding which the Court must give to the brief noted in Having Seen clause 1 of this Order. </w:t>
      </w:r>
    </w:p>
    <w:p w:rsidR="00C3403B" w:rsidRPr="000A116D" w:rsidRDefault="00C3403B" w:rsidP="00C3403B">
      <w:pPr>
        <w:jc w:val="both"/>
        <w:rPr>
          <w:rFonts w:ascii="Verdana" w:hAnsi="Verdana"/>
          <w:sz w:val="20"/>
          <w:lang w:val="en-US"/>
        </w:rPr>
      </w:pPr>
    </w:p>
    <w:p w:rsidR="00C3403B" w:rsidRPr="000A116D" w:rsidRDefault="00C3403B" w:rsidP="00C3403B">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By way of that brief, the State filed the preliminary objections of lack of exhaustion of domestic remedies and lack of jurisdiction of the Inter-American Court in the protection of </w:t>
      </w:r>
      <w:r w:rsidR="00661FC9" w:rsidRPr="000A116D">
        <w:rPr>
          <w:rFonts w:ascii="Verdana" w:hAnsi="Verdana"/>
          <w:sz w:val="20"/>
          <w:lang w:val="en-US"/>
        </w:rPr>
        <w:t xml:space="preserve">legal persons, and filed its </w:t>
      </w:r>
      <w:r w:rsidR="004D3319" w:rsidRPr="000A116D">
        <w:rPr>
          <w:rFonts w:ascii="Verdana" w:hAnsi="Verdana"/>
          <w:sz w:val="20"/>
          <w:lang w:val="en-US"/>
        </w:rPr>
        <w:t>answer to</w:t>
      </w:r>
      <w:r w:rsidR="00661FC9" w:rsidRPr="000A116D">
        <w:rPr>
          <w:rFonts w:ascii="Verdana" w:hAnsi="Verdana"/>
          <w:sz w:val="20"/>
          <w:lang w:val="en-US"/>
        </w:rPr>
        <w:t xml:space="preserve"> the</w:t>
      </w:r>
      <w:r w:rsidRPr="000A116D">
        <w:rPr>
          <w:rFonts w:ascii="Verdana" w:hAnsi="Verdana"/>
          <w:sz w:val="20"/>
          <w:lang w:val="en-US"/>
        </w:rPr>
        <w:t xml:space="preserve"> Report </w:t>
      </w:r>
      <w:r w:rsidR="00661FC9" w:rsidRPr="000A116D">
        <w:rPr>
          <w:rFonts w:ascii="Verdana" w:hAnsi="Verdana"/>
          <w:sz w:val="20"/>
          <w:lang w:val="en-US"/>
        </w:rPr>
        <w:t xml:space="preserve">on the Merits </w:t>
      </w:r>
      <w:r w:rsidRPr="000A116D">
        <w:rPr>
          <w:rFonts w:ascii="Verdana" w:hAnsi="Verdana"/>
          <w:sz w:val="20"/>
          <w:lang w:val="en-US"/>
        </w:rPr>
        <w:t xml:space="preserve">No. 112/12 </w:t>
      </w:r>
      <w:r w:rsidR="00661FC9" w:rsidRPr="000A116D">
        <w:rPr>
          <w:rFonts w:ascii="Verdana" w:hAnsi="Verdana"/>
          <w:sz w:val="20"/>
          <w:lang w:val="en-US"/>
        </w:rPr>
        <w:t>filed</w:t>
      </w:r>
      <w:r w:rsidRPr="000A116D">
        <w:rPr>
          <w:rFonts w:ascii="Verdana" w:hAnsi="Verdana"/>
          <w:sz w:val="20"/>
          <w:lang w:val="en-US"/>
        </w:rPr>
        <w:t xml:space="preserve"> by the Commission and</w:t>
      </w:r>
      <w:r w:rsidR="004D3319" w:rsidRPr="000A116D">
        <w:rPr>
          <w:rFonts w:ascii="Verdana" w:hAnsi="Verdana"/>
          <w:sz w:val="20"/>
          <w:lang w:val="en-US"/>
        </w:rPr>
        <w:t xml:space="preserve"> its</w:t>
      </w:r>
      <w:r w:rsidRPr="000A116D">
        <w:rPr>
          <w:rFonts w:ascii="Verdana" w:hAnsi="Verdana"/>
          <w:sz w:val="20"/>
          <w:lang w:val="en-US"/>
        </w:rPr>
        <w:t xml:space="preserve"> </w:t>
      </w:r>
      <w:r w:rsidR="00661FC9" w:rsidRPr="000A116D">
        <w:rPr>
          <w:rFonts w:ascii="Verdana" w:hAnsi="Verdana"/>
          <w:sz w:val="20"/>
          <w:lang w:val="en-US"/>
        </w:rPr>
        <w:t>observations</w:t>
      </w:r>
      <w:r w:rsidRPr="000A116D">
        <w:rPr>
          <w:rFonts w:ascii="Verdana" w:hAnsi="Verdana"/>
          <w:sz w:val="20"/>
          <w:lang w:val="en-US"/>
        </w:rPr>
        <w:t xml:space="preserve"> to the </w:t>
      </w:r>
      <w:r w:rsidR="00661FC9" w:rsidRPr="000A116D">
        <w:rPr>
          <w:rFonts w:ascii="Verdana" w:hAnsi="Verdana"/>
          <w:sz w:val="20"/>
          <w:lang w:val="en-US"/>
        </w:rPr>
        <w:t xml:space="preserve">brief containing </w:t>
      </w:r>
      <w:r w:rsidRPr="000A116D">
        <w:rPr>
          <w:rFonts w:ascii="Verdana" w:hAnsi="Verdana"/>
          <w:sz w:val="20"/>
          <w:lang w:val="en-US"/>
        </w:rPr>
        <w:t xml:space="preserve">pleadings, motions and evidence of the representatives of the alleged victims. </w:t>
      </w:r>
      <w:r w:rsidR="00661FC9" w:rsidRPr="000A116D">
        <w:rPr>
          <w:rFonts w:ascii="Verdana" w:hAnsi="Verdana"/>
          <w:sz w:val="20"/>
          <w:lang w:val="en-US"/>
        </w:rPr>
        <w:t xml:space="preserve">The State, presenting the argument as </w:t>
      </w:r>
      <w:r w:rsidRPr="000A116D">
        <w:rPr>
          <w:rFonts w:ascii="Verdana" w:hAnsi="Verdana"/>
          <w:sz w:val="20"/>
          <w:lang w:val="en-US"/>
        </w:rPr>
        <w:t>a preliminary objection, recused</w:t>
      </w:r>
      <w:r w:rsidR="00661FC9" w:rsidRPr="000A116D">
        <w:rPr>
          <w:rFonts w:ascii="Verdana" w:hAnsi="Verdana"/>
          <w:sz w:val="20"/>
          <w:lang w:val="en-US"/>
        </w:rPr>
        <w:t xml:space="preserve"> Judges</w:t>
      </w:r>
      <w:r w:rsidRPr="000A116D">
        <w:rPr>
          <w:rFonts w:ascii="Verdana" w:hAnsi="Verdana"/>
          <w:sz w:val="20"/>
          <w:lang w:val="en-US"/>
        </w:rPr>
        <w:t xml:space="preserve"> Diego Garcia-Sayan and Manuel E. Ventura Robles and Pablo Saavedra Alessandri, Secretary of the Court (hereinafter "the Secretary").</w:t>
      </w:r>
    </w:p>
    <w:p w:rsidR="00533491" w:rsidRPr="000A116D" w:rsidRDefault="00533491" w:rsidP="00533491">
      <w:pPr>
        <w:jc w:val="both"/>
        <w:rPr>
          <w:rFonts w:ascii="Verdana" w:hAnsi="Verdana"/>
          <w:sz w:val="20"/>
          <w:lang w:val="en-US"/>
        </w:rPr>
      </w:pPr>
    </w:p>
    <w:p w:rsidR="00533491" w:rsidRPr="000A116D" w:rsidRDefault="00D508DE" w:rsidP="00533491">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T</w:t>
      </w:r>
      <w:r w:rsidR="00533491" w:rsidRPr="000A116D">
        <w:rPr>
          <w:rFonts w:ascii="Verdana" w:hAnsi="Verdana"/>
          <w:sz w:val="20"/>
          <w:lang w:val="en-US"/>
        </w:rPr>
        <w:t xml:space="preserve">he answer </w:t>
      </w:r>
      <w:r w:rsidR="000A78CC" w:rsidRPr="000A116D">
        <w:rPr>
          <w:rFonts w:ascii="Verdana" w:hAnsi="Verdana"/>
          <w:sz w:val="20"/>
          <w:lang w:val="en-US"/>
        </w:rPr>
        <w:t>to</w:t>
      </w:r>
      <w:r w:rsidR="00533491" w:rsidRPr="000A116D">
        <w:rPr>
          <w:rFonts w:ascii="Verdana" w:hAnsi="Verdana"/>
          <w:sz w:val="20"/>
          <w:lang w:val="en-US"/>
        </w:rPr>
        <w:t xml:space="preserve"> the report </w:t>
      </w:r>
      <w:r w:rsidR="000A78CC" w:rsidRPr="000A116D">
        <w:rPr>
          <w:rFonts w:ascii="Verdana" w:hAnsi="Verdana"/>
          <w:sz w:val="20"/>
          <w:lang w:val="en-US"/>
        </w:rPr>
        <w:t xml:space="preserve">on the merits filed </w:t>
      </w:r>
      <w:r w:rsidR="00533491" w:rsidRPr="000A116D">
        <w:rPr>
          <w:rFonts w:ascii="Verdana" w:hAnsi="Verdana"/>
          <w:sz w:val="20"/>
          <w:lang w:val="en-US"/>
        </w:rPr>
        <w:t xml:space="preserve">by the Commission and </w:t>
      </w:r>
      <w:r w:rsidR="000A78CC" w:rsidRPr="000A116D">
        <w:rPr>
          <w:rFonts w:ascii="Verdana" w:hAnsi="Verdana"/>
          <w:sz w:val="20"/>
          <w:lang w:val="en-US"/>
        </w:rPr>
        <w:t xml:space="preserve">to the brief containing </w:t>
      </w:r>
      <w:r w:rsidR="00533491" w:rsidRPr="000A116D">
        <w:rPr>
          <w:rFonts w:ascii="Verdana" w:hAnsi="Verdana"/>
          <w:sz w:val="20"/>
          <w:lang w:val="en-US"/>
        </w:rPr>
        <w:t xml:space="preserve">pleadings, </w:t>
      </w:r>
      <w:r w:rsidR="000A78CC" w:rsidRPr="000A116D">
        <w:rPr>
          <w:rFonts w:ascii="Verdana" w:hAnsi="Verdana"/>
          <w:sz w:val="20"/>
          <w:lang w:val="en-US"/>
        </w:rPr>
        <w:t>motions,</w:t>
      </w:r>
      <w:r w:rsidR="00533491" w:rsidRPr="000A116D">
        <w:rPr>
          <w:rFonts w:ascii="Verdana" w:hAnsi="Verdana"/>
          <w:sz w:val="20"/>
          <w:lang w:val="en-US"/>
        </w:rPr>
        <w:t xml:space="preserve"> and evidence </w:t>
      </w:r>
      <w:r w:rsidR="000A78CC" w:rsidRPr="000A116D">
        <w:rPr>
          <w:rFonts w:ascii="Verdana" w:hAnsi="Verdana"/>
          <w:sz w:val="20"/>
          <w:lang w:val="en-US"/>
        </w:rPr>
        <w:t>filed</w:t>
      </w:r>
      <w:r w:rsidR="00533491" w:rsidRPr="000A116D">
        <w:rPr>
          <w:rFonts w:ascii="Verdana" w:hAnsi="Verdana"/>
          <w:sz w:val="20"/>
          <w:lang w:val="en-US"/>
        </w:rPr>
        <w:t xml:space="preserve"> by the representatives of the alleged victims</w:t>
      </w:r>
      <w:r w:rsidRPr="000A116D">
        <w:rPr>
          <w:rFonts w:ascii="Verdana" w:hAnsi="Verdana"/>
          <w:sz w:val="20"/>
          <w:lang w:val="en-US"/>
        </w:rPr>
        <w:t xml:space="preserve"> must be processed in a regular manner</w:t>
      </w:r>
      <w:r w:rsidR="00533491" w:rsidRPr="000A116D">
        <w:rPr>
          <w:rFonts w:ascii="Verdana" w:hAnsi="Verdana"/>
          <w:sz w:val="20"/>
          <w:lang w:val="en-US"/>
        </w:rPr>
        <w:t xml:space="preserve">. However, it </w:t>
      </w:r>
      <w:r w:rsidR="00E8415B" w:rsidRPr="000A116D">
        <w:rPr>
          <w:rFonts w:ascii="Verdana" w:hAnsi="Verdana"/>
          <w:sz w:val="20"/>
          <w:lang w:val="en-US"/>
        </w:rPr>
        <w:t>is important to clarify</w:t>
      </w:r>
      <w:r w:rsidR="00533491" w:rsidRPr="000A116D">
        <w:rPr>
          <w:rFonts w:ascii="Verdana" w:hAnsi="Verdana"/>
          <w:sz w:val="20"/>
          <w:lang w:val="en-US"/>
        </w:rPr>
        <w:t xml:space="preserve"> that the </w:t>
      </w:r>
      <w:r w:rsidR="00E8415B" w:rsidRPr="000A116D">
        <w:rPr>
          <w:rFonts w:ascii="Verdana" w:hAnsi="Verdana"/>
          <w:sz w:val="20"/>
          <w:lang w:val="en-US"/>
        </w:rPr>
        <w:t>arguments</w:t>
      </w:r>
      <w:r w:rsidR="00533491" w:rsidRPr="000A116D">
        <w:rPr>
          <w:rFonts w:ascii="Verdana" w:hAnsi="Verdana"/>
          <w:sz w:val="20"/>
          <w:lang w:val="en-US"/>
        </w:rPr>
        <w:t xml:space="preserve"> relating to the alleged </w:t>
      </w:r>
      <w:r w:rsidRPr="000A116D">
        <w:rPr>
          <w:rFonts w:ascii="Verdana" w:hAnsi="Verdana"/>
          <w:sz w:val="20"/>
          <w:lang w:val="en-US"/>
        </w:rPr>
        <w:t>impartiality of two J</w:t>
      </w:r>
      <w:r w:rsidR="00533491" w:rsidRPr="000A116D">
        <w:rPr>
          <w:rFonts w:ascii="Verdana" w:hAnsi="Verdana"/>
          <w:sz w:val="20"/>
          <w:lang w:val="en-US"/>
        </w:rPr>
        <w:t xml:space="preserve">udges and the Secretary </w:t>
      </w:r>
      <w:r w:rsidRPr="000A116D">
        <w:rPr>
          <w:rFonts w:ascii="Verdana" w:hAnsi="Verdana"/>
          <w:sz w:val="20"/>
          <w:lang w:val="en-US"/>
        </w:rPr>
        <w:t>that</w:t>
      </w:r>
      <w:r w:rsidR="00533491" w:rsidRPr="000A116D">
        <w:rPr>
          <w:rFonts w:ascii="Verdana" w:hAnsi="Verdana"/>
          <w:sz w:val="20"/>
          <w:lang w:val="en-US"/>
        </w:rPr>
        <w:t xml:space="preserve"> </w:t>
      </w:r>
      <w:r w:rsidRPr="000A116D">
        <w:rPr>
          <w:rFonts w:ascii="Verdana" w:hAnsi="Verdana"/>
          <w:sz w:val="20"/>
          <w:lang w:val="en-US"/>
        </w:rPr>
        <w:t xml:space="preserve">form the basis of the recusal, </w:t>
      </w:r>
      <w:r w:rsidR="00533491" w:rsidRPr="000A116D">
        <w:rPr>
          <w:rFonts w:ascii="Verdana" w:hAnsi="Verdana"/>
          <w:sz w:val="20"/>
          <w:lang w:val="en-US"/>
        </w:rPr>
        <w:t>do not constitute a preliminary objection</w:t>
      </w:r>
      <w:r w:rsidRPr="000A116D">
        <w:rPr>
          <w:rFonts w:ascii="Verdana" w:hAnsi="Verdana"/>
          <w:sz w:val="20"/>
          <w:lang w:val="en-US"/>
        </w:rPr>
        <w:t>;</w:t>
      </w:r>
      <w:r w:rsidR="00533491" w:rsidRPr="000A116D">
        <w:rPr>
          <w:rFonts w:ascii="Verdana" w:hAnsi="Verdana"/>
          <w:sz w:val="20"/>
          <w:lang w:val="en-US"/>
        </w:rPr>
        <w:t xml:space="preserve"> on the contrary, </w:t>
      </w:r>
      <w:r w:rsidRPr="000A116D">
        <w:rPr>
          <w:rFonts w:ascii="Verdana" w:hAnsi="Verdana"/>
          <w:sz w:val="20"/>
          <w:lang w:val="en-US"/>
        </w:rPr>
        <w:t xml:space="preserve">this </w:t>
      </w:r>
      <w:r w:rsidR="00533491" w:rsidRPr="000A116D">
        <w:rPr>
          <w:rFonts w:ascii="Verdana" w:hAnsi="Verdana"/>
          <w:sz w:val="20"/>
          <w:lang w:val="en-US"/>
        </w:rPr>
        <w:t xml:space="preserve">is a threshold </w:t>
      </w:r>
      <w:r w:rsidRPr="000A116D">
        <w:rPr>
          <w:rFonts w:ascii="Verdana" w:hAnsi="Verdana"/>
          <w:sz w:val="20"/>
          <w:lang w:val="en-US"/>
        </w:rPr>
        <w:t>matter</w:t>
      </w:r>
      <w:r w:rsidR="00533491" w:rsidRPr="000A116D">
        <w:rPr>
          <w:rFonts w:ascii="Verdana" w:hAnsi="Verdana"/>
          <w:sz w:val="20"/>
          <w:lang w:val="en-US"/>
        </w:rPr>
        <w:t xml:space="preserve"> that must be resolved </w:t>
      </w:r>
      <w:r w:rsidRPr="000A116D">
        <w:rPr>
          <w:rFonts w:ascii="Verdana" w:hAnsi="Verdana"/>
          <w:sz w:val="20"/>
          <w:lang w:val="en-US"/>
        </w:rPr>
        <w:t>before continuing with</w:t>
      </w:r>
      <w:r w:rsidR="00533491" w:rsidRPr="000A116D">
        <w:rPr>
          <w:rFonts w:ascii="Verdana" w:hAnsi="Verdana"/>
          <w:sz w:val="20"/>
          <w:lang w:val="en-US"/>
        </w:rPr>
        <w:t xml:space="preserve"> the processing </w:t>
      </w:r>
      <w:r w:rsidRPr="000A116D">
        <w:rPr>
          <w:rFonts w:ascii="Verdana" w:hAnsi="Verdana"/>
          <w:sz w:val="20"/>
          <w:lang w:val="en-US"/>
        </w:rPr>
        <w:t xml:space="preserve">of </w:t>
      </w:r>
      <w:r w:rsidR="00533491" w:rsidRPr="000A116D">
        <w:rPr>
          <w:rFonts w:ascii="Verdana" w:hAnsi="Verdana"/>
          <w:sz w:val="20"/>
          <w:lang w:val="en-US"/>
        </w:rPr>
        <w:t>the case.</w:t>
      </w:r>
    </w:p>
    <w:p w:rsidR="00F75B6D" w:rsidRPr="000A116D" w:rsidRDefault="00F75B6D" w:rsidP="00B05187">
      <w:pPr>
        <w:jc w:val="both"/>
        <w:rPr>
          <w:rFonts w:ascii="Verdana" w:hAnsi="Verdana"/>
          <w:sz w:val="20"/>
          <w:lang w:val="en-US"/>
        </w:rPr>
      </w:pPr>
    </w:p>
    <w:p w:rsidR="003E1EBB" w:rsidRPr="000A116D" w:rsidRDefault="00F55D31" w:rsidP="0059437B">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Furthermore, the considerations on the Judgment rendered in the case of </w:t>
      </w:r>
      <w:r w:rsidRPr="000A116D">
        <w:rPr>
          <w:rFonts w:ascii="Verdana" w:hAnsi="Verdana"/>
          <w:i/>
          <w:sz w:val="20"/>
          <w:lang w:val="en-US"/>
        </w:rPr>
        <w:t xml:space="preserve">Uson Ramirez V. Venezuela </w:t>
      </w:r>
      <w:r w:rsidRPr="000A116D">
        <w:rPr>
          <w:rFonts w:ascii="Verdana" w:hAnsi="Verdana"/>
          <w:sz w:val="20"/>
          <w:lang w:val="en-US"/>
        </w:rPr>
        <w:t xml:space="preserve">will not be processed as given that they are formally </w:t>
      </w:r>
      <w:r w:rsidR="006C15D6" w:rsidRPr="000A116D">
        <w:rPr>
          <w:rFonts w:ascii="Verdana" w:hAnsi="Verdana"/>
          <w:sz w:val="20"/>
          <w:lang w:val="en-US"/>
        </w:rPr>
        <w:t>inadmissible,</w:t>
      </w:r>
      <w:r w:rsidRPr="000A116D">
        <w:rPr>
          <w:rFonts w:ascii="Verdana" w:hAnsi="Verdana"/>
          <w:sz w:val="20"/>
          <w:lang w:val="en-US"/>
        </w:rPr>
        <w:t xml:space="preserve"> as they do not relate to this case.</w:t>
      </w:r>
      <w:r w:rsidR="003E1EBB" w:rsidRPr="000A116D">
        <w:rPr>
          <w:rFonts w:ascii="Verdana" w:hAnsi="Verdana"/>
          <w:sz w:val="20"/>
          <w:lang w:val="en-US"/>
        </w:rPr>
        <w:t xml:space="preserve"> If the Venezuelan government wanted to </w:t>
      </w:r>
      <w:r w:rsidRPr="000A116D">
        <w:rPr>
          <w:rFonts w:ascii="Verdana" w:hAnsi="Verdana"/>
          <w:sz w:val="20"/>
          <w:lang w:val="en-US"/>
        </w:rPr>
        <w:t>make observations on that</w:t>
      </w:r>
      <w:r w:rsidR="003E1EBB" w:rsidRPr="000A116D">
        <w:rPr>
          <w:rFonts w:ascii="Verdana" w:hAnsi="Verdana"/>
          <w:sz w:val="20"/>
          <w:lang w:val="en-US"/>
        </w:rPr>
        <w:t xml:space="preserve"> </w:t>
      </w:r>
      <w:r w:rsidRPr="000A116D">
        <w:rPr>
          <w:rFonts w:ascii="Verdana" w:hAnsi="Verdana"/>
          <w:sz w:val="20"/>
          <w:lang w:val="en-US"/>
        </w:rPr>
        <w:t>J</w:t>
      </w:r>
      <w:r w:rsidR="003E1EBB" w:rsidRPr="000A116D">
        <w:rPr>
          <w:rFonts w:ascii="Verdana" w:hAnsi="Verdana"/>
          <w:sz w:val="20"/>
          <w:lang w:val="en-US"/>
        </w:rPr>
        <w:t xml:space="preserve">udgment, </w:t>
      </w:r>
      <w:r w:rsidRPr="000A116D">
        <w:rPr>
          <w:rFonts w:ascii="Verdana" w:hAnsi="Verdana"/>
          <w:sz w:val="20"/>
          <w:lang w:val="en-US"/>
        </w:rPr>
        <w:t xml:space="preserve">it </w:t>
      </w:r>
      <w:r w:rsidR="003E1EBB" w:rsidRPr="000A116D">
        <w:rPr>
          <w:rFonts w:ascii="Verdana" w:hAnsi="Verdana"/>
          <w:sz w:val="20"/>
          <w:lang w:val="en-US"/>
        </w:rPr>
        <w:t xml:space="preserve">should have submitted a request for interpretation under Article 67 of the American Convention and 59 of the Rules of </w:t>
      </w:r>
      <w:r w:rsidR="0059437B" w:rsidRPr="000A116D">
        <w:rPr>
          <w:rFonts w:ascii="Verdana" w:hAnsi="Verdana"/>
          <w:sz w:val="20"/>
          <w:lang w:val="en-US"/>
        </w:rPr>
        <w:t xml:space="preserve">Procedure of the </w:t>
      </w:r>
      <w:r w:rsidR="003E1EBB" w:rsidRPr="000A116D">
        <w:rPr>
          <w:rFonts w:ascii="Verdana" w:hAnsi="Verdana"/>
          <w:sz w:val="20"/>
          <w:lang w:val="en-US"/>
        </w:rPr>
        <w:t>Court applicable to that case.</w:t>
      </w:r>
    </w:p>
    <w:p w:rsidR="000723C7" w:rsidRPr="000A116D" w:rsidRDefault="000723C7" w:rsidP="000723C7">
      <w:pPr>
        <w:jc w:val="both"/>
        <w:rPr>
          <w:rFonts w:ascii="Verdana" w:hAnsi="Verdana"/>
          <w:sz w:val="20"/>
          <w:lang w:val="en-US"/>
        </w:rPr>
      </w:pPr>
    </w:p>
    <w:p w:rsidR="00F75B6D" w:rsidRPr="000A116D" w:rsidRDefault="000723C7" w:rsidP="000723C7">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To establish foundations for the </w:t>
      </w:r>
      <w:r w:rsidR="00496068" w:rsidRPr="000A116D">
        <w:rPr>
          <w:rFonts w:ascii="Verdana" w:hAnsi="Verdana"/>
          <w:sz w:val="20"/>
          <w:lang w:val="en-US"/>
        </w:rPr>
        <w:t>recusal</w:t>
      </w:r>
      <w:r w:rsidRPr="000A116D">
        <w:rPr>
          <w:rFonts w:ascii="Verdana" w:hAnsi="Verdana"/>
          <w:sz w:val="20"/>
          <w:lang w:val="en-US"/>
        </w:rPr>
        <w:t xml:space="preserve"> of some of the Judges of the Court, the State asked the Court to consider "the grounds in the brief answering the petition filed by [Venezuela] in the case of [...] Chocrón [Chocrón].” In relation to this request, the Court finds that the </w:t>
      </w:r>
      <w:r w:rsidR="00993029" w:rsidRPr="000A116D">
        <w:rPr>
          <w:rFonts w:ascii="Verdana" w:hAnsi="Verdana"/>
          <w:sz w:val="20"/>
          <w:lang w:val="en-US"/>
        </w:rPr>
        <w:t>brief</w:t>
      </w:r>
      <w:r w:rsidRPr="000A116D">
        <w:rPr>
          <w:rFonts w:ascii="Verdana" w:hAnsi="Verdana"/>
          <w:sz w:val="20"/>
          <w:lang w:val="en-US"/>
        </w:rPr>
        <w:t xml:space="preserve"> to </w:t>
      </w:r>
      <w:r w:rsidRPr="000A116D">
        <w:rPr>
          <w:rFonts w:ascii="Verdana" w:hAnsi="Verdana"/>
          <w:sz w:val="20"/>
          <w:lang w:val="en-US"/>
        </w:rPr>
        <w:lastRenderedPageBreak/>
        <w:t xml:space="preserve">which the State </w:t>
      </w:r>
      <w:r w:rsidR="00993029" w:rsidRPr="000A116D">
        <w:rPr>
          <w:rFonts w:ascii="Verdana" w:hAnsi="Verdana"/>
          <w:sz w:val="20"/>
          <w:lang w:val="en-US"/>
        </w:rPr>
        <w:t>makes reference</w:t>
      </w:r>
      <w:r w:rsidRPr="000A116D">
        <w:rPr>
          <w:rFonts w:ascii="Verdana" w:hAnsi="Verdana"/>
          <w:sz w:val="20"/>
          <w:lang w:val="en-US"/>
        </w:rPr>
        <w:t xml:space="preserve"> contains: a) a wrongful and unfounded global strike </w:t>
      </w:r>
      <w:r w:rsidR="00993029" w:rsidRPr="000A116D">
        <w:rPr>
          <w:rFonts w:ascii="Verdana" w:hAnsi="Verdana"/>
          <w:sz w:val="20"/>
          <w:lang w:val="en-US"/>
        </w:rPr>
        <w:t>against the</w:t>
      </w:r>
      <w:r w:rsidRPr="000A116D">
        <w:rPr>
          <w:rFonts w:ascii="Verdana" w:hAnsi="Verdana"/>
          <w:sz w:val="20"/>
          <w:lang w:val="en-US"/>
        </w:rPr>
        <w:t xml:space="preserve"> Court as such, accompanied by numerous insult</w:t>
      </w:r>
      <w:r w:rsidR="006F5615" w:rsidRPr="000A116D">
        <w:rPr>
          <w:rFonts w:ascii="Verdana" w:hAnsi="Verdana"/>
          <w:sz w:val="20"/>
          <w:lang w:val="en-US"/>
        </w:rPr>
        <w:t>ing remarks about the Court and/</w:t>
      </w:r>
      <w:r w:rsidRPr="000A116D">
        <w:rPr>
          <w:rFonts w:ascii="Verdana" w:hAnsi="Verdana"/>
          <w:sz w:val="20"/>
          <w:lang w:val="en-US"/>
        </w:rPr>
        <w:t xml:space="preserve">or some of its members, </w:t>
      </w:r>
      <w:r w:rsidR="006F5615" w:rsidRPr="000A116D">
        <w:rPr>
          <w:rFonts w:ascii="Verdana" w:hAnsi="Verdana"/>
          <w:sz w:val="20"/>
          <w:lang w:val="en-US"/>
        </w:rPr>
        <w:t>which lack</w:t>
      </w:r>
      <w:r w:rsidRPr="000A116D">
        <w:rPr>
          <w:rFonts w:ascii="Verdana" w:hAnsi="Verdana"/>
          <w:sz w:val="20"/>
          <w:lang w:val="en-US"/>
        </w:rPr>
        <w:t xml:space="preserve"> basis in fact and law, and b) </w:t>
      </w:r>
      <w:r w:rsidR="006F5615" w:rsidRPr="000A116D">
        <w:rPr>
          <w:rFonts w:ascii="Verdana" w:hAnsi="Verdana"/>
          <w:sz w:val="20"/>
          <w:lang w:val="en-US"/>
        </w:rPr>
        <w:t>considerations on</w:t>
      </w:r>
      <w:r w:rsidRPr="000A116D">
        <w:rPr>
          <w:rFonts w:ascii="Verdana" w:hAnsi="Verdana"/>
          <w:sz w:val="20"/>
          <w:lang w:val="en-US"/>
        </w:rPr>
        <w:t xml:space="preserve"> the alleged lack of impartiality of the Judges Diego Garcia-Sayan and Manuel E. Ventura Robles</w:t>
      </w:r>
      <w:r w:rsidR="006F5615" w:rsidRPr="000A116D">
        <w:rPr>
          <w:rFonts w:ascii="Verdana" w:hAnsi="Verdana"/>
          <w:sz w:val="20"/>
          <w:lang w:val="en-US"/>
        </w:rPr>
        <w:t>,</w:t>
      </w:r>
      <w:r w:rsidRPr="000A116D">
        <w:rPr>
          <w:rFonts w:ascii="Verdana" w:hAnsi="Verdana"/>
          <w:sz w:val="20"/>
          <w:lang w:val="en-US"/>
        </w:rPr>
        <w:t xml:space="preserve"> and </w:t>
      </w:r>
      <w:r w:rsidR="00496068" w:rsidRPr="000A116D">
        <w:rPr>
          <w:rFonts w:ascii="Verdana" w:hAnsi="Verdana"/>
          <w:sz w:val="20"/>
          <w:lang w:val="en-US"/>
        </w:rPr>
        <w:t xml:space="preserve">it </w:t>
      </w:r>
      <w:r w:rsidRPr="000A116D">
        <w:rPr>
          <w:rFonts w:ascii="Verdana" w:hAnsi="Verdana"/>
          <w:sz w:val="20"/>
          <w:lang w:val="en-US"/>
        </w:rPr>
        <w:t>requested that t</w:t>
      </w:r>
      <w:r w:rsidR="00496068" w:rsidRPr="000A116D">
        <w:rPr>
          <w:rFonts w:ascii="Verdana" w:hAnsi="Verdana"/>
          <w:sz w:val="20"/>
          <w:lang w:val="en-US"/>
        </w:rPr>
        <w:t>hese judges not hear</w:t>
      </w:r>
      <w:r w:rsidRPr="000A116D">
        <w:rPr>
          <w:rFonts w:ascii="Verdana" w:hAnsi="Verdana"/>
          <w:sz w:val="20"/>
          <w:lang w:val="en-US"/>
        </w:rPr>
        <w:t xml:space="preserve"> the case, </w:t>
      </w:r>
      <w:r w:rsidR="00496068" w:rsidRPr="000A116D">
        <w:rPr>
          <w:rFonts w:ascii="Verdana" w:hAnsi="Verdana"/>
          <w:sz w:val="20"/>
          <w:lang w:val="en-US"/>
        </w:rPr>
        <w:t xml:space="preserve">arguing that </w:t>
      </w:r>
      <w:r w:rsidRPr="000A116D">
        <w:rPr>
          <w:rFonts w:ascii="Verdana" w:hAnsi="Verdana"/>
          <w:sz w:val="20"/>
          <w:lang w:val="en-US"/>
        </w:rPr>
        <w:t xml:space="preserve"> </w:t>
      </w:r>
      <w:r w:rsidR="00496068" w:rsidRPr="000A116D">
        <w:rPr>
          <w:rFonts w:ascii="Verdana" w:hAnsi="Verdana"/>
          <w:sz w:val="20"/>
          <w:lang w:val="en-US"/>
        </w:rPr>
        <w:t xml:space="preserve">“the </w:t>
      </w:r>
      <w:r w:rsidRPr="000A116D">
        <w:rPr>
          <w:rFonts w:ascii="Verdana" w:hAnsi="Verdana"/>
          <w:sz w:val="20"/>
          <w:lang w:val="en-US"/>
        </w:rPr>
        <w:t>impartiality an</w:t>
      </w:r>
      <w:r w:rsidR="00496068" w:rsidRPr="000A116D">
        <w:rPr>
          <w:rFonts w:ascii="Verdana" w:hAnsi="Verdana"/>
          <w:sz w:val="20"/>
          <w:lang w:val="en-US"/>
        </w:rPr>
        <w:t>d independence in this case is seriously compromised</w:t>
      </w:r>
      <w:r w:rsidRPr="000A116D">
        <w:rPr>
          <w:rFonts w:ascii="Verdana" w:hAnsi="Verdana"/>
          <w:sz w:val="20"/>
          <w:lang w:val="en-US"/>
        </w:rPr>
        <w:t>.</w:t>
      </w:r>
      <w:r w:rsidR="00496068" w:rsidRPr="000A116D">
        <w:rPr>
          <w:rFonts w:ascii="Verdana" w:hAnsi="Verdana"/>
          <w:sz w:val="20"/>
          <w:lang w:val="en-US"/>
        </w:rPr>
        <w:t>”</w:t>
      </w:r>
    </w:p>
    <w:p w:rsidR="00E71457" w:rsidRPr="000A116D" w:rsidRDefault="00E71457" w:rsidP="00E71457">
      <w:pPr>
        <w:jc w:val="both"/>
        <w:rPr>
          <w:rFonts w:ascii="Verdana" w:hAnsi="Verdana"/>
          <w:sz w:val="20"/>
          <w:lang w:val="en-US"/>
        </w:rPr>
      </w:pPr>
    </w:p>
    <w:p w:rsidR="00E71457" w:rsidRPr="000A116D" w:rsidRDefault="00E71457" w:rsidP="00E71457">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In this regard, the Court considers it necessary to specify that it already referred to the State's arguments in the answer to the petition in the case of </w:t>
      </w:r>
      <w:r w:rsidRPr="000A116D">
        <w:rPr>
          <w:rFonts w:ascii="Verdana" w:hAnsi="Verdana"/>
          <w:i/>
          <w:sz w:val="20"/>
          <w:lang w:val="en-US"/>
        </w:rPr>
        <w:t xml:space="preserve">Chocrón Chocrón V. Venezuela </w:t>
      </w:r>
      <w:r w:rsidRPr="000A116D">
        <w:rPr>
          <w:rFonts w:ascii="Verdana" w:hAnsi="Verdana"/>
          <w:sz w:val="20"/>
          <w:lang w:val="en-US"/>
        </w:rPr>
        <w:t xml:space="preserve">by way of </w:t>
      </w:r>
      <w:r w:rsidR="00762734" w:rsidRPr="000A116D">
        <w:rPr>
          <w:rFonts w:ascii="Verdana" w:hAnsi="Verdana"/>
          <w:sz w:val="20"/>
          <w:lang w:val="en-US"/>
        </w:rPr>
        <w:t xml:space="preserve">the Order </w:t>
      </w:r>
      <w:r w:rsidRPr="000A116D">
        <w:rPr>
          <w:rFonts w:ascii="Verdana" w:hAnsi="Verdana"/>
          <w:sz w:val="20"/>
          <w:lang w:val="en-US"/>
        </w:rPr>
        <w:t xml:space="preserve">of September 3, 2010, </w:t>
      </w:r>
      <w:r w:rsidR="008D165F" w:rsidRPr="000A116D">
        <w:rPr>
          <w:rFonts w:ascii="Verdana" w:hAnsi="Verdana"/>
          <w:sz w:val="20"/>
          <w:lang w:val="en-US"/>
        </w:rPr>
        <w:t>to which it is s</w:t>
      </w:r>
      <w:r w:rsidRPr="000A116D">
        <w:rPr>
          <w:rFonts w:ascii="Verdana" w:hAnsi="Verdana"/>
          <w:sz w:val="20"/>
          <w:lang w:val="en-US"/>
        </w:rPr>
        <w:t xml:space="preserve">ufficient to refer, essentially, to </w:t>
      </w:r>
      <w:r w:rsidR="008D165F" w:rsidRPr="000A116D">
        <w:rPr>
          <w:rFonts w:ascii="Verdana" w:hAnsi="Verdana"/>
          <w:sz w:val="20"/>
          <w:lang w:val="en-US"/>
        </w:rPr>
        <w:t xml:space="preserve">the </w:t>
      </w:r>
      <w:r w:rsidRPr="000A116D">
        <w:rPr>
          <w:rFonts w:ascii="Verdana" w:hAnsi="Verdana"/>
          <w:sz w:val="20"/>
          <w:lang w:val="en-US"/>
        </w:rPr>
        <w:t xml:space="preserve">content of that </w:t>
      </w:r>
      <w:r w:rsidR="008D165F" w:rsidRPr="000A116D">
        <w:rPr>
          <w:rFonts w:ascii="Verdana" w:hAnsi="Verdana"/>
          <w:sz w:val="20"/>
          <w:lang w:val="en-US"/>
        </w:rPr>
        <w:t>Order</w:t>
      </w:r>
      <w:r w:rsidRPr="000A116D">
        <w:rPr>
          <w:rFonts w:ascii="Verdana" w:hAnsi="Verdana"/>
          <w:sz w:val="20"/>
          <w:lang w:val="en-US"/>
        </w:rPr>
        <w:t xml:space="preserve">. Notwithstanding the foregoing, the Court considers it appropriate to reiterate what is stated </w:t>
      </w:r>
      <w:r w:rsidR="008D165F" w:rsidRPr="000A116D">
        <w:rPr>
          <w:rFonts w:ascii="Verdana" w:hAnsi="Verdana"/>
          <w:sz w:val="20"/>
          <w:lang w:val="en-US"/>
        </w:rPr>
        <w:t>in that decision</w:t>
      </w:r>
      <w:r w:rsidRPr="000A116D">
        <w:rPr>
          <w:rFonts w:ascii="Verdana" w:hAnsi="Verdana"/>
          <w:sz w:val="20"/>
          <w:lang w:val="en-US"/>
        </w:rPr>
        <w:t>.</w:t>
      </w:r>
    </w:p>
    <w:p w:rsidR="00096D60" w:rsidRPr="000A116D" w:rsidRDefault="00096D60" w:rsidP="00E71457">
      <w:pPr>
        <w:jc w:val="both"/>
        <w:rPr>
          <w:rFonts w:ascii="Verdana" w:hAnsi="Verdana"/>
          <w:sz w:val="20"/>
          <w:lang w:val="en-US"/>
        </w:rPr>
      </w:pPr>
    </w:p>
    <w:p w:rsidR="008F2BFC" w:rsidRPr="000A116D" w:rsidRDefault="008F2BFC" w:rsidP="00B05187">
      <w:pPr>
        <w:jc w:val="both"/>
        <w:rPr>
          <w:rFonts w:ascii="Verdana" w:hAnsi="Verdana"/>
          <w:sz w:val="20"/>
          <w:lang w:val="en-US"/>
        </w:rPr>
      </w:pPr>
    </w:p>
    <w:p w:rsidR="00F75B6D" w:rsidRPr="000A116D" w:rsidRDefault="00352242" w:rsidP="00B05187">
      <w:pPr>
        <w:keepNext/>
        <w:numPr>
          <w:ilvl w:val="6"/>
          <w:numId w:val="1"/>
        </w:numPr>
        <w:tabs>
          <w:tab w:val="clear" w:pos="2520"/>
          <w:tab w:val="num" w:pos="1418"/>
        </w:tabs>
        <w:ind w:left="1418" w:hanging="709"/>
        <w:jc w:val="both"/>
        <w:rPr>
          <w:rFonts w:ascii="Verdana" w:hAnsi="Verdana" w:cs="Century Gothic"/>
          <w:b/>
          <w:color w:val="000000"/>
          <w:sz w:val="20"/>
          <w:lang w:val="en-US"/>
        </w:rPr>
      </w:pPr>
      <w:r w:rsidRPr="000A116D">
        <w:rPr>
          <w:rFonts w:ascii="Verdana" w:hAnsi="Verdana" w:cs="Century Gothic"/>
          <w:b/>
          <w:color w:val="000000"/>
          <w:sz w:val="20"/>
          <w:lang w:val="en-US"/>
        </w:rPr>
        <w:t xml:space="preserve">Inadmissibility of the global strike against the Court and rejection of the insulting </w:t>
      </w:r>
      <w:r w:rsidR="004F3E70" w:rsidRPr="000A116D">
        <w:rPr>
          <w:rFonts w:ascii="Verdana" w:hAnsi="Verdana" w:cs="Century Gothic"/>
          <w:b/>
          <w:color w:val="000000"/>
          <w:sz w:val="20"/>
          <w:lang w:val="en-US"/>
        </w:rPr>
        <w:t>language</w:t>
      </w:r>
    </w:p>
    <w:p w:rsidR="00F75B6D" w:rsidRPr="000A116D" w:rsidRDefault="00F75B6D" w:rsidP="00B05187">
      <w:pPr>
        <w:keepNext/>
        <w:jc w:val="both"/>
        <w:rPr>
          <w:rFonts w:ascii="Verdana" w:hAnsi="Verdana" w:cs="Century Gothic"/>
          <w:b/>
          <w:color w:val="000000"/>
          <w:sz w:val="20"/>
          <w:lang w:val="en-US"/>
        </w:rPr>
      </w:pPr>
    </w:p>
    <w:p w:rsidR="00282E62" w:rsidRPr="000A116D" w:rsidRDefault="00282E62" w:rsidP="00282E62">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First of all, the part of the brief in which the State globally attacks the Court is manifestly declared inadmissible and the insulting language </w:t>
      </w:r>
      <w:r w:rsidR="006B622D" w:rsidRPr="000A116D">
        <w:rPr>
          <w:rFonts w:ascii="Verdana" w:hAnsi="Verdana"/>
          <w:sz w:val="20"/>
          <w:lang w:val="en-US"/>
        </w:rPr>
        <w:t xml:space="preserve">that is unduly </w:t>
      </w:r>
      <w:r w:rsidRPr="000A116D">
        <w:rPr>
          <w:rFonts w:ascii="Verdana" w:hAnsi="Verdana"/>
          <w:sz w:val="20"/>
          <w:lang w:val="en-US"/>
        </w:rPr>
        <w:t>used by the State</w:t>
      </w:r>
      <w:r w:rsidR="006B622D" w:rsidRPr="000A116D">
        <w:rPr>
          <w:rFonts w:ascii="Verdana" w:hAnsi="Verdana"/>
          <w:sz w:val="20"/>
          <w:lang w:val="en-US"/>
        </w:rPr>
        <w:t xml:space="preserve"> is rejected</w:t>
      </w:r>
      <w:r w:rsidRPr="000A116D">
        <w:rPr>
          <w:rFonts w:ascii="Verdana" w:hAnsi="Verdana"/>
          <w:sz w:val="20"/>
          <w:lang w:val="en-US"/>
        </w:rPr>
        <w:t>,</w:t>
      </w:r>
      <w:r w:rsidR="006B622D" w:rsidRPr="000A116D">
        <w:rPr>
          <w:rFonts w:ascii="Verdana" w:hAnsi="Verdana"/>
          <w:sz w:val="20"/>
          <w:lang w:val="en-US"/>
        </w:rPr>
        <w:t xml:space="preserve"> and the </w:t>
      </w:r>
      <w:proofErr w:type="gramStart"/>
      <w:r w:rsidR="006B622D" w:rsidRPr="000A116D">
        <w:rPr>
          <w:rFonts w:ascii="Verdana" w:hAnsi="Verdana"/>
          <w:sz w:val="20"/>
          <w:lang w:val="en-US"/>
        </w:rPr>
        <w:t xml:space="preserve">consequences of a </w:t>
      </w:r>
      <w:r w:rsidRPr="000A116D">
        <w:rPr>
          <w:rFonts w:ascii="Verdana" w:hAnsi="Verdana"/>
          <w:sz w:val="20"/>
          <w:lang w:val="en-US"/>
        </w:rPr>
        <w:t>possible repetition of such conduct</w:t>
      </w:r>
      <w:r w:rsidR="006B622D" w:rsidRPr="000A116D">
        <w:rPr>
          <w:rFonts w:ascii="Verdana" w:hAnsi="Verdana"/>
          <w:sz w:val="20"/>
          <w:lang w:val="en-US"/>
        </w:rPr>
        <w:t xml:space="preserve"> is</w:t>
      </w:r>
      <w:proofErr w:type="gramEnd"/>
      <w:r w:rsidR="006B622D" w:rsidRPr="000A116D">
        <w:rPr>
          <w:rFonts w:ascii="Verdana" w:hAnsi="Verdana"/>
          <w:sz w:val="20"/>
          <w:lang w:val="en-US"/>
        </w:rPr>
        <w:t xml:space="preserve"> indicated</w:t>
      </w:r>
      <w:r w:rsidRPr="000A116D">
        <w:rPr>
          <w:rFonts w:ascii="Verdana" w:hAnsi="Verdana"/>
          <w:sz w:val="20"/>
          <w:lang w:val="en-US"/>
        </w:rPr>
        <w:t>.</w:t>
      </w:r>
    </w:p>
    <w:p w:rsidR="001B3AF1" w:rsidRPr="000A116D" w:rsidRDefault="001B3AF1" w:rsidP="001B3AF1">
      <w:pPr>
        <w:jc w:val="both"/>
        <w:rPr>
          <w:rFonts w:ascii="Verdana" w:hAnsi="Verdana"/>
          <w:sz w:val="20"/>
          <w:lang w:val="en-US"/>
        </w:rPr>
      </w:pPr>
    </w:p>
    <w:p w:rsidR="001B3AF1" w:rsidRPr="000A116D" w:rsidRDefault="001B3AF1" w:rsidP="001B3AF1">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This strike lacks any basis in fact and law and constitutes an unwarranted </w:t>
      </w:r>
      <w:r w:rsidR="00E11380" w:rsidRPr="000A116D">
        <w:rPr>
          <w:rFonts w:ascii="Verdana" w:hAnsi="Verdana"/>
          <w:sz w:val="20"/>
          <w:lang w:val="en-US"/>
        </w:rPr>
        <w:t>injury</w:t>
      </w:r>
      <w:r w:rsidRPr="000A116D">
        <w:rPr>
          <w:rFonts w:ascii="Verdana" w:hAnsi="Verdana"/>
          <w:sz w:val="20"/>
          <w:lang w:val="en-US"/>
        </w:rPr>
        <w:t xml:space="preserve"> to the judicial body of the Inter-American system created for the protection of human rights.</w:t>
      </w:r>
    </w:p>
    <w:p w:rsidR="004F3E70" w:rsidRPr="000A116D" w:rsidRDefault="004F3E70" w:rsidP="004F3E70">
      <w:pPr>
        <w:jc w:val="both"/>
        <w:rPr>
          <w:rFonts w:ascii="Verdana" w:hAnsi="Verdana"/>
          <w:sz w:val="20"/>
          <w:lang w:val="en-US"/>
        </w:rPr>
      </w:pPr>
    </w:p>
    <w:p w:rsidR="006C15D6" w:rsidRPr="000A116D" w:rsidRDefault="004F3E70" w:rsidP="00B05187">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The use of insulting language is manifestly inappropriate and inadmissible in any judicial proceeding, and more so before an international tribunal. In ordinary circumstances, the use of insulting language would result in the brief being returned to the sender without processing it and style would be ordered. At this juncture, the </w:t>
      </w:r>
      <w:r w:rsidR="006C15D6" w:rsidRPr="000A116D">
        <w:rPr>
          <w:rFonts w:ascii="Verdana" w:hAnsi="Verdana"/>
          <w:sz w:val="20"/>
          <w:lang w:val="en-US"/>
        </w:rPr>
        <w:t>Court understands that, so as to not affect</w:t>
      </w:r>
      <w:r w:rsidRPr="000A116D">
        <w:rPr>
          <w:rFonts w:ascii="Verdana" w:hAnsi="Verdana"/>
          <w:sz w:val="20"/>
          <w:lang w:val="en-US"/>
        </w:rPr>
        <w:t xml:space="preserve"> the legitimate interests of the parties, </w:t>
      </w:r>
      <w:r w:rsidR="006C15D6" w:rsidRPr="000A116D">
        <w:rPr>
          <w:rFonts w:ascii="Verdana" w:hAnsi="Verdana"/>
          <w:sz w:val="20"/>
          <w:lang w:val="en-US"/>
        </w:rPr>
        <w:t>it must</w:t>
      </w:r>
      <w:r w:rsidRPr="000A116D">
        <w:rPr>
          <w:rFonts w:ascii="Verdana" w:hAnsi="Verdana"/>
          <w:sz w:val="20"/>
          <w:lang w:val="en-US"/>
        </w:rPr>
        <w:t xml:space="preserve"> continue </w:t>
      </w:r>
      <w:r w:rsidR="006C15D6" w:rsidRPr="000A116D">
        <w:rPr>
          <w:rFonts w:ascii="Verdana" w:hAnsi="Verdana"/>
          <w:sz w:val="20"/>
          <w:lang w:val="en-US"/>
        </w:rPr>
        <w:t>with the substantiation</w:t>
      </w:r>
      <w:r w:rsidRPr="000A116D">
        <w:rPr>
          <w:rFonts w:ascii="Verdana" w:hAnsi="Verdana"/>
          <w:sz w:val="20"/>
          <w:lang w:val="en-US"/>
        </w:rPr>
        <w:t xml:space="preserve"> of proceedings in the terms indicated in the following paragraphs.</w:t>
      </w:r>
    </w:p>
    <w:p w:rsidR="006C15D6" w:rsidRPr="000A116D" w:rsidRDefault="006C15D6" w:rsidP="006C15D6">
      <w:pPr>
        <w:jc w:val="both"/>
        <w:rPr>
          <w:rFonts w:ascii="Verdana" w:hAnsi="Verdana"/>
          <w:sz w:val="20"/>
          <w:lang w:val="en-US"/>
        </w:rPr>
      </w:pPr>
    </w:p>
    <w:p w:rsidR="00F75B6D" w:rsidRPr="000A116D" w:rsidRDefault="00F75B6D" w:rsidP="006C15D6">
      <w:pPr>
        <w:jc w:val="both"/>
        <w:rPr>
          <w:rFonts w:ascii="Verdana" w:hAnsi="Verdana"/>
          <w:sz w:val="20"/>
          <w:lang w:val="en-US"/>
        </w:rPr>
      </w:pPr>
    </w:p>
    <w:p w:rsidR="00F75B6D" w:rsidRPr="000A116D" w:rsidRDefault="00F75B6D" w:rsidP="006C15D6">
      <w:pPr>
        <w:keepNext/>
        <w:ind w:left="1418" w:hanging="709"/>
        <w:jc w:val="both"/>
        <w:rPr>
          <w:rFonts w:ascii="Verdana" w:hAnsi="Verdana" w:cs="Century Gothic"/>
          <w:b/>
          <w:color w:val="000000"/>
          <w:sz w:val="20"/>
          <w:lang w:val="en-US"/>
        </w:rPr>
      </w:pPr>
      <w:r w:rsidRPr="000A116D">
        <w:rPr>
          <w:rFonts w:ascii="Verdana" w:hAnsi="Verdana" w:cs="Century Gothic"/>
          <w:b/>
          <w:color w:val="000000"/>
          <w:sz w:val="20"/>
          <w:lang w:val="en-US"/>
        </w:rPr>
        <w:t xml:space="preserve">2. </w:t>
      </w:r>
      <w:r w:rsidRPr="000A116D">
        <w:rPr>
          <w:rFonts w:ascii="Verdana" w:hAnsi="Verdana" w:cs="Century Gothic"/>
          <w:b/>
          <w:color w:val="000000"/>
          <w:sz w:val="20"/>
          <w:lang w:val="en-US"/>
        </w:rPr>
        <w:tab/>
      </w:r>
      <w:r w:rsidR="0074256E" w:rsidRPr="000A116D">
        <w:rPr>
          <w:rFonts w:ascii="Verdana" w:hAnsi="Verdana" w:cs="Century Gothic"/>
          <w:b/>
          <w:color w:val="000000"/>
          <w:sz w:val="20"/>
          <w:lang w:val="en-US"/>
        </w:rPr>
        <w:t>Need for a</w:t>
      </w:r>
      <w:r w:rsidR="006C15D6" w:rsidRPr="000A116D">
        <w:rPr>
          <w:rFonts w:ascii="Verdana" w:hAnsi="Verdana" w:cs="Century Gothic"/>
          <w:b/>
          <w:color w:val="000000"/>
          <w:sz w:val="20"/>
          <w:lang w:val="en-US"/>
        </w:rPr>
        <w:t xml:space="preserve"> preliminary decision on the allegations </w:t>
      </w:r>
      <w:r w:rsidR="0074256E" w:rsidRPr="000A116D">
        <w:rPr>
          <w:rFonts w:ascii="Verdana" w:hAnsi="Verdana" w:cs="Century Gothic"/>
          <w:b/>
          <w:color w:val="000000"/>
          <w:sz w:val="20"/>
          <w:lang w:val="en-US"/>
        </w:rPr>
        <w:t>of</w:t>
      </w:r>
      <w:r w:rsidR="006C15D6" w:rsidRPr="000A116D">
        <w:rPr>
          <w:rFonts w:ascii="Verdana" w:hAnsi="Verdana" w:cs="Century Gothic"/>
          <w:b/>
          <w:color w:val="000000"/>
          <w:sz w:val="20"/>
          <w:lang w:val="en-US"/>
        </w:rPr>
        <w:t xml:space="preserve"> alleged lack of impartiality of some of the Judges</w:t>
      </w:r>
    </w:p>
    <w:p w:rsidR="00A31B02" w:rsidRPr="000A116D" w:rsidRDefault="00A31B02" w:rsidP="00A31B02">
      <w:pPr>
        <w:jc w:val="both"/>
        <w:rPr>
          <w:rFonts w:ascii="Verdana" w:hAnsi="Verdana"/>
          <w:sz w:val="20"/>
          <w:lang w:val="en-US"/>
        </w:rPr>
      </w:pPr>
    </w:p>
    <w:p w:rsidR="00A31B02" w:rsidRPr="000A116D" w:rsidRDefault="00A31B02" w:rsidP="00A31B02">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The State </w:t>
      </w:r>
      <w:r w:rsidR="00DC2A0D" w:rsidRPr="000A116D">
        <w:rPr>
          <w:rFonts w:ascii="Verdana" w:hAnsi="Verdana"/>
          <w:sz w:val="20"/>
          <w:lang w:val="en-US"/>
        </w:rPr>
        <w:t>recused</w:t>
      </w:r>
      <w:r w:rsidRPr="000A116D">
        <w:rPr>
          <w:rFonts w:ascii="Verdana" w:hAnsi="Verdana"/>
          <w:sz w:val="20"/>
          <w:lang w:val="en-US"/>
        </w:rPr>
        <w:t xml:space="preserve"> some of the </w:t>
      </w:r>
      <w:r w:rsidR="00DC2A0D" w:rsidRPr="000A116D">
        <w:rPr>
          <w:rFonts w:ascii="Verdana" w:hAnsi="Verdana"/>
          <w:sz w:val="20"/>
          <w:lang w:val="en-US"/>
        </w:rPr>
        <w:t>Judges</w:t>
      </w:r>
      <w:r w:rsidRPr="000A116D">
        <w:rPr>
          <w:rFonts w:ascii="Verdana" w:hAnsi="Verdana"/>
          <w:sz w:val="20"/>
          <w:lang w:val="en-US"/>
        </w:rPr>
        <w:t xml:space="preserve"> of the Court for </w:t>
      </w:r>
      <w:r w:rsidR="00DC2A0D" w:rsidRPr="000A116D">
        <w:rPr>
          <w:rFonts w:ascii="Verdana" w:hAnsi="Verdana"/>
          <w:sz w:val="20"/>
          <w:lang w:val="en-US"/>
        </w:rPr>
        <w:t>their</w:t>
      </w:r>
      <w:r w:rsidRPr="000A116D">
        <w:rPr>
          <w:rFonts w:ascii="Verdana" w:hAnsi="Verdana"/>
          <w:sz w:val="20"/>
          <w:lang w:val="en-US"/>
        </w:rPr>
        <w:t xml:space="preserve"> alleged </w:t>
      </w:r>
      <w:r w:rsidR="00DC2A0D" w:rsidRPr="000A116D">
        <w:rPr>
          <w:rFonts w:ascii="Verdana" w:hAnsi="Verdana"/>
          <w:sz w:val="20"/>
          <w:lang w:val="en-US"/>
        </w:rPr>
        <w:t>lack of impartiality,</w:t>
      </w:r>
      <w:r w:rsidRPr="000A116D">
        <w:rPr>
          <w:rFonts w:ascii="Verdana" w:hAnsi="Verdana"/>
          <w:sz w:val="20"/>
          <w:lang w:val="en-US"/>
        </w:rPr>
        <w:t xml:space="preserve"> using the preliminary objection</w:t>
      </w:r>
      <w:r w:rsidR="00DC2A0D" w:rsidRPr="000A116D">
        <w:rPr>
          <w:rFonts w:ascii="Verdana" w:hAnsi="Verdana"/>
          <w:sz w:val="20"/>
          <w:lang w:val="en-US"/>
        </w:rPr>
        <w:t xml:space="preserve"> mechanism</w:t>
      </w:r>
      <w:r w:rsidRPr="000A116D">
        <w:rPr>
          <w:rFonts w:ascii="Verdana" w:hAnsi="Verdana"/>
          <w:sz w:val="20"/>
          <w:lang w:val="en-US"/>
        </w:rPr>
        <w:t xml:space="preserve">, even though the issue </w:t>
      </w:r>
      <w:r w:rsidR="00DC2A0D" w:rsidRPr="000A116D">
        <w:rPr>
          <w:rFonts w:ascii="Verdana" w:hAnsi="Verdana"/>
          <w:sz w:val="20"/>
          <w:lang w:val="en-US"/>
        </w:rPr>
        <w:t xml:space="preserve">as it was </w:t>
      </w:r>
      <w:r w:rsidRPr="000A116D">
        <w:rPr>
          <w:rFonts w:ascii="Verdana" w:hAnsi="Verdana"/>
          <w:sz w:val="20"/>
          <w:lang w:val="en-US"/>
        </w:rPr>
        <w:t xml:space="preserve">raised </w:t>
      </w:r>
      <w:r w:rsidR="00DC2A0D" w:rsidRPr="000A116D">
        <w:rPr>
          <w:rFonts w:ascii="Verdana" w:hAnsi="Verdana"/>
          <w:sz w:val="20"/>
          <w:lang w:val="en-US"/>
        </w:rPr>
        <w:t>does not have</w:t>
      </w:r>
      <w:r w:rsidRPr="000A116D">
        <w:rPr>
          <w:rFonts w:ascii="Verdana" w:hAnsi="Verdana"/>
          <w:sz w:val="20"/>
          <w:lang w:val="en-US"/>
        </w:rPr>
        <w:t xml:space="preserve"> such </w:t>
      </w:r>
      <w:r w:rsidR="00DC2A0D" w:rsidRPr="000A116D">
        <w:rPr>
          <w:rFonts w:ascii="Verdana" w:hAnsi="Verdana"/>
          <w:sz w:val="20"/>
          <w:lang w:val="en-US"/>
        </w:rPr>
        <w:t>a nature</w:t>
      </w:r>
      <w:r w:rsidRPr="000A116D">
        <w:rPr>
          <w:rFonts w:ascii="Verdana" w:hAnsi="Verdana"/>
          <w:sz w:val="20"/>
          <w:lang w:val="en-US"/>
        </w:rPr>
        <w:t xml:space="preserve">. The Court has stated that preliminary objections are those that seek to prevent the </w:t>
      </w:r>
      <w:r w:rsidR="0085687E" w:rsidRPr="000A116D">
        <w:rPr>
          <w:rFonts w:ascii="Verdana" w:hAnsi="Verdana"/>
          <w:sz w:val="20"/>
          <w:lang w:val="en-US"/>
        </w:rPr>
        <w:t>assessment</w:t>
      </w:r>
      <w:r w:rsidRPr="000A116D">
        <w:rPr>
          <w:rFonts w:ascii="Verdana" w:hAnsi="Verdana"/>
          <w:sz w:val="20"/>
          <w:lang w:val="en-US"/>
        </w:rPr>
        <w:t xml:space="preserve"> of the merits of </w:t>
      </w:r>
      <w:r w:rsidR="0085687E" w:rsidRPr="000A116D">
        <w:rPr>
          <w:rFonts w:ascii="Verdana" w:hAnsi="Verdana"/>
          <w:sz w:val="20"/>
          <w:lang w:val="en-US"/>
        </w:rPr>
        <w:t>a matter in question,</w:t>
      </w:r>
      <w:r w:rsidRPr="000A116D">
        <w:rPr>
          <w:rFonts w:ascii="Verdana" w:hAnsi="Verdana"/>
          <w:sz w:val="20"/>
          <w:lang w:val="en-US"/>
        </w:rPr>
        <w:t xml:space="preserve"> by</w:t>
      </w:r>
      <w:r w:rsidR="0085687E" w:rsidRPr="000A116D">
        <w:rPr>
          <w:rFonts w:ascii="Verdana" w:hAnsi="Verdana"/>
          <w:sz w:val="20"/>
          <w:lang w:val="en-US"/>
        </w:rPr>
        <w:t xml:space="preserve"> way of</w:t>
      </w:r>
      <w:r w:rsidRPr="000A116D">
        <w:rPr>
          <w:rFonts w:ascii="Verdana" w:hAnsi="Verdana"/>
          <w:sz w:val="20"/>
          <w:lang w:val="en-US"/>
        </w:rPr>
        <w:t xml:space="preserve"> the objection </w:t>
      </w:r>
      <w:r w:rsidR="0085687E" w:rsidRPr="000A116D">
        <w:rPr>
          <w:rFonts w:ascii="Verdana" w:hAnsi="Verdana"/>
          <w:sz w:val="20"/>
          <w:lang w:val="en-US"/>
        </w:rPr>
        <w:t xml:space="preserve">of the admissibility of the petition </w:t>
      </w:r>
      <w:r w:rsidRPr="000A116D">
        <w:rPr>
          <w:rFonts w:ascii="Verdana" w:hAnsi="Verdana"/>
          <w:sz w:val="20"/>
          <w:lang w:val="en-US"/>
        </w:rPr>
        <w:t xml:space="preserve">or the Tribunal's jurisdiction to hear a particular case or any of its aspects, </w:t>
      </w:r>
      <w:r w:rsidR="00F9596F" w:rsidRPr="000A116D">
        <w:rPr>
          <w:rFonts w:ascii="Verdana" w:hAnsi="Verdana"/>
          <w:sz w:val="20"/>
          <w:lang w:val="en-US"/>
        </w:rPr>
        <w:t>be it either</w:t>
      </w:r>
      <w:r w:rsidRPr="000A116D">
        <w:rPr>
          <w:rFonts w:ascii="Verdana" w:hAnsi="Verdana"/>
          <w:sz w:val="20"/>
          <w:lang w:val="en-US"/>
        </w:rPr>
        <w:t xml:space="preserve"> because of the person, matter, time or place, provided that such approaches can be characterized as preliminary.</w:t>
      </w:r>
      <w:r w:rsidR="00F9596F" w:rsidRPr="000A116D">
        <w:rPr>
          <w:rStyle w:val="Refdenotaalpie"/>
          <w:rFonts w:ascii="Verdana" w:hAnsi="Verdana"/>
          <w:sz w:val="20"/>
          <w:lang w:val="en-US"/>
        </w:rPr>
        <w:footnoteReference w:id="1"/>
      </w:r>
      <w:r w:rsidR="003759FD" w:rsidRPr="000A116D">
        <w:rPr>
          <w:rFonts w:ascii="Verdana" w:hAnsi="Verdana"/>
          <w:sz w:val="20"/>
          <w:lang w:val="en-US"/>
        </w:rPr>
        <w:t xml:space="preserve"> Thus</w:t>
      </w:r>
      <w:r w:rsidRPr="000A116D">
        <w:rPr>
          <w:rFonts w:ascii="Verdana" w:hAnsi="Verdana"/>
          <w:sz w:val="20"/>
          <w:lang w:val="en-US"/>
        </w:rPr>
        <w:t xml:space="preserve">, </w:t>
      </w:r>
      <w:r w:rsidR="003759FD" w:rsidRPr="000A116D">
        <w:rPr>
          <w:rFonts w:ascii="Verdana" w:hAnsi="Verdana"/>
          <w:sz w:val="20"/>
          <w:lang w:val="en-US"/>
        </w:rPr>
        <w:t>matters regarding</w:t>
      </w:r>
      <w:r w:rsidRPr="000A116D">
        <w:rPr>
          <w:rFonts w:ascii="Verdana" w:hAnsi="Verdana"/>
          <w:sz w:val="20"/>
          <w:lang w:val="en-US"/>
        </w:rPr>
        <w:t xml:space="preserve"> the </w:t>
      </w:r>
      <w:r w:rsidR="003759FD" w:rsidRPr="000A116D">
        <w:rPr>
          <w:rFonts w:ascii="Verdana" w:hAnsi="Verdana"/>
          <w:sz w:val="20"/>
          <w:lang w:val="en-US"/>
        </w:rPr>
        <w:t>capacity</w:t>
      </w:r>
      <w:r w:rsidRPr="000A116D">
        <w:rPr>
          <w:rFonts w:ascii="Verdana" w:hAnsi="Verdana"/>
          <w:sz w:val="20"/>
          <w:lang w:val="en-US"/>
        </w:rPr>
        <w:t xml:space="preserve"> of a Judge of the Court to integrate or excuse </w:t>
      </w:r>
      <w:proofErr w:type="gramStart"/>
      <w:r w:rsidR="003759FD" w:rsidRPr="000A116D">
        <w:rPr>
          <w:rFonts w:ascii="Verdana" w:hAnsi="Verdana"/>
          <w:sz w:val="20"/>
          <w:lang w:val="en-US"/>
        </w:rPr>
        <w:t>himself</w:t>
      </w:r>
      <w:proofErr w:type="gramEnd"/>
      <w:r w:rsidR="003759FD" w:rsidRPr="000A116D">
        <w:rPr>
          <w:rFonts w:ascii="Verdana" w:hAnsi="Verdana"/>
          <w:sz w:val="20"/>
          <w:lang w:val="en-US"/>
        </w:rPr>
        <w:t xml:space="preserve"> or herself from hearing a specific case</w:t>
      </w:r>
      <w:r w:rsidRPr="000A116D">
        <w:rPr>
          <w:rFonts w:ascii="Verdana" w:hAnsi="Verdana"/>
          <w:sz w:val="20"/>
          <w:lang w:val="en-US"/>
        </w:rPr>
        <w:t xml:space="preserve">, is not a matter </w:t>
      </w:r>
      <w:r w:rsidR="00F12012" w:rsidRPr="000A116D">
        <w:rPr>
          <w:rFonts w:ascii="Verdana" w:hAnsi="Verdana"/>
          <w:sz w:val="20"/>
          <w:lang w:val="en-US"/>
        </w:rPr>
        <w:t xml:space="preserve">that is preliminary in nature that </w:t>
      </w:r>
      <w:r w:rsidRPr="000A116D">
        <w:rPr>
          <w:rFonts w:ascii="Verdana" w:hAnsi="Verdana"/>
          <w:sz w:val="20"/>
          <w:lang w:val="en-US"/>
        </w:rPr>
        <w:t xml:space="preserve">may be raised </w:t>
      </w:r>
      <w:r w:rsidR="00F12012" w:rsidRPr="000A116D">
        <w:rPr>
          <w:rFonts w:ascii="Verdana" w:hAnsi="Verdana"/>
          <w:sz w:val="20"/>
          <w:lang w:val="en-US"/>
        </w:rPr>
        <w:t>in an exception. Thus</w:t>
      </w:r>
      <w:r w:rsidRPr="000A116D">
        <w:rPr>
          <w:rFonts w:ascii="Verdana" w:hAnsi="Verdana"/>
          <w:sz w:val="20"/>
          <w:lang w:val="en-US"/>
        </w:rPr>
        <w:t xml:space="preserve">, the </w:t>
      </w:r>
      <w:r w:rsidR="00F12012" w:rsidRPr="000A116D">
        <w:rPr>
          <w:rFonts w:ascii="Verdana" w:hAnsi="Verdana"/>
          <w:sz w:val="20"/>
          <w:lang w:val="en-US"/>
        </w:rPr>
        <w:t>matters</w:t>
      </w:r>
      <w:r w:rsidRPr="000A116D">
        <w:rPr>
          <w:rFonts w:ascii="Verdana" w:hAnsi="Verdana"/>
          <w:sz w:val="20"/>
          <w:lang w:val="en-US"/>
        </w:rPr>
        <w:t xml:space="preserve"> raised by the State in this regard </w:t>
      </w:r>
      <w:r w:rsidR="00F12012" w:rsidRPr="000A116D">
        <w:rPr>
          <w:rFonts w:ascii="Verdana" w:hAnsi="Verdana"/>
          <w:sz w:val="20"/>
          <w:lang w:val="en-US"/>
        </w:rPr>
        <w:t xml:space="preserve">are </w:t>
      </w:r>
      <w:r w:rsidRPr="000A116D">
        <w:rPr>
          <w:rFonts w:ascii="Verdana" w:hAnsi="Verdana"/>
          <w:sz w:val="20"/>
          <w:lang w:val="en-US"/>
        </w:rPr>
        <w:t>formally inadmissible as a preliminary objecti</w:t>
      </w:r>
      <w:r w:rsidR="00F12012" w:rsidRPr="000A116D">
        <w:rPr>
          <w:rFonts w:ascii="Verdana" w:hAnsi="Verdana"/>
          <w:sz w:val="20"/>
          <w:lang w:val="en-US"/>
        </w:rPr>
        <w:t>on</w:t>
      </w:r>
      <w:r w:rsidRPr="000A116D">
        <w:rPr>
          <w:rFonts w:ascii="Verdana" w:hAnsi="Verdana"/>
          <w:sz w:val="20"/>
          <w:lang w:val="en-US"/>
        </w:rPr>
        <w:t>.</w:t>
      </w:r>
    </w:p>
    <w:p w:rsidR="00AB4BBE" w:rsidRPr="000A116D" w:rsidRDefault="00AB4BBE" w:rsidP="00AB4BBE">
      <w:pPr>
        <w:jc w:val="both"/>
        <w:rPr>
          <w:rFonts w:ascii="Verdana" w:hAnsi="Verdana"/>
          <w:sz w:val="20"/>
          <w:lang w:val="en-US"/>
        </w:rPr>
      </w:pPr>
    </w:p>
    <w:p w:rsidR="00AB4BBE" w:rsidRPr="000A116D" w:rsidRDefault="00AB4BBE" w:rsidP="00AB4BBE">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However, it is relevant to render a decision on preliminary issues that must be resolved to continue processing the case. This is consistent with the need for immediate decisions on </w:t>
      </w:r>
      <w:r w:rsidR="00260E0F" w:rsidRPr="000A116D">
        <w:rPr>
          <w:rFonts w:ascii="Verdana" w:hAnsi="Verdana"/>
          <w:sz w:val="20"/>
          <w:lang w:val="en-US"/>
        </w:rPr>
        <w:t>allegations regarding impediments established in Article 21(</w:t>
      </w:r>
      <w:r w:rsidRPr="000A116D">
        <w:rPr>
          <w:rFonts w:ascii="Verdana" w:hAnsi="Verdana"/>
          <w:sz w:val="20"/>
          <w:lang w:val="en-US"/>
        </w:rPr>
        <w:t>2</w:t>
      </w:r>
      <w:r w:rsidR="00260E0F" w:rsidRPr="000A116D">
        <w:rPr>
          <w:rFonts w:ascii="Verdana" w:hAnsi="Verdana"/>
          <w:sz w:val="20"/>
          <w:lang w:val="en-US"/>
        </w:rPr>
        <w:t>)</w:t>
      </w:r>
      <w:r w:rsidRPr="000A116D">
        <w:rPr>
          <w:rFonts w:ascii="Verdana" w:hAnsi="Verdana"/>
          <w:sz w:val="20"/>
          <w:lang w:val="en-US"/>
        </w:rPr>
        <w:t xml:space="preserve"> of the </w:t>
      </w:r>
      <w:r w:rsidR="00260E0F" w:rsidRPr="000A116D">
        <w:rPr>
          <w:rFonts w:ascii="Verdana" w:hAnsi="Verdana"/>
          <w:sz w:val="20"/>
          <w:lang w:val="en-US"/>
        </w:rPr>
        <w:t>Rules of Procedure of the Court</w:t>
      </w:r>
      <w:r w:rsidRPr="000A116D">
        <w:rPr>
          <w:rFonts w:ascii="Verdana" w:hAnsi="Verdana"/>
          <w:sz w:val="20"/>
          <w:lang w:val="en-US"/>
        </w:rPr>
        <w:t>.</w:t>
      </w:r>
      <w:r w:rsidRPr="000A116D">
        <w:rPr>
          <w:rStyle w:val="Refdenotaalpie"/>
          <w:rFonts w:ascii="Verdana" w:hAnsi="Verdana"/>
          <w:sz w:val="20"/>
          <w:lang w:val="en-US"/>
        </w:rPr>
        <w:t xml:space="preserve"> </w:t>
      </w:r>
      <w:r w:rsidRPr="000A116D">
        <w:rPr>
          <w:rStyle w:val="Refdenotaalpie"/>
          <w:rFonts w:ascii="Verdana" w:hAnsi="Verdana"/>
          <w:sz w:val="20"/>
          <w:lang w:val="en-US"/>
        </w:rPr>
        <w:footnoteReference w:id="2"/>
      </w:r>
    </w:p>
    <w:p w:rsidR="00F75B6D" w:rsidRPr="000A116D" w:rsidRDefault="00F75B6D" w:rsidP="00AB4BBE">
      <w:pPr>
        <w:jc w:val="both"/>
        <w:rPr>
          <w:rFonts w:ascii="Verdana" w:hAnsi="Verdana"/>
          <w:sz w:val="20"/>
          <w:lang w:val="en-US"/>
        </w:rPr>
      </w:pPr>
    </w:p>
    <w:p w:rsidR="00F75B6D" w:rsidRPr="000A116D" w:rsidRDefault="00F75B6D" w:rsidP="00B05187">
      <w:pPr>
        <w:jc w:val="both"/>
        <w:rPr>
          <w:rFonts w:ascii="Verdana" w:hAnsi="Verdana"/>
          <w:sz w:val="20"/>
          <w:lang w:val="en-US"/>
        </w:rPr>
      </w:pPr>
    </w:p>
    <w:p w:rsidR="00F75B6D" w:rsidRPr="000A116D" w:rsidRDefault="00F75B6D" w:rsidP="00B05187">
      <w:pPr>
        <w:keepNext/>
        <w:ind w:left="709"/>
        <w:jc w:val="both"/>
        <w:rPr>
          <w:rFonts w:ascii="Verdana" w:hAnsi="Verdana" w:cs="Century Gothic"/>
          <w:b/>
          <w:color w:val="000000"/>
          <w:sz w:val="20"/>
          <w:lang w:val="en-US"/>
        </w:rPr>
      </w:pPr>
      <w:r w:rsidRPr="000A116D">
        <w:rPr>
          <w:rFonts w:ascii="Verdana" w:hAnsi="Verdana" w:cs="Century Gothic"/>
          <w:b/>
          <w:color w:val="000000"/>
          <w:sz w:val="20"/>
          <w:lang w:val="en-US"/>
        </w:rPr>
        <w:t xml:space="preserve">3. </w:t>
      </w:r>
      <w:r w:rsidRPr="000A116D">
        <w:rPr>
          <w:rFonts w:ascii="Verdana" w:hAnsi="Verdana" w:cs="Century Gothic"/>
          <w:b/>
          <w:color w:val="000000"/>
          <w:sz w:val="20"/>
          <w:lang w:val="en-US"/>
        </w:rPr>
        <w:tab/>
      </w:r>
      <w:r w:rsidR="00B13FCB" w:rsidRPr="000A116D">
        <w:rPr>
          <w:rFonts w:ascii="Verdana" w:hAnsi="Verdana" w:cs="Century Gothic"/>
          <w:b/>
          <w:color w:val="000000"/>
          <w:sz w:val="20"/>
          <w:lang w:val="en-US"/>
        </w:rPr>
        <w:t xml:space="preserve">The allegation on the lack of </w:t>
      </w:r>
      <w:r w:rsidR="00ED2EC1" w:rsidRPr="000A116D">
        <w:rPr>
          <w:rFonts w:ascii="Verdana" w:hAnsi="Verdana" w:cs="Century Gothic"/>
          <w:b/>
          <w:color w:val="000000"/>
          <w:sz w:val="20"/>
          <w:lang w:val="en-US"/>
        </w:rPr>
        <w:t>impartiality is</w:t>
      </w:r>
      <w:r w:rsidR="00B13FCB" w:rsidRPr="000A116D">
        <w:rPr>
          <w:rFonts w:ascii="Verdana" w:hAnsi="Verdana" w:cs="Century Gothic"/>
          <w:b/>
          <w:color w:val="000000"/>
          <w:sz w:val="20"/>
          <w:lang w:val="en-US"/>
        </w:rPr>
        <w:t xml:space="preserve"> totally unfounded</w:t>
      </w:r>
    </w:p>
    <w:p w:rsidR="00726973" w:rsidRPr="000A116D" w:rsidRDefault="00726973" w:rsidP="00726973">
      <w:pPr>
        <w:jc w:val="both"/>
        <w:rPr>
          <w:rFonts w:ascii="Verdana" w:hAnsi="Verdana"/>
          <w:sz w:val="20"/>
          <w:lang w:val="en-US"/>
        </w:rPr>
      </w:pPr>
    </w:p>
    <w:p w:rsidR="00F75B6D" w:rsidRPr="000A116D" w:rsidRDefault="00726973" w:rsidP="00726973">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For reasons that will be made explicit in the following paragraphs, the Court finds that the allegation of </w:t>
      </w:r>
      <w:r w:rsidR="00F40BAC" w:rsidRPr="000A116D">
        <w:rPr>
          <w:rFonts w:ascii="Verdana" w:hAnsi="Verdana"/>
          <w:sz w:val="20"/>
          <w:lang w:val="en-US"/>
        </w:rPr>
        <w:t xml:space="preserve">the </w:t>
      </w:r>
      <w:r w:rsidRPr="000A116D">
        <w:rPr>
          <w:rFonts w:ascii="Verdana" w:hAnsi="Verdana"/>
          <w:sz w:val="20"/>
          <w:lang w:val="en-US"/>
        </w:rPr>
        <w:t>lack of impartiali</w:t>
      </w:r>
      <w:r w:rsidR="00F40BAC" w:rsidRPr="000A116D">
        <w:rPr>
          <w:rFonts w:ascii="Verdana" w:hAnsi="Verdana"/>
          <w:sz w:val="20"/>
          <w:lang w:val="en-US"/>
        </w:rPr>
        <w:t>ty is totally unfounded and none</w:t>
      </w:r>
      <w:r w:rsidRPr="000A116D">
        <w:rPr>
          <w:rFonts w:ascii="Verdana" w:hAnsi="Verdana"/>
          <w:sz w:val="20"/>
          <w:lang w:val="en-US"/>
        </w:rPr>
        <w:t xml:space="preserve"> of the grounds for </w:t>
      </w:r>
      <w:r w:rsidR="00F40BAC" w:rsidRPr="000A116D">
        <w:rPr>
          <w:rFonts w:ascii="Verdana" w:hAnsi="Verdana"/>
          <w:sz w:val="20"/>
          <w:lang w:val="en-US"/>
        </w:rPr>
        <w:t>recusals</w:t>
      </w:r>
      <w:r w:rsidRPr="000A116D">
        <w:rPr>
          <w:rFonts w:ascii="Verdana" w:hAnsi="Verdana"/>
          <w:sz w:val="20"/>
          <w:lang w:val="en-US"/>
        </w:rPr>
        <w:t xml:space="preserve"> provided by </w:t>
      </w:r>
      <w:r w:rsidR="00F40BAC" w:rsidRPr="000A116D">
        <w:rPr>
          <w:rFonts w:ascii="Verdana" w:hAnsi="Verdana"/>
          <w:sz w:val="20"/>
          <w:lang w:val="en-US"/>
        </w:rPr>
        <w:t xml:space="preserve">the </w:t>
      </w:r>
      <w:r w:rsidRPr="000A116D">
        <w:rPr>
          <w:rFonts w:ascii="Verdana" w:hAnsi="Verdana"/>
          <w:sz w:val="20"/>
          <w:lang w:val="en-US"/>
        </w:rPr>
        <w:t>applicable law</w:t>
      </w:r>
      <w:r w:rsidR="00F40BAC" w:rsidRPr="000A116D">
        <w:rPr>
          <w:rFonts w:ascii="Verdana" w:hAnsi="Verdana"/>
          <w:sz w:val="20"/>
          <w:lang w:val="en-US"/>
        </w:rPr>
        <w:t xml:space="preserve"> have been established</w:t>
      </w:r>
      <w:r w:rsidRPr="000A116D">
        <w:rPr>
          <w:rFonts w:ascii="Verdana" w:hAnsi="Verdana"/>
          <w:sz w:val="20"/>
          <w:lang w:val="en-US"/>
        </w:rPr>
        <w:t>.</w:t>
      </w:r>
    </w:p>
    <w:p w:rsidR="00F427B7" w:rsidRPr="000A116D" w:rsidRDefault="00F427B7" w:rsidP="00F427B7">
      <w:pPr>
        <w:jc w:val="both"/>
        <w:rPr>
          <w:rFonts w:ascii="Verdana" w:hAnsi="Verdana"/>
          <w:sz w:val="20"/>
          <w:lang w:val="en-US"/>
        </w:rPr>
      </w:pPr>
    </w:p>
    <w:p w:rsidR="00F75B6D" w:rsidRPr="000A116D" w:rsidRDefault="00432872" w:rsidP="00432872">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The grounds for recusal are set forth in Article 19(1) of the Statute of the Inter-American Court, according to which </w:t>
      </w:r>
      <w:r w:rsidR="00F427B7" w:rsidRPr="000A116D">
        <w:rPr>
          <w:rFonts w:ascii="Verdana" w:hAnsi="Verdana"/>
          <w:sz w:val="20"/>
          <w:lang w:val="en-US"/>
        </w:rPr>
        <w:t>“</w:t>
      </w:r>
      <w:r w:rsidR="00F427B7" w:rsidRPr="000A116D">
        <w:rPr>
          <w:rFonts w:ascii="Verdana" w:hAnsi="Verdana"/>
          <w:color w:val="000000"/>
          <w:sz w:val="20"/>
          <w:szCs w:val="27"/>
          <w:shd w:val="clear" w:color="auto" w:fill="FFFFFF"/>
          <w:lang w:val="en-US"/>
        </w:rPr>
        <w:t>[j]udges may not take part in matters in which, in the opinion of the Court, they or members of their family have a direct interest or in which they have previously taken part as agents, counsel or advocates, or as members of a national or international court or an investigatory committee, or in any other capacity.”</w:t>
      </w:r>
      <w:r w:rsidR="00F427B7" w:rsidRPr="000A116D">
        <w:rPr>
          <w:rFonts w:ascii="Verdana" w:hAnsi="Verdana"/>
          <w:sz w:val="20"/>
          <w:lang w:val="en-US"/>
        </w:rPr>
        <w:t xml:space="preserve"> The same A</w:t>
      </w:r>
      <w:r w:rsidRPr="000A116D">
        <w:rPr>
          <w:rFonts w:ascii="Verdana" w:hAnsi="Verdana"/>
          <w:sz w:val="20"/>
          <w:lang w:val="en-US"/>
        </w:rPr>
        <w:t>rticle</w:t>
      </w:r>
      <w:r w:rsidR="00F427B7" w:rsidRPr="000A116D">
        <w:rPr>
          <w:rFonts w:ascii="Verdana" w:hAnsi="Verdana"/>
          <w:sz w:val="20"/>
          <w:lang w:val="en-US"/>
        </w:rPr>
        <w:t xml:space="preserve"> 19 adds, in</w:t>
      </w:r>
      <w:r w:rsidRPr="000A116D">
        <w:rPr>
          <w:rFonts w:ascii="Verdana" w:hAnsi="Verdana"/>
          <w:sz w:val="20"/>
          <w:lang w:val="en-US"/>
        </w:rPr>
        <w:t xml:space="preserve"> paragraphs 2 and 3, the possibility of </w:t>
      </w:r>
      <w:r w:rsidR="00F427B7" w:rsidRPr="000A116D">
        <w:rPr>
          <w:rFonts w:ascii="Verdana" w:hAnsi="Verdana"/>
          <w:sz w:val="20"/>
          <w:lang w:val="en-US"/>
        </w:rPr>
        <w:t>disqualification</w:t>
      </w:r>
      <w:r w:rsidRPr="000A116D">
        <w:rPr>
          <w:rFonts w:ascii="Verdana" w:hAnsi="Verdana"/>
          <w:sz w:val="20"/>
          <w:lang w:val="en-US"/>
        </w:rPr>
        <w:t xml:space="preserve"> "for some [other] </w:t>
      </w:r>
      <w:r w:rsidR="00F427B7" w:rsidRPr="000A116D">
        <w:rPr>
          <w:rFonts w:ascii="Verdana" w:hAnsi="Verdana"/>
          <w:sz w:val="20"/>
          <w:lang w:val="en-US"/>
        </w:rPr>
        <w:t>appropriate</w:t>
      </w:r>
      <w:r w:rsidRPr="000A116D">
        <w:rPr>
          <w:rFonts w:ascii="Verdana" w:hAnsi="Verdana"/>
          <w:sz w:val="20"/>
          <w:lang w:val="en-US"/>
        </w:rPr>
        <w:t xml:space="preserve"> </w:t>
      </w:r>
      <w:r w:rsidR="00F427B7" w:rsidRPr="000A116D">
        <w:rPr>
          <w:rFonts w:ascii="Verdana" w:hAnsi="Verdana"/>
          <w:sz w:val="20"/>
          <w:lang w:val="en-US"/>
        </w:rPr>
        <w:t>reason.”</w:t>
      </w:r>
    </w:p>
    <w:p w:rsidR="00277A72" w:rsidRPr="000A116D" w:rsidRDefault="00277A72" w:rsidP="00277A72">
      <w:pPr>
        <w:jc w:val="both"/>
        <w:rPr>
          <w:rFonts w:ascii="Verdana" w:hAnsi="Verdana"/>
          <w:sz w:val="20"/>
          <w:lang w:val="en-US"/>
        </w:rPr>
      </w:pPr>
    </w:p>
    <w:p w:rsidR="0078537E" w:rsidRPr="000A116D" w:rsidRDefault="0078537E" w:rsidP="0078537E">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As a consequence, there are three general hypotheses to propose, analyze and </w:t>
      </w:r>
      <w:r w:rsidR="00277A72" w:rsidRPr="000A116D">
        <w:rPr>
          <w:rFonts w:ascii="Verdana" w:hAnsi="Verdana"/>
          <w:sz w:val="20"/>
          <w:lang w:val="en-US"/>
        </w:rPr>
        <w:t>re</w:t>
      </w:r>
      <w:r w:rsidRPr="000A116D">
        <w:rPr>
          <w:rFonts w:ascii="Verdana" w:hAnsi="Verdana"/>
          <w:sz w:val="20"/>
          <w:lang w:val="en-US"/>
        </w:rPr>
        <w:t>solve the exclusion of a judge from hearing a matter</w:t>
      </w:r>
      <w:r w:rsidR="00277A72" w:rsidRPr="000A116D">
        <w:rPr>
          <w:rFonts w:ascii="Verdana" w:hAnsi="Verdana"/>
          <w:sz w:val="20"/>
          <w:lang w:val="en-US"/>
        </w:rPr>
        <w:t xml:space="preserve"> that is</w:t>
      </w:r>
      <w:r w:rsidRPr="000A116D">
        <w:rPr>
          <w:rFonts w:ascii="Verdana" w:hAnsi="Verdana"/>
          <w:sz w:val="20"/>
          <w:lang w:val="en-US"/>
        </w:rPr>
        <w:t xml:space="preserve"> subject to </w:t>
      </w:r>
      <w:r w:rsidR="00277A72" w:rsidRPr="000A116D">
        <w:rPr>
          <w:rFonts w:ascii="Verdana" w:hAnsi="Verdana"/>
          <w:sz w:val="20"/>
          <w:lang w:val="en-US"/>
        </w:rPr>
        <w:t xml:space="preserve">the </w:t>
      </w:r>
      <w:r w:rsidRPr="000A116D">
        <w:rPr>
          <w:rFonts w:ascii="Verdana" w:hAnsi="Verdana"/>
          <w:sz w:val="20"/>
          <w:lang w:val="en-US"/>
        </w:rPr>
        <w:t>consideration of the Court, namely</w:t>
      </w:r>
      <w:r w:rsidR="00277A72" w:rsidRPr="000A116D">
        <w:rPr>
          <w:rFonts w:ascii="Verdana" w:hAnsi="Verdana"/>
          <w:sz w:val="20"/>
          <w:lang w:val="en-US"/>
        </w:rPr>
        <w:t>, that</w:t>
      </w:r>
      <w:r w:rsidRPr="000A116D">
        <w:rPr>
          <w:rFonts w:ascii="Verdana" w:hAnsi="Verdana"/>
          <w:sz w:val="20"/>
          <w:lang w:val="en-US"/>
        </w:rPr>
        <w:t xml:space="preserve">: a) the judge has a direct interest in the matter </w:t>
      </w:r>
      <w:r w:rsidRPr="000A116D">
        <w:rPr>
          <w:rFonts w:ascii="Verdana" w:hAnsi="Verdana"/>
          <w:i/>
          <w:sz w:val="20"/>
          <w:lang w:val="en-US"/>
        </w:rPr>
        <w:t>sub judice</w:t>
      </w:r>
      <w:r w:rsidRPr="000A116D">
        <w:rPr>
          <w:rFonts w:ascii="Verdana" w:hAnsi="Verdana"/>
          <w:sz w:val="20"/>
          <w:lang w:val="en-US"/>
        </w:rPr>
        <w:t xml:space="preserve">, b) </w:t>
      </w:r>
      <w:r w:rsidR="00277A72" w:rsidRPr="000A116D">
        <w:rPr>
          <w:rFonts w:ascii="Verdana" w:hAnsi="Verdana"/>
          <w:sz w:val="20"/>
          <w:lang w:val="en-US"/>
        </w:rPr>
        <w:t>the judge</w:t>
      </w:r>
      <w:r w:rsidRPr="000A116D">
        <w:rPr>
          <w:rFonts w:ascii="Verdana" w:hAnsi="Verdana"/>
          <w:sz w:val="20"/>
          <w:lang w:val="en-US"/>
        </w:rPr>
        <w:t xml:space="preserve"> had</w:t>
      </w:r>
      <w:r w:rsidR="00277A72" w:rsidRPr="000A116D">
        <w:rPr>
          <w:rFonts w:ascii="Verdana" w:hAnsi="Verdana"/>
          <w:sz w:val="20"/>
          <w:lang w:val="en-US"/>
        </w:rPr>
        <w:t xml:space="preserve"> intervened </w:t>
      </w:r>
      <w:r w:rsidRPr="000A116D">
        <w:rPr>
          <w:rFonts w:ascii="Verdana" w:hAnsi="Verdana"/>
          <w:sz w:val="20"/>
          <w:lang w:val="en-US"/>
        </w:rPr>
        <w:t xml:space="preserve">in </w:t>
      </w:r>
      <w:r w:rsidR="00277A72" w:rsidRPr="000A116D">
        <w:rPr>
          <w:rFonts w:ascii="Verdana" w:hAnsi="Verdana"/>
          <w:sz w:val="20"/>
          <w:lang w:val="en-US"/>
        </w:rPr>
        <w:t>the case</w:t>
      </w:r>
      <w:r w:rsidRPr="000A116D">
        <w:rPr>
          <w:rFonts w:ascii="Verdana" w:hAnsi="Verdana"/>
          <w:sz w:val="20"/>
          <w:lang w:val="en-US"/>
        </w:rPr>
        <w:t xml:space="preserve">, under various </w:t>
      </w:r>
      <w:r w:rsidR="00277A72" w:rsidRPr="000A116D">
        <w:rPr>
          <w:rFonts w:ascii="Verdana" w:hAnsi="Verdana"/>
          <w:sz w:val="20"/>
          <w:lang w:val="en-US"/>
        </w:rPr>
        <w:t>circumstances</w:t>
      </w:r>
      <w:r w:rsidRPr="000A116D">
        <w:rPr>
          <w:rFonts w:ascii="Verdana" w:hAnsi="Verdana"/>
          <w:sz w:val="20"/>
          <w:lang w:val="en-US"/>
        </w:rPr>
        <w:t xml:space="preserve">, before </w:t>
      </w:r>
      <w:r w:rsidR="00277A72" w:rsidRPr="000A116D">
        <w:rPr>
          <w:rFonts w:ascii="Verdana" w:hAnsi="Verdana"/>
          <w:sz w:val="20"/>
          <w:lang w:val="en-US"/>
        </w:rPr>
        <w:t xml:space="preserve">the case was filed </w:t>
      </w:r>
      <w:r w:rsidRPr="000A116D">
        <w:rPr>
          <w:rFonts w:ascii="Verdana" w:hAnsi="Verdana"/>
          <w:sz w:val="20"/>
          <w:lang w:val="en-US"/>
        </w:rPr>
        <w:t xml:space="preserve">before the Court, or c) the </w:t>
      </w:r>
      <w:r w:rsidR="00277A72" w:rsidRPr="000A116D">
        <w:rPr>
          <w:rFonts w:ascii="Verdana" w:hAnsi="Verdana"/>
          <w:sz w:val="20"/>
          <w:lang w:val="en-US"/>
        </w:rPr>
        <w:t>Judge or</w:t>
      </w:r>
      <w:r w:rsidRPr="000A116D">
        <w:rPr>
          <w:rFonts w:ascii="Verdana" w:hAnsi="Verdana"/>
          <w:sz w:val="20"/>
          <w:lang w:val="en-US"/>
        </w:rPr>
        <w:t xml:space="preserve"> the President o</w:t>
      </w:r>
      <w:r w:rsidR="00277A72" w:rsidRPr="000A116D">
        <w:rPr>
          <w:rFonts w:ascii="Verdana" w:hAnsi="Verdana"/>
          <w:sz w:val="20"/>
          <w:lang w:val="en-US"/>
        </w:rPr>
        <w:t xml:space="preserve">f the Court considered that given the circumstances there is </w:t>
      </w:r>
      <w:r w:rsidRPr="000A116D">
        <w:rPr>
          <w:rFonts w:ascii="Verdana" w:hAnsi="Verdana"/>
          <w:sz w:val="20"/>
          <w:lang w:val="en-US"/>
        </w:rPr>
        <w:t xml:space="preserve">"some </w:t>
      </w:r>
      <w:r w:rsidR="00277A72" w:rsidRPr="000A116D">
        <w:rPr>
          <w:rFonts w:ascii="Verdana" w:hAnsi="Verdana"/>
          <w:sz w:val="20"/>
          <w:lang w:val="en-US"/>
        </w:rPr>
        <w:t>appropriate</w:t>
      </w:r>
      <w:r w:rsidRPr="000A116D">
        <w:rPr>
          <w:rFonts w:ascii="Verdana" w:hAnsi="Verdana"/>
          <w:sz w:val="20"/>
          <w:lang w:val="en-US"/>
        </w:rPr>
        <w:t xml:space="preserve"> reason" </w:t>
      </w:r>
      <w:r w:rsidR="00277A72" w:rsidRPr="000A116D">
        <w:rPr>
          <w:rFonts w:ascii="Verdana" w:hAnsi="Verdana"/>
          <w:sz w:val="20"/>
          <w:lang w:val="en-US"/>
        </w:rPr>
        <w:t>that justifies</w:t>
      </w:r>
      <w:r w:rsidRPr="000A116D">
        <w:rPr>
          <w:rFonts w:ascii="Verdana" w:hAnsi="Verdana"/>
          <w:sz w:val="20"/>
          <w:lang w:val="en-US"/>
        </w:rPr>
        <w:t xml:space="preserve"> </w:t>
      </w:r>
      <w:r w:rsidR="00277A72" w:rsidRPr="000A116D">
        <w:rPr>
          <w:rFonts w:ascii="Verdana" w:hAnsi="Verdana"/>
          <w:sz w:val="20"/>
          <w:lang w:val="en-US"/>
        </w:rPr>
        <w:t>the disqualification</w:t>
      </w:r>
      <w:r w:rsidRPr="000A116D">
        <w:rPr>
          <w:rFonts w:ascii="Verdana" w:hAnsi="Verdana"/>
          <w:sz w:val="20"/>
          <w:lang w:val="en-US"/>
        </w:rPr>
        <w:t xml:space="preserve">, </w:t>
      </w:r>
      <w:r w:rsidR="00277A72" w:rsidRPr="000A116D">
        <w:rPr>
          <w:rFonts w:ascii="Verdana" w:hAnsi="Verdana"/>
          <w:sz w:val="20"/>
          <w:lang w:val="en-US"/>
        </w:rPr>
        <w:t>distinct from those mentioned in</w:t>
      </w:r>
      <w:r w:rsidRPr="000A116D">
        <w:rPr>
          <w:rFonts w:ascii="Verdana" w:hAnsi="Verdana"/>
          <w:sz w:val="20"/>
          <w:lang w:val="en-US"/>
        </w:rPr>
        <w:t xml:space="preserve"> paragraph 1 of Article 19 of the Statute.</w:t>
      </w:r>
    </w:p>
    <w:p w:rsidR="00401D74" w:rsidRPr="000A116D" w:rsidRDefault="00401D74" w:rsidP="00401D74">
      <w:pPr>
        <w:jc w:val="both"/>
        <w:rPr>
          <w:rFonts w:ascii="Verdana" w:hAnsi="Verdana"/>
          <w:sz w:val="20"/>
          <w:lang w:val="en-US"/>
        </w:rPr>
      </w:pPr>
    </w:p>
    <w:p w:rsidR="00401D74" w:rsidRPr="000A116D" w:rsidRDefault="00D134FA" w:rsidP="00401D74">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It h</w:t>
      </w:r>
      <w:r w:rsidR="00401D74" w:rsidRPr="000A116D">
        <w:rPr>
          <w:rFonts w:ascii="Verdana" w:hAnsi="Verdana"/>
          <w:sz w:val="20"/>
          <w:lang w:val="en-US"/>
        </w:rPr>
        <w:t xml:space="preserve">as been </w:t>
      </w:r>
      <w:r w:rsidRPr="000A116D">
        <w:rPr>
          <w:rFonts w:ascii="Verdana" w:hAnsi="Verdana"/>
          <w:sz w:val="20"/>
          <w:lang w:val="en-US"/>
        </w:rPr>
        <w:t xml:space="preserve">the </w:t>
      </w:r>
      <w:r w:rsidR="00401D74" w:rsidRPr="000A116D">
        <w:rPr>
          <w:rFonts w:ascii="Verdana" w:hAnsi="Verdana"/>
          <w:sz w:val="20"/>
          <w:lang w:val="en-US"/>
        </w:rPr>
        <w:t>Court</w:t>
      </w:r>
      <w:r w:rsidRPr="000A116D">
        <w:rPr>
          <w:rFonts w:ascii="Verdana" w:hAnsi="Verdana"/>
          <w:sz w:val="20"/>
          <w:lang w:val="en-US"/>
        </w:rPr>
        <w:t>’s practice</w:t>
      </w:r>
      <w:r w:rsidR="00401D74" w:rsidRPr="000A116D">
        <w:rPr>
          <w:rFonts w:ascii="Verdana" w:hAnsi="Verdana"/>
          <w:sz w:val="20"/>
          <w:lang w:val="en-US"/>
        </w:rPr>
        <w:t xml:space="preserve"> to </w:t>
      </w:r>
      <w:r w:rsidRPr="000A116D">
        <w:rPr>
          <w:rFonts w:ascii="Verdana" w:hAnsi="Verdana"/>
          <w:sz w:val="20"/>
          <w:lang w:val="en-US"/>
        </w:rPr>
        <w:t xml:space="preserve">duly </w:t>
      </w:r>
      <w:r w:rsidR="00401D74" w:rsidRPr="000A116D">
        <w:rPr>
          <w:rFonts w:ascii="Verdana" w:hAnsi="Verdana"/>
          <w:sz w:val="20"/>
          <w:lang w:val="en-US"/>
        </w:rPr>
        <w:t>consider the reasons given to support the exclusion of a judge from hearing a case and take into account</w:t>
      </w:r>
      <w:r w:rsidRPr="000A116D">
        <w:rPr>
          <w:rFonts w:ascii="Verdana" w:hAnsi="Verdana"/>
          <w:sz w:val="20"/>
          <w:lang w:val="en-US"/>
        </w:rPr>
        <w:t>,</w:t>
      </w:r>
      <w:r w:rsidR="00401D74" w:rsidRPr="000A116D">
        <w:rPr>
          <w:rFonts w:ascii="Verdana" w:hAnsi="Verdana"/>
          <w:sz w:val="20"/>
          <w:lang w:val="en-US"/>
        </w:rPr>
        <w:t xml:space="preserve"> as elements for the respective decision</w:t>
      </w:r>
      <w:r w:rsidR="00ED2EC1" w:rsidRPr="000A116D">
        <w:rPr>
          <w:rFonts w:ascii="Verdana" w:hAnsi="Verdana"/>
          <w:sz w:val="20"/>
          <w:lang w:val="en-US"/>
        </w:rPr>
        <w:t>, both</w:t>
      </w:r>
      <w:r w:rsidR="00401D74" w:rsidRPr="000A116D">
        <w:rPr>
          <w:rFonts w:ascii="Verdana" w:hAnsi="Verdana"/>
          <w:sz w:val="20"/>
          <w:lang w:val="en-US"/>
        </w:rPr>
        <w:t xml:space="preserve"> the </w:t>
      </w:r>
      <w:r w:rsidRPr="000A116D">
        <w:rPr>
          <w:rFonts w:ascii="Verdana" w:hAnsi="Verdana"/>
          <w:sz w:val="20"/>
          <w:lang w:val="en-US"/>
        </w:rPr>
        <w:t xml:space="preserve">relationship between the judge and the matter subject to trial, </w:t>
      </w:r>
      <w:r w:rsidR="00635E1C" w:rsidRPr="000A116D">
        <w:rPr>
          <w:rFonts w:ascii="Verdana" w:hAnsi="Verdana"/>
          <w:sz w:val="20"/>
          <w:lang w:val="en-US"/>
        </w:rPr>
        <w:t xml:space="preserve">which could </w:t>
      </w:r>
      <w:r w:rsidR="00F06247" w:rsidRPr="000A116D">
        <w:rPr>
          <w:rFonts w:ascii="Verdana" w:hAnsi="Verdana"/>
          <w:sz w:val="20"/>
          <w:lang w:val="en-US"/>
        </w:rPr>
        <w:t>encompass</w:t>
      </w:r>
      <w:r w:rsidR="00635E1C" w:rsidRPr="000A116D">
        <w:rPr>
          <w:rFonts w:ascii="Verdana" w:hAnsi="Verdana"/>
          <w:sz w:val="20"/>
          <w:lang w:val="en-US"/>
        </w:rPr>
        <w:t xml:space="preserve"> </w:t>
      </w:r>
      <w:r w:rsidR="00F06247" w:rsidRPr="000A116D">
        <w:rPr>
          <w:rFonts w:ascii="Verdana" w:hAnsi="Verdana"/>
          <w:sz w:val="20"/>
          <w:lang w:val="en-US"/>
        </w:rPr>
        <w:t>said</w:t>
      </w:r>
      <w:r w:rsidR="00635E1C" w:rsidRPr="000A116D">
        <w:rPr>
          <w:rFonts w:ascii="Verdana" w:hAnsi="Verdana"/>
          <w:sz w:val="20"/>
          <w:lang w:val="en-US"/>
        </w:rPr>
        <w:t xml:space="preserve"> criteria, </w:t>
      </w:r>
      <w:r w:rsidR="00F06247" w:rsidRPr="000A116D">
        <w:rPr>
          <w:rFonts w:ascii="Verdana" w:hAnsi="Verdana"/>
          <w:sz w:val="20"/>
          <w:lang w:val="en-US"/>
        </w:rPr>
        <w:t>as well as</w:t>
      </w:r>
      <w:r w:rsidR="00635E1C" w:rsidRPr="000A116D">
        <w:rPr>
          <w:rFonts w:ascii="Verdana" w:hAnsi="Verdana"/>
          <w:sz w:val="20"/>
          <w:lang w:val="en-US"/>
        </w:rPr>
        <w:t xml:space="preserve"> the best interest of justice.</w:t>
      </w:r>
      <w:r w:rsidR="00635E1C" w:rsidRPr="000A116D">
        <w:rPr>
          <w:rStyle w:val="Refdenotaalpie"/>
          <w:rFonts w:ascii="Verdana" w:hAnsi="Verdana"/>
          <w:sz w:val="20"/>
          <w:lang w:val="en-US"/>
        </w:rPr>
        <w:footnoteReference w:id="3"/>
      </w:r>
      <w:r w:rsidR="00635E1C" w:rsidRPr="000A116D">
        <w:rPr>
          <w:rFonts w:ascii="Verdana" w:hAnsi="Verdana"/>
          <w:sz w:val="20"/>
          <w:lang w:val="en-US"/>
        </w:rPr>
        <w:t xml:space="preserve"> </w:t>
      </w:r>
      <w:r w:rsidR="00401D74" w:rsidRPr="000A116D">
        <w:rPr>
          <w:rFonts w:ascii="Verdana" w:hAnsi="Verdana"/>
          <w:sz w:val="20"/>
          <w:lang w:val="en-US"/>
        </w:rPr>
        <w:t xml:space="preserve">If </w:t>
      </w:r>
      <w:r w:rsidR="000803D0" w:rsidRPr="000A116D">
        <w:rPr>
          <w:rFonts w:ascii="Verdana" w:hAnsi="Verdana"/>
          <w:sz w:val="20"/>
          <w:lang w:val="en-US"/>
        </w:rPr>
        <w:t>a</w:t>
      </w:r>
      <w:r w:rsidR="00401D74" w:rsidRPr="000A116D">
        <w:rPr>
          <w:rFonts w:ascii="Verdana" w:hAnsi="Verdana"/>
          <w:sz w:val="20"/>
          <w:lang w:val="en-US"/>
        </w:rPr>
        <w:t xml:space="preserve"> </w:t>
      </w:r>
      <w:r w:rsidR="000803D0" w:rsidRPr="000A116D">
        <w:rPr>
          <w:rFonts w:ascii="Verdana" w:hAnsi="Verdana"/>
          <w:sz w:val="20"/>
          <w:lang w:val="en-US"/>
        </w:rPr>
        <w:t xml:space="preserve">reason for </w:t>
      </w:r>
      <w:proofErr w:type="gramStart"/>
      <w:r w:rsidR="000803D0" w:rsidRPr="000A116D">
        <w:rPr>
          <w:rFonts w:ascii="Verdana" w:hAnsi="Verdana"/>
          <w:sz w:val="20"/>
          <w:lang w:val="en-US"/>
        </w:rPr>
        <w:t>an</w:t>
      </w:r>
      <w:r w:rsidR="00401D74" w:rsidRPr="000A116D">
        <w:rPr>
          <w:rFonts w:ascii="Verdana" w:hAnsi="Verdana"/>
          <w:sz w:val="20"/>
          <w:lang w:val="en-US"/>
        </w:rPr>
        <w:t xml:space="preserve"> exclusion</w:t>
      </w:r>
      <w:proofErr w:type="gramEnd"/>
      <w:r w:rsidR="00401D74" w:rsidRPr="000A116D">
        <w:rPr>
          <w:rFonts w:ascii="Verdana" w:hAnsi="Verdana"/>
          <w:sz w:val="20"/>
          <w:lang w:val="en-US"/>
        </w:rPr>
        <w:t xml:space="preserve"> is established, the </w:t>
      </w:r>
      <w:r w:rsidR="000803D0" w:rsidRPr="000A116D">
        <w:rPr>
          <w:rFonts w:ascii="Verdana" w:hAnsi="Verdana"/>
          <w:sz w:val="20"/>
          <w:lang w:val="en-US"/>
        </w:rPr>
        <w:t>judge</w:t>
      </w:r>
      <w:r w:rsidR="00401D74" w:rsidRPr="000A116D">
        <w:rPr>
          <w:rFonts w:ascii="Verdana" w:hAnsi="Verdana"/>
          <w:sz w:val="20"/>
          <w:lang w:val="en-US"/>
        </w:rPr>
        <w:t xml:space="preserve"> must </w:t>
      </w:r>
      <w:r w:rsidR="000803D0" w:rsidRPr="000A116D">
        <w:rPr>
          <w:rFonts w:ascii="Verdana" w:hAnsi="Verdana"/>
          <w:sz w:val="20"/>
          <w:lang w:val="en-US"/>
        </w:rPr>
        <w:t>abstain from hearing the case</w:t>
      </w:r>
      <w:r w:rsidR="00401D74" w:rsidRPr="000A116D">
        <w:rPr>
          <w:rFonts w:ascii="Verdana" w:hAnsi="Verdana"/>
          <w:sz w:val="20"/>
          <w:lang w:val="en-US"/>
        </w:rPr>
        <w:t>.</w:t>
      </w:r>
    </w:p>
    <w:p w:rsidR="00BC0523" w:rsidRPr="000A116D" w:rsidRDefault="00BC0523" w:rsidP="00BC0523">
      <w:pPr>
        <w:jc w:val="both"/>
        <w:rPr>
          <w:rFonts w:ascii="Verdana" w:hAnsi="Verdana"/>
          <w:sz w:val="20"/>
          <w:lang w:val="en-US"/>
        </w:rPr>
      </w:pPr>
    </w:p>
    <w:p w:rsidR="00BC0523" w:rsidRPr="000A116D" w:rsidRDefault="00BC0523" w:rsidP="00BC0523">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According to the State, in this case it argued that "impartiality in the exercise of office of the [recused] judges and the Secretary of the Court [...</w:t>
      </w:r>
      <w:proofErr w:type="gramStart"/>
      <w:r w:rsidRPr="000A116D">
        <w:rPr>
          <w:rFonts w:ascii="Verdana" w:hAnsi="Verdana"/>
          <w:sz w:val="20"/>
          <w:lang w:val="en-US"/>
        </w:rPr>
        <w:t>],</w:t>
      </w:r>
      <w:proofErr w:type="gramEnd"/>
      <w:r w:rsidRPr="000A116D">
        <w:rPr>
          <w:rFonts w:ascii="Verdana" w:hAnsi="Verdana"/>
          <w:sz w:val="20"/>
          <w:lang w:val="en-US"/>
        </w:rPr>
        <w:t xml:space="preserve"> is seriously compromised </w:t>
      </w:r>
      <w:r w:rsidR="00F20B24" w:rsidRPr="000A116D">
        <w:rPr>
          <w:rFonts w:ascii="Verdana" w:hAnsi="Verdana"/>
          <w:sz w:val="20"/>
          <w:lang w:val="en-US"/>
        </w:rPr>
        <w:t>given</w:t>
      </w:r>
      <w:r w:rsidRPr="000A116D">
        <w:rPr>
          <w:rFonts w:ascii="Verdana" w:hAnsi="Verdana"/>
          <w:sz w:val="20"/>
          <w:lang w:val="en-US"/>
        </w:rPr>
        <w:t xml:space="preserve"> the fact </w:t>
      </w:r>
      <w:r w:rsidR="00F20B24" w:rsidRPr="000A116D">
        <w:rPr>
          <w:rFonts w:ascii="Verdana" w:hAnsi="Verdana"/>
          <w:sz w:val="20"/>
          <w:lang w:val="en-US"/>
        </w:rPr>
        <w:t xml:space="preserve">that they </w:t>
      </w:r>
      <w:r w:rsidRPr="000A116D">
        <w:rPr>
          <w:rFonts w:ascii="Verdana" w:hAnsi="Verdana"/>
          <w:sz w:val="20"/>
          <w:lang w:val="en-US"/>
        </w:rPr>
        <w:t>parti</w:t>
      </w:r>
      <w:r w:rsidR="00F20B24" w:rsidRPr="000A116D">
        <w:rPr>
          <w:rFonts w:ascii="Verdana" w:hAnsi="Verdana"/>
          <w:sz w:val="20"/>
          <w:lang w:val="en-US"/>
        </w:rPr>
        <w:t>cipated in the judgment rendered against the</w:t>
      </w:r>
      <w:r w:rsidRPr="000A116D">
        <w:rPr>
          <w:rFonts w:ascii="Verdana" w:hAnsi="Verdana"/>
          <w:sz w:val="20"/>
          <w:lang w:val="en-US"/>
        </w:rPr>
        <w:t xml:space="preserve"> Bolivarian Republic of Venezuela in the case of General </w:t>
      </w:r>
      <w:r w:rsidR="00F20B24" w:rsidRPr="000A116D">
        <w:rPr>
          <w:rFonts w:ascii="Verdana" w:hAnsi="Verdana"/>
          <w:sz w:val="20"/>
          <w:lang w:val="en-US"/>
        </w:rPr>
        <w:t>Francisco Uson Ramirez.”</w:t>
      </w:r>
    </w:p>
    <w:p w:rsidR="00AB7753" w:rsidRPr="000A116D" w:rsidRDefault="00AB7753" w:rsidP="00AB7753">
      <w:pPr>
        <w:jc w:val="both"/>
        <w:rPr>
          <w:rFonts w:ascii="Verdana" w:hAnsi="Verdana" w:cs="Century Gothic"/>
          <w:bCs/>
          <w:color w:val="000000"/>
          <w:sz w:val="20"/>
          <w:lang w:val="en-US"/>
        </w:rPr>
      </w:pPr>
    </w:p>
    <w:p w:rsidR="00AB7753" w:rsidRPr="000A116D" w:rsidRDefault="00AB7753" w:rsidP="00AB7753">
      <w:pPr>
        <w:pStyle w:val="Prrafodelista"/>
        <w:numPr>
          <w:ilvl w:val="0"/>
          <w:numId w:val="1"/>
        </w:numPr>
        <w:tabs>
          <w:tab w:val="clear" w:pos="360"/>
        </w:tabs>
        <w:ind w:left="0" w:firstLine="0"/>
        <w:jc w:val="both"/>
        <w:rPr>
          <w:rFonts w:ascii="Verdana" w:hAnsi="Verdana" w:cs="Century Gothic"/>
          <w:bCs/>
          <w:color w:val="000000"/>
          <w:sz w:val="20"/>
          <w:lang w:val="en-US"/>
        </w:rPr>
      </w:pPr>
      <w:r w:rsidRPr="000A116D">
        <w:rPr>
          <w:rFonts w:ascii="Verdana" w:hAnsi="Verdana" w:cs="Century Gothic"/>
          <w:bCs/>
          <w:color w:val="000000"/>
          <w:sz w:val="20"/>
          <w:lang w:val="en-US"/>
        </w:rPr>
        <w:t>The Venezuelan State considered th</w:t>
      </w:r>
      <w:r w:rsidR="00DA40A6" w:rsidRPr="000A116D">
        <w:rPr>
          <w:rFonts w:ascii="Verdana" w:hAnsi="Verdana" w:cs="Century Gothic"/>
          <w:bCs/>
          <w:color w:val="000000"/>
          <w:sz w:val="20"/>
          <w:lang w:val="en-US"/>
        </w:rPr>
        <w:t xml:space="preserve">at the Judges who seek to judge </w:t>
      </w:r>
      <w:proofErr w:type="gramStart"/>
      <w:r w:rsidR="00DA40A6" w:rsidRPr="000A116D">
        <w:rPr>
          <w:rFonts w:ascii="Verdana" w:hAnsi="Verdana" w:cs="Century Gothic"/>
          <w:bCs/>
          <w:color w:val="000000"/>
          <w:sz w:val="20"/>
          <w:lang w:val="en-US"/>
        </w:rPr>
        <w:t>it</w:t>
      </w:r>
      <w:r w:rsidRPr="000A116D">
        <w:rPr>
          <w:rFonts w:ascii="Verdana" w:hAnsi="Verdana" w:cs="Century Gothic"/>
          <w:bCs/>
          <w:color w:val="000000"/>
          <w:sz w:val="20"/>
          <w:lang w:val="en-US"/>
        </w:rPr>
        <w:t>,</w:t>
      </w:r>
      <w:proofErr w:type="gramEnd"/>
      <w:r w:rsidRPr="000A116D">
        <w:rPr>
          <w:rFonts w:ascii="Verdana" w:hAnsi="Verdana" w:cs="Century Gothic"/>
          <w:bCs/>
          <w:color w:val="000000"/>
          <w:sz w:val="20"/>
          <w:lang w:val="en-US"/>
        </w:rPr>
        <w:t xml:space="preserve"> </w:t>
      </w:r>
      <w:r w:rsidR="00DA40A6" w:rsidRPr="000A116D">
        <w:rPr>
          <w:rFonts w:ascii="Verdana" w:hAnsi="Verdana" w:cs="Century Gothic"/>
          <w:bCs/>
          <w:color w:val="000000"/>
          <w:sz w:val="20"/>
          <w:lang w:val="en-US"/>
        </w:rPr>
        <w:t>“</w:t>
      </w:r>
      <w:r w:rsidRPr="000A116D">
        <w:rPr>
          <w:rFonts w:ascii="Verdana" w:hAnsi="Verdana" w:cs="Century Gothic"/>
          <w:bCs/>
          <w:color w:val="000000"/>
          <w:sz w:val="20"/>
          <w:lang w:val="en-US"/>
        </w:rPr>
        <w:t xml:space="preserve">have and </w:t>
      </w:r>
      <w:r w:rsidR="00DA40A6" w:rsidRPr="000A116D">
        <w:rPr>
          <w:rFonts w:ascii="Verdana" w:hAnsi="Verdana" w:cs="Century Gothic"/>
          <w:bCs/>
          <w:color w:val="000000"/>
          <w:sz w:val="20"/>
          <w:lang w:val="en-US"/>
        </w:rPr>
        <w:t>hold</w:t>
      </w:r>
      <w:r w:rsidRPr="000A116D">
        <w:rPr>
          <w:rFonts w:ascii="Verdana" w:hAnsi="Verdana" w:cs="Century Gothic"/>
          <w:bCs/>
          <w:color w:val="000000"/>
          <w:sz w:val="20"/>
          <w:lang w:val="en-US"/>
        </w:rPr>
        <w:t xml:space="preserve"> </w:t>
      </w:r>
      <w:r w:rsidR="00DA40A6" w:rsidRPr="000A116D">
        <w:rPr>
          <w:rFonts w:ascii="Verdana" w:hAnsi="Verdana" w:cs="Century Gothic"/>
          <w:bCs/>
          <w:color w:val="000000"/>
          <w:sz w:val="20"/>
          <w:lang w:val="en-US"/>
        </w:rPr>
        <w:t>a direct interest in this case.”</w:t>
      </w:r>
      <w:r w:rsidRPr="000A116D">
        <w:rPr>
          <w:rFonts w:ascii="Verdana" w:hAnsi="Verdana" w:cs="Century Gothic"/>
          <w:bCs/>
          <w:color w:val="000000"/>
          <w:sz w:val="20"/>
          <w:lang w:val="en-US"/>
        </w:rPr>
        <w:t xml:space="preserve"> </w:t>
      </w:r>
      <w:r w:rsidR="00DA40A6" w:rsidRPr="000A116D">
        <w:rPr>
          <w:rFonts w:ascii="Verdana" w:hAnsi="Verdana" w:cs="Century Gothic"/>
          <w:bCs/>
          <w:color w:val="000000"/>
          <w:sz w:val="20"/>
          <w:lang w:val="en-US"/>
        </w:rPr>
        <w:t>It b</w:t>
      </w:r>
      <w:r w:rsidRPr="000A116D">
        <w:rPr>
          <w:rFonts w:ascii="Verdana" w:hAnsi="Verdana" w:cs="Century Gothic"/>
          <w:bCs/>
          <w:color w:val="000000"/>
          <w:sz w:val="20"/>
          <w:lang w:val="en-US"/>
        </w:rPr>
        <w:t xml:space="preserve">ased </w:t>
      </w:r>
      <w:r w:rsidR="00DA40A6" w:rsidRPr="000A116D">
        <w:rPr>
          <w:rFonts w:ascii="Verdana" w:hAnsi="Verdana" w:cs="Century Gothic"/>
          <w:bCs/>
          <w:color w:val="000000"/>
          <w:sz w:val="20"/>
          <w:lang w:val="en-US"/>
        </w:rPr>
        <w:t>the</w:t>
      </w:r>
      <w:r w:rsidRPr="000A116D">
        <w:rPr>
          <w:rFonts w:ascii="Verdana" w:hAnsi="Verdana" w:cs="Century Gothic"/>
          <w:bCs/>
          <w:color w:val="000000"/>
          <w:sz w:val="20"/>
          <w:lang w:val="en-US"/>
        </w:rPr>
        <w:t xml:space="preserve"> recusal in this case </w:t>
      </w:r>
      <w:r w:rsidR="00DA40A6" w:rsidRPr="000A116D">
        <w:rPr>
          <w:rFonts w:ascii="Verdana" w:hAnsi="Verdana" w:cs="Century Gothic"/>
          <w:bCs/>
          <w:color w:val="000000"/>
          <w:sz w:val="20"/>
          <w:lang w:val="en-US"/>
        </w:rPr>
        <w:t>on the private deliberation</w:t>
      </w:r>
      <w:r w:rsidRPr="000A116D">
        <w:rPr>
          <w:rFonts w:ascii="Verdana" w:hAnsi="Verdana" w:cs="Century Gothic"/>
          <w:bCs/>
          <w:color w:val="000000"/>
          <w:sz w:val="20"/>
          <w:lang w:val="en-US"/>
        </w:rPr>
        <w:t xml:space="preserve"> of the Court immediately following the public hearing </w:t>
      </w:r>
      <w:r w:rsidR="00DA40A6" w:rsidRPr="000A116D">
        <w:rPr>
          <w:rFonts w:ascii="Verdana" w:hAnsi="Verdana" w:cs="Century Gothic"/>
          <w:bCs/>
          <w:color w:val="000000"/>
          <w:sz w:val="20"/>
          <w:lang w:val="en-US"/>
        </w:rPr>
        <w:t>in</w:t>
      </w:r>
      <w:r w:rsidRPr="000A116D">
        <w:rPr>
          <w:rFonts w:ascii="Verdana" w:hAnsi="Verdana" w:cs="Century Gothic"/>
          <w:bCs/>
          <w:color w:val="000000"/>
          <w:sz w:val="20"/>
          <w:lang w:val="en-US"/>
        </w:rPr>
        <w:t xml:space="preserve"> the case </w:t>
      </w:r>
      <w:r w:rsidR="00DA40A6" w:rsidRPr="000A116D">
        <w:rPr>
          <w:rFonts w:ascii="Verdana" w:hAnsi="Verdana" w:cs="Century Gothic"/>
          <w:bCs/>
          <w:color w:val="000000"/>
          <w:sz w:val="20"/>
          <w:lang w:val="en-US"/>
        </w:rPr>
        <w:t xml:space="preserve">of </w:t>
      </w:r>
      <w:r w:rsidRPr="000A116D">
        <w:rPr>
          <w:rFonts w:ascii="Verdana" w:hAnsi="Verdana" w:cs="Century Gothic"/>
          <w:bCs/>
          <w:i/>
          <w:color w:val="000000"/>
          <w:sz w:val="20"/>
          <w:lang w:val="en-US"/>
        </w:rPr>
        <w:t>Uson Ram</w:t>
      </w:r>
      <w:r w:rsidR="00DA40A6" w:rsidRPr="000A116D">
        <w:rPr>
          <w:rFonts w:ascii="Verdana" w:hAnsi="Verdana" w:cs="Century Gothic"/>
          <w:bCs/>
          <w:i/>
          <w:color w:val="000000"/>
          <w:sz w:val="20"/>
          <w:lang w:val="en-US"/>
        </w:rPr>
        <w:t>irez V</w:t>
      </w:r>
      <w:r w:rsidRPr="000A116D">
        <w:rPr>
          <w:rFonts w:ascii="Verdana" w:hAnsi="Verdana" w:cs="Century Gothic"/>
          <w:bCs/>
          <w:i/>
          <w:color w:val="000000"/>
          <w:sz w:val="20"/>
          <w:lang w:val="en-US"/>
        </w:rPr>
        <w:t>. Venezuela</w:t>
      </w:r>
      <w:r w:rsidR="000B6EBD" w:rsidRPr="000A116D">
        <w:rPr>
          <w:rFonts w:ascii="Verdana" w:hAnsi="Verdana" w:cs="Century Gothic"/>
          <w:bCs/>
          <w:color w:val="000000"/>
          <w:sz w:val="20"/>
          <w:lang w:val="en-US"/>
        </w:rPr>
        <w:t>, held on April 1, 2009</w:t>
      </w:r>
      <w:r w:rsidRPr="000A116D">
        <w:rPr>
          <w:rFonts w:ascii="Verdana" w:hAnsi="Verdana" w:cs="Century Gothic"/>
          <w:bCs/>
          <w:color w:val="000000"/>
          <w:sz w:val="20"/>
          <w:lang w:val="en-US"/>
        </w:rPr>
        <w:t xml:space="preserve">, in </w:t>
      </w:r>
      <w:r w:rsidR="000B6EBD" w:rsidRPr="000A116D">
        <w:rPr>
          <w:rFonts w:ascii="Verdana" w:hAnsi="Verdana" w:cs="Century Gothic"/>
          <w:bCs/>
          <w:color w:val="000000"/>
          <w:sz w:val="20"/>
          <w:lang w:val="en-US"/>
        </w:rPr>
        <w:t xml:space="preserve">the </w:t>
      </w:r>
      <w:r w:rsidRPr="000A116D">
        <w:rPr>
          <w:rFonts w:ascii="Verdana" w:hAnsi="Verdana" w:cs="Century Gothic"/>
          <w:bCs/>
          <w:color w:val="000000"/>
          <w:sz w:val="20"/>
          <w:lang w:val="en-US"/>
        </w:rPr>
        <w:t xml:space="preserve">XXXVIII </w:t>
      </w:r>
      <w:r w:rsidR="000B6EBD" w:rsidRPr="000A116D">
        <w:rPr>
          <w:rFonts w:ascii="Verdana" w:hAnsi="Verdana" w:cs="Century Gothic"/>
          <w:bCs/>
          <w:color w:val="000000"/>
          <w:sz w:val="20"/>
          <w:lang w:val="en-US"/>
        </w:rPr>
        <w:t xml:space="preserve">Extraordinary Period of Sessions </w:t>
      </w:r>
      <w:r w:rsidRPr="000A116D">
        <w:rPr>
          <w:rFonts w:ascii="Verdana" w:hAnsi="Verdana" w:cs="Century Gothic"/>
          <w:bCs/>
          <w:color w:val="000000"/>
          <w:sz w:val="20"/>
          <w:lang w:val="en-US"/>
        </w:rPr>
        <w:t>of the Court, in Sa</w:t>
      </w:r>
      <w:r w:rsidR="000B6EBD" w:rsidRPr="000A116D">
        <w:rPr>
          <w:rFonts w:ascii="Verdana" w:hAnsi="Verdana" w:cs="Century Gothic"/>
          <w:bCs/>
          <w:color w:val="000000"/>
          <w:sz w:val="20"/>
          <w:lang w:val="en-US"/>
        </w:rPr>
        <w:t>nto Domingo, Dominican Republic</w:t>
      </w:r>
      <w:r w:rsidRPr="000A116D">
        <w:rPr>
          <w:rFonts w:ascii="Verdana" w:hAnsi="Verdana" w:cs="Century Gothic"/>
          <w:bCs/>
          <w:color w:val="000000"/>
          <w:sz w:val="20"/>
          <w:lang w:val="en-US"/>
        </w:rPr>
        <w:t>, whose content</w:t>
      </w:r>
      <w:r w:rsidR="00352A43" w:rsidRPr="000A116D">
        <w:rPr>
          <w:rFonts w:ascii="Verdana" w:hAnsi="Verdana" w:cs="Century Gothic"/>
          <w:bCs/>
          <w:color w:val="000000"/>
          <w:sz w:val="20"/>
          <w:lang w:val="en-US"/>
        </w:rPr>
        <w:t xml:space="preserve"> was</w:t>
      </w:r>
      <w:r w:rsidRPr="000A116D">
        <w:rPr>
          <w:rFonts w:ascii="Verdana" w:hAnsi="Verdana" w:cs="Century Gothic"/>
          <w:bCs/>
          <w:color w:val="000000"/>
          <w:sz w:val="20"/>
          <w:lang w:val="en-US"/>
        </w:rPr>
        <w:t xml:space="preserve"> learned</w:t>
      </w:r>
      <w:r w:rsidR="00352A43" w:rsidRPr="000A116D">
        <w:rPr>
          <w:rFonts w:ascii="Verdana" w:hAnsi="Verdana" w:cs="Century Gothic"/>
          <w:bCs/>
          <w:color w:val="000000"/>
          <w:sz w:val="20"/>
          <w:lang w:val="en-US"/>
        </w:rPr>
        <w:t xml:space="preserve"> when, by mistake, a </w:t>
      </w:r>
      <w:r w:rsidRPr="000A116D">
        <w:rPr>
          <w:rFonts w:ascii="Verdana" w:hAnsi="Verdana" w:cs="Century Gothic"/>
          <w:bCs/>
          <w:color w:val="000000"/>
          <w:sz w:val="20"/>
          <w:lang w:val="en-US"/>
        </w:rPr>
        <w:t xml:space="preserve">CD containing not only the recording of the public hearing, but also </w:t>
      </w:r>
      <w:r w:rsidR="00352A43" w:rsidRPr="000A116D">
        <w:rPr>
          <w:rFonts w:ascii="Verdana" w:hAnsi="Verdana" w:cs="Century Gothic"/>
          <w:bCs/>
          <w:color w:val="000000"/>
          <w:sz w:val="20"/>
          <w:lang w:val="en-US"/>
        </w:rPr>
        <w:t xml:space="preserve">of </w:t>
      </w:r>
      <w:r w:rsidRPr="000A116D">
        <w:rPr>
          <w:rFonts w:ascii="Verdana" w:hAnsi="Verdana" w:cs="Century Gothic"/>
          <w:bCs/>
          <w:color w:val="000000"/>
          <w:sz w:val="20"/>
          <w:lang w:val="en-US"/>
        </w:rPr>
        <w:t>the private deliberation</w:t>
      </w:r>
      <w:r w:rsidR="00352A43" w:rsidRPr="000A116D">
        <w:rPr>
          <w:rFonts w:ascii="Verdana" w:hAnsi="Verdana" w:cs="Century Gothic"/>
          <w:bCs/>
          <w:color w:val="000000"/>
          <w:sz w:val="20"/>
          <w:lang w:val="en-US"/>
        </w:rPr>
        <w:t xml:space="preserve"> was given to the State</w:t>
      </w:r>
      <w:r w:rsidRPr="000A116D">
        <w:rPr>
          <w:rFonts w:ascii="Verdana" w:hAnsi="Verdana" w:cs="Century Gothic"/>
          <w:bCs/>
          <w:color w:val="000000"/>
          <w:sz w:val="20"/>
          <w:lang w:val="en-US"/>
        </w:rPr>
        <w:t xml:space="preserve">. </w:t>
      </w:r>
      <w:r w:rsidR="00352A43" w:rsidRPr="000A116D">
        <w:rPr>
          <w:rFonts w:ascii="Verdana" w:hAnsi="Verdana" w:cs="Century Gothic"/>
          <w:bCs/>
          <w:color w:val="000000"/>
          <w:sz w:val="20"/>
          <w:lang w:val="en-US"/>
        </w:rPr>
        <w:t>It is of the State’</w:t>
      </w:r>
      <w:r w:rsidR="00D907DD" w:rsidRPr="000A116D">
        <w:rPr>
          <w:rFonts w:ascii="Verdana" w:hAnsi="Verdana" w:cs="Century Gothic"/>
          <w:bCs/>
          <w:color w:val="000000"/>
          <w:sz w:val="20"/>
          <w:lang w:val="en-US"/>
        </w:rPr>
        <w:t>s opinion that</w:t>
      </w:r>
      <w:r w:rsidR="00352A43" w:rsidRPr="000A116D">
        <w:rPr>
          <w:rFonts w:ascii="Verdana" w:hAnsi="Verdana" w:cs="Century Gothic"/>
          <w:bCs/>
          <w:color w:val="000000"/>
          <w:sz w:val="20"/>
          <w:lang w:val="en-US"/>
        </w:rPr>
        <w:t xml:space="preserve"> </w:t>
      </w:r>
      <w:r w:rsidRPr="000A116D">
        <w:rPr>
          <w:rFonts w:ascii="Verdana" w:hAnsi="Verdana" w:cs="Century Gothic"/>
          <w:bCs/>
          <w:color w:val="000000"/>
          <w:sz w:val="20"/>
          <w:lang w:val="en-US"/>
        </w:rPr>
        <w:t xml:space="preserve">the statements made in this private deliberation by the </w:t>
      </w:r>
      <w:r w:rsidR="00D907DD" w:rsidRPr="000A116D">
        <w:rPr>
          <w:rFonts w:ascii="Verdana" w:hAnsi="Verdana" w:cs="Century Gothic"/>
          <w:bCs/>
          <w:color w:val="000000"/>
          <w:sz w:val="20"/>
          <w:lang w:val="en-US"/>
        </w:rPr>
        <w:t>abovementioned Judges</w:t>
      </w:r>
      <w:r w:rsidRPr="000A116D">
        <w:rPr>
          <w:rFonts w:ascii="Verdana" w:hAnsi="Verdana" w:cs="Century Gothic"/>
          <w:bCs/>
          <w:color w:val="000000"/>
          <w:sz w:val="20"/>
          <w:lang w:val="en-US"/>
        </w:rPr>
        <w:t xml:space="preserve">, the assessment of the evidence presented by the State </w:t>
      </w:r>
      <w:r w:rsidR="0090345A" w:rsidRPr="000A116D">
        <w:rPr>
          <w:rFonts w:ascii="Verdana" w:hAnsi="Verdana" w:cs="Century Gothic"/>
          <w:bCs/>
          <w:color w:val="000000"/>
          <w:sz w:val="20"/>
          <w:lang w:val="en-US"/>
        </w:rPr>
        <w:t xml:space="preserve">in </w:t>
      </w:r>
      <w:r w:rsidRPr="000A116D">
        <w:rPr>
          <w:rFonts w:ascii="Verdana" w:hAnsi="Verdana" w:cs="Century Gothic"/>
          <w:bCs/>
          <w:color w:val="000000"/>
          <w:sz w:val="20"/>
          <w:lang w:val="en-US"/>
        </w:rPr>
        <w:t>the public hearing</w:t>
      </w:r>
      <w:r w:rsidR="0090345A" w:rsidRPr="000A116D">
        <w:rPr>
          <w:rFonts w:ascii="Verdana" w:hAnsi="Verdana" w:cs="Century Gothic"/>
          <w:bCs/>
          <w:color w:val="000000"/>
          <w:sz w:val="20"/>
          <w:lang w:val="en-US"/>
        </w:rPr>
        <w:t>,</w:t>
      </w:r>
      <w:r w:rsidRPr="000A116D">
        <w:rPr>
          <w:rFonts w:ascii="Verdana" w:hAnsi="Verdana" w:cs="Century Gothic"/>
          <w:bCs/>
          <w:color w:val="000000"/>
          <w:sz w:val="20"/>
          <w:lang w:val="en-US"/>
        </w:rPr>
        <w:t xml:space="preserve"> and the alleged fact that the Court has ignored the political developments during the years 2002, 2003 and 2004 in Venezuela</w:t>
      </w:r>
      <w:r w:rsidR="000A2930" w:rsidRPr="000A116D">
        <w:rPr>
          <w:rFonts w:ascii="Verdana" w:hAnsi="Verdana" w:cs="Century Gothic"/>
          <w:bCs/>
          <w:color w:val="000000"/>
          <w:sz w:val="20"/>
          <w:lang w:val="en-US"/>
        </w:rPr>
        <w:t>,</w:t>
      </w:r>
      <w:r w:rsidRPr="000A116D">
        <w:rPr>
          <w:rFonts w:ascii="Verdana" w:hAnsi="Verdana" w:cs="Century Gothic"/>
          <w:bCs/>
          <w:color w:val="000000"/>
          <w:sz w:val="20"/>
          <w:lang w:val="en-US"/>
        </w:rPr>
        <w:t xml:space="preserve"> demonstrate "lack of impartiality of this international bod</w:t>
      </w:r>
      <w:r w:rsidR="000A2930" w:rsidRPr="000A116D">
        <w:rPr>
          <w:rFonts w:ascii="Verdana" w:hAnsi="Verdana" w:cs="Century Gothic"/>
          <w:bCs/>
          <w:color w:val="000000"/>
          <w:sz w:val="20"/>
          <w:lang w:val="en-US"/>
        </w:rPr>
        <w:t>y</w:t>
      </w:r>
      <w:r w:rsidRPr="000A116D">
        <w:rPr>
          <w:rFonts w:ascii="Verdana" w:hAnsi="Verdana" w:cs="Century Gothic"/>
          <w:bCs/>
          <w:color w:val="000000"/>
          <w:sz w:val="20"/>
          <w:lang w:val="en-US"/>
        </w:rPr>
        <w:t>.</w:t>
      </w:r>
      <w:r w:rsidR="000A2930" w:rsidRPr="000A116D">
        <w:rPr>
          <w:rFonts w:ascii="Verdana" w:hAnsi="Verdana" w:cs="Century Gothic"/>
          <w:bCs/>
          <w:color w:val="000000"/>
          <w:sz w:val="20"/>
          <w:lang w:val="en-US"/>
        </w:rPr>
        <w:t>”</w:t>
      </w:r>
    </w:p>
    <w:p w:rsidR="001659B8" w:rsidRPr="000A116D" w:rsidRDefault="001659B8" w:rsidP="001659B8">
      <w:pPr>
        <w:jc w:val="both"/>
        <w:rPr>
          <w:rFonts w:ascii="Verdana" w:hAnsi="Verdana"/>
          <w:sz w:val="20"/>
          <w:lang w:val="en-US"/>
        </w:rPr>
      </w:pPr>
    </w:p>
    <w:p w:rsidR="001659B8" w:rsidRPr="000A116D" w:rsidRDefault="001659B8" w:rsidP="001659B8">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The Court has carefully analyzed the facts </w:t>
      </w:r>
      <w:r w:rsidR="008F12BE" w:rsidRPr="000A116D">
        <w:rPr>
          <w:rFonts w:ascii="Verdana" w:hAnsi="Verdana"/>
          <w:sz w:val="20"/>
          <w:lang w:val="en-US"/>
        </w:rPr>
        <w:t>submitted</w:t>
      </w:r>
      <w:r w:rsidRPr="000A116D">
        <w:rPr>
          <w:rFonts w:ascii="Verdana" w:hAnsi="Verdana"/>
          <w:sz w:val="20"/>
          <w:lang w:val="en-US"/>
        </w:rPr>
        <w:t xml:space="preserve"> by the State and has concluded that </w:t>
      </w:r>
      <w:r w:rsidR="008F12BE" w:rsidRPr="000A116D">
        <w:rPr>
          <w:rFonts w:ascii="Verdana" w:hAnsi="Verdana"/>
          <w:sz w:val="20"/>
          <w:lang w:val="en-US"/>
        </w:rPr>
        <w:t xml:space="preserve">none </w:t>
      </w:r>
      <w:r w:rsidRPr="000A116D">
        <w:rPr>
          <w:rFonts w:ascii="Verdana" w:hAnsi="Verdana"/>
          <w:sz w:val="20"/>
          <w:lang w:val="en-US"/>
        </w:rPr>
        <w:t>of the grounds for disqualification under paragraph 1 of Article 19 of the Statute</w:t>
      </w:r>
      <w:r w:rsidR="008F12BE" w:rsidRPr="000A116D">
        <w:rPr>
          <w:rFonts w:ascii="Verdana" w:hAnsi="Verdana"/>
          <w:sz w:val="20"/>
          <w:lang w:val="en-US"/>
        </w:rPr>
        <w:t xml:space="preserve"> have been established</w:t>
      </w:r>
      <w:r w:rsidRPr="000A116D">
        <w:rPr>
          <w:rFonts w:ascii="Verdana" w:hAnsi="Verdana"/>
          <w:sz w:val="20"/>
          <w:lang w:val="en-US"/>
        </w:rPr>
        <w:t xml:space="preserve">, because </w:t>
      </w:r>
      <w:r w:rsidR="008F12BE" w:rsidRPr="000A116D">
        <w:rPr>
          <w:rFonts w:ascii="Verdana" w:hAnsi="Verdana"/>
          <w:sz w:val="20"/>
          <w:lang w:val="en-US"/>
        </w:rPr>
        <w:t>from the facts it is not evident that</w:t>
      </w:r>
      <w:r w:rsidRPr="000A116D">
        <w:rPr>
          <w:rFonts w:ascii="Verdana" w:hAnsi="Verdana"/>
          <w:sz w:val="20"/>
          <w:lang w:val="en-US"/>
        </w:rPr>
        <w:t xml:space="preserve"> any of the judges cited by the State (or the Secretary of the Court) has a direct interest in the matter </w:t>
      </w:r>
      <w:r w:rsidRPr="000A116D">
        <w:rPr>
          <w:rFonts w:ascii="Verdana" w:hAnsi="Verdana"/>
          <w:i/>
          <w:sz w:val="20"/>
          <w:lang w:val="en-US"/>
        </w:rPr>
        <w:t>sub judice</w:t>
      </w:r>
      <w:r w:rsidRPr="000A116D">
        <w:rPr>
          <w:rFonts w:ascii="Verdana" w:hAnsi="Verdana"/>
          <w:sz w:val="20"/>
          <w:lang w:val="en-US"/>
        </w:rPr>
        <w:t xml:space="preserve"> or </w:t>
      </w:r>
      <w:r w:rsidR="007C59EE" w:rsidRPr="000A116D">
        <w:rPr>
          <w:rFonts w:ascii="Verdana" w:hAnsi="Verdana"/>
          <w:sz w:val="20"/>
          <w:lang w:val="en-US"/>
        </w:rPr>
        <w:t>took part</w:t>
      </w:r>
      <w:r w:rsidR="008F12BE" w:rsidRPr="000A116D">
        <w:rPr>
          <w:rFonts w:ascii="Verdana" w:hAnsi="Verdana"/>
          <w:sz w:val="20"/>
          <w:lang w:val="en-US"/>
        </w:rPr>
        <w:t xml:space="preserve"> in </w:t>
      </w:r>
      <w:r w:rsidRPr="000A116D">
        <w:rPr>
          <w:rFonts w:ascii="Verdana" w:hAnsi="Verdana"/>
          <w:sz w:val="20"/>
          <w:lang w:val="en-US"/>
        </w:rPr>
        <w:t xml:space="preserve">it, under various </w:t>
      </w:r>
      <w:r w:rsidR="008F12BE" w:rsidRPr="000A116D">
        <w:rPr>
          <w:rFonts w:ascii="Verdana" w:hAnsi="Verdana"/>
          <w:sz w:val="20"/>
          <w:lang w:val="en-US"/>
        </w:rPr>
        <w:t>circumstances</w:t>
      </w:r>
      <w:r w:rsidRPr="000A116D">
        <w:rPr>
          <w:rFonts w:ascii="Verdana" w:hAnsi="Verdana"/>
          <w:sz w:val="20"/>
          <w:lang w:val="en-US"/>
        </w:rPr>
        <w:t xml:space="preserve">, before the case </w:t>
      </w:r>
      <w:r w:rsidR="008F12BE" w:rsidRPr="000A116D">
        <w:rPr>
          <w:rFonts w:ascii="Verdana" w:hAnsi="Verdana"/>
          <w:sz w:val="20"/>
          <w:lang w:val="en-US"/>
        </w:rPr>
        <w:t xml:space="preserve">was filed </w:t>
      </w:r>
      <w:r w:rsidRPr="000A116D">
        <w:rPr>
          <w:rFonts w:ascii="Verdana" w:hAnsi="Verdana"/>
          <w:sz w:val="20"/>
          <w:lang w:val="en-US"/>
        </w:rPr>
        <w:t xml:space="preserve">before the Court, nor </w:t>
      </w:r>
      <w:r w:rsidR="008F12BE" w:rsidRPr="000A116D">
        <w:rPr>
          <w:rFonts w:ascii="Verdana" w:hAnsi="Verdana"/>
          <w:sz w:val="20"/>
          <w:lang w:val="en-US"/>
        </w:rPr>
        <w:t xml:space="preserve">were there "some appropriate reasons” </w:t>
      </w:r>
      <w:r w:rsidRPr="000A116D">
        <w:rPr>
          <w:rFonts w:ascii="Verdana" w:hAnsi="Verdana"/>
          <w:sz w:val="20"/>
          <w:lang w:val="en-US"/>
        </w:rPr>
        <w:t xml:space="preserve">to justify </w:t>
      </w:r>
      <w:r w:rsidR="008F12BE" w:rsidRPr="000A116D">
        <w:rPr>
          <w:rFonts w:ascii="Verdana" w:hAnsi="Verdana"/>
          <w:sz w:val="20"/>
          <w:lang w:val="en-US"/>
        </w:rPr>
        <w:t>the disqualification</w:t>
      </w:r>
      <w:r w:rsidRPr="000A116D">
        <w:rPr>
          <w:rFonts w:ascii="Verdana" w:hAnsi="Verdana"/>
          <w:sz w:val="20"/>
          <w:lang w:val="en-US"/>
        </w:rPr>
        <w:t>.</w:t>
      </w:r>
    </w:p>
    <w:p w:rsidR="00AB3158" w:rsidRPr="000A116D" w:rsidRDefault="00AB3158" w:rsidP="00AB3158">
      <w:pPr>
        <w:jc w:val="both"/>
        <w:rPr>
          <w:rFonts w:ascii="Verdana" w:hAnsi="Verdana"/>
          <w:sz w:val="20"/>
          <w:lang w:val="en-US"/>
        </w:rPr>
      </w:pPr>
    </w:p>
    <w:p w:rsidR="00F75B6D" w:rsidRPr="000A116D" w:rsidRDefault="00AB3158" w:rsidP="00AB3158">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Indeed, the facts on which </w:t>
      </w:r>
      <w:r w:rsidR="00C82022" w:rsidRPr="000A116D">
        <w:rPr>
          <w:rFonts w:ascii="Verdana" w:hAnsi="Verdana"/>
          <w:sz w:val="20"/>
          <w:lang w:val="en-US"/>
        </w:rPr>
        <w:t>the State</w:t>
      </w:r>
      <w:r w:rsidRPr="000A116D">
        <w:rPr>
          <w:rFonts w:ascii="Verdana" w:hAnsi="Verdana"/>
          <w:sz w:val="20"/>
          <w:lang w:val="en-US"/>
        </w:rPr>
        <w:t xml:space="preserve"> base</w:t>
      </w:r>
      <w:r w:rsidR="00C82022" w:rsidRPr="000A116D">
        <w:rPr>
          <w:rFonts w:ascii="Verdana" w:hAnsi="Verdana"/>
          <w:sz w:val="20"/>
          <w:lang w:val="en-US"/>
        </w:rPr>
        <w:t>s</w:t>
      </w:r>
      <w:r w:rsidRPr="000A116D">
        <w:rPr>
          <w:rFonts w:ascii="Verdana" w:hAnsi="Verdana"/>
          <w:sz w:val="20"/>
          <w:lang w:val="en-US"/>
        </w:rPr>
        <w:t xml:space="preserve"> its objection </w:t>
      </w:r>
      <w:r w:rsidR="00C82022" w:rsidRPr="000A116D">
        <w:rPr>
          <w:rFonts w:ascii="Verdana" w:hAnsi="Verdana"/>
          <w:sz w:val="20"/>
          <w:lang w:val="en-US"/>
        </w:rPr>
        <w:t>are</w:t>
      </w:r>
      <w:r w:rsidRPr="000A116D">
        <w:rPr>
          <w:rFonts w:ascii="Verdana" w:hAnsi="Verdana"/>
          <w:sz w:val="20"/>
          <w:lang w:val="en-US"/>
        </w:rPr>
        <w:t xml:space="preserve"> statements made by the Judges and the Secretary in the c</w:t>
      </w:r>
      <w:r w:rsidR="00C82022" w:rsidRPr="000A116D">
        <w:rPr>
          <w:rFonts w:ascii="Verdana" w:hAnsi="Verdana"/>
          <w:sz w:val="20"/>
          <w:lang w:val="en-US"/>
        </w:rPr>
        <w:t>ourse of a private deliberation of the Court</w:t>
      </w:r>
      <w:r w:rsidRPr="000A116D">
        <w:rPr>
          <w:rFonts w:ascii="Verdana" w:hAnsi="Verdana"/>
          <w:sz w:val="20"/>
          <w:lang w:val="en-US"/>
        </w:rPr>
        <w:t xml:space="preserve"> </w:t>
      </w:r>
      <w:r w:rsidR="00C82022" w:rsidRPr="000A116D">
        <w:rPr>
          <w:rFonts w:ascii="Verdana" w:hAnsi="Verdana"/>
          <w:sz w:val="20"/>
          <w:lang w:val="en-US"/>
        </w:rPr>
        <w:t xml:space="preserve">that, </w:t>
      </w:r>
      <w:r w:rsidRPr="000A116D">
        <w:rPr>
          <w:rFonts w:ascii="Verdana" w:hAnsi="Verdana"/>
          <w:sz w:val="20"/>
          <w:lang w:val="en-US"/>
        </w:rPr>
        <w:t xml:space="preserve">far from being "illegal" as the State </w:t>
      </w:r>
      <w:r w:rsidR="00C82022" w:rsidRPr="000A116D">
        <w:rPr>
          <w:rFonts w:ascii="Verdana" w:hAnsi="Verdana"/>
          <w:sz w:val="20"/>
          <w:lang w:val="en-US"/>
        </w:rPr>
        <w:t xml:space="preserve">asserts, </w:t>
      </w:r>
      <w:r w:rsidRPr="000A116D">
        <w:rPr>
          <w:rFonts w:ascii="Verdana" w:hAnsi="Verdana"/>
          <w:sz w:val="20"/>
          <w:lang w:val="en-US"/>
        </w:rPr>
        <w:t xml:space="preserve">is a </w:t>
      </w:r>
      <w:r w:rsidR="00C82022" w:rsidRPr="000A116D">
        <w:rPr>
          <w:rFonts w:ascii="Verdana" w:hAnsi="Verdana"/>
          <w:sz w:val="20"/>
          <w:lang w:val="en-US"/>
        </w:rPr>
        <w:t>regular</w:t>
      </w:r>
      <w:r w:rsidRPr="000A116D">
        <w:rPr>
          <w:rFonts w:ascii="Verdana" w:hAnsi="Verdana"/>
          <w:sz w:val="20"/>
          <w:lang w:val="en-US"/>
        </w:rPr>
        <w:t xml:space="preserve"> and legitimate </w:t>
      </w:r>
      <w:r w:rsidR="00C82022" w:rsidRPr="000A116D">
        <w:rPr>
          <w:rFonts w:ascii="Verdana" w:hAnsi="Verdana"/>
          <w:sz w:val="20"/>
          <w:lang w:val="en-US"/>
        </w:rPr>
        <w:t xml:space="preserve">procedural </w:t>
      </w:r>
      <w:r w:rsidRPr="000A116D">
        <w:rPr>
          <w:rFonts w:ascii="Verdana" w:hAnsi="Verdana"/>
          <w:sz w:val="20"/>
          <w:lang w:val="en-US"/>
        </w:rPr>
        <w:t>act, enshrined in Article 24 of the Statute of the Court.</w:t>
      </w:r>
      <w:r w:rsidR="00C82022" w:rsidRPr="000A116D">
        <w:rPr>
          <w:rStyle w:val="Refdenotaalpie"/>
          <w:rFonts w:ascii="Verdana" w:hAnsi="Verdana"/>
          <w:sz w:val="20"/>
          <w:lang w:val="en-US"/>
        </w:rPr>
        <w:footnoteReference w:id="4"/>
      </w:r>
      <w:r w:rsidRPr="000A116D">
        <w:rPr>
          <w:rFonts w:ascii="Verdana" w:hAnsi="Verdana"/>
          <w:sz w:val="20"/>
          <w:lang w:val="en-US"/>
        </w:rPr>
        <w:t xml:space="preserve"> It is </w:t>
      </w:r>
      <w:r w:rsidR="00E0428B" w:rsidRPr="000A116D">
        <w:rPr>
          <w:rFonts w:ascii="Verdana" w:hAnsi="Verdana"/>
          <w:sz w:val="20"/>
          <w:lang w:val="en-US"/>
        </w:rPr>
        <w:t>common that</w:t>
      </w:r>
      <w:r w:rsidRPr="000A116D">
        <w:rPr>
          <w:rFonts w:ascii="Verdana" w:hAnsi="Verdana"/>
          <w:sz w:val="20"/>
          <w:lang w:val="en-US"/>
        </w:rPr>
        <w:t xml:space="preserve"> private deliberations </w:t>
      </w:r>
      <w:r w:rsidR="005A5725" w:rsidRPr="000A116D">
        <w:rPr>
          <w:rFonts w:ascii="Verdana" w:hAnsi="Verdana"/>
          <w:sz w:val="20"/>
          <w:lang w:val="en-US"/>
        </w:rPr>
        <w:t>be</w:t>
      </w:r>
      <w:r w:rsidR="00E0428B" w:rsidRPr="000A116D">
        <w:rPr>
          <w:rFonts w:ascii="Verdana" w:hAnsi="Verdana"/>
          <w:sz w:val="20"/>
          <w:lang w:val="en-US"/>
        </w:rPr>
        <w:t xml:space="preserve"> carried out </w:t>
      </w:r>
      <w:r w:rsidRPr="000A116D">
        <w:rPr>
          <w:rFonts w:ascii="Verdana" w:hAnsi="Verdana"/>
          <w:sz w:val="20"/>
          <w:lang w:val="en-US"/>
        </w:rPr>
        <w:t xml:space="preserve">immediately after the public hearings, in order to exchange insights on the public hearing and </w:t>
      </w:r>
      <w:r w:rsidR="005A5725" w:rsidRPr="000A116D">
        <w:rPr>
          <w:rFonts w:ascii="Verdana" w:hAnsi="Verdana"/>
          <w:sz w:val="20"/>
          <w:lang w:val="en-US"/>
        </w:rPr>
        <w:t xml:space="preserve">to </w:t>
      </w:r>
      <w:r w:rsidRPr="000A116D">
        <w:rPr>
          <w:rFonts w:ascii="Verdana" w:hAnsi="Verdana"/>
          <w:sz w:val="20"/>
          <w:lang w:val="en-US"/>
        </w:rPr>
        <w:t>establish some general guidelines on the case</w:t>
      </w:r>
      <w:r w:rsidR="00E0428B" w:rsidRPr="000A116D">
        <w:rPr>
          <w:rFonts w:ascii="Verdana" w:hAnsi="Verdana"/>
          <w:sz w:val="20"/>
          <w:lang w:val="en-US"/>
        </w:rPr>
        <w:t xml:space="preserve"> in a preliminary manner</w:t>
      </w:r>
      <w:r w:rsidRPr="000A116D">
        <w:rPr>
          <w:rFonts w:ascii="Verdana" w:hAnsi="Verdana"/>
          <w:sz w:val="20"/>
          <w:lang w:val="en-US"/>
        </w:rPr>
        <w:t>, pending the final written arguments of the parties.</w:t>
      </w:r>
    </w:p>
    <w:p w:rsidR="007249B5" w:rsidRPr="000A116D" w:rsidRDefault="007249B5" w:rsidP="007249B5">
      <w:pPr>
        <w:jc w:val="both"/>
        <w:rPr>
          <w:rFonts w:ascii="Verdana" w:hAnsi="Verdana"/>
          <w:sz w:val="20"/>
          <w:lang w:val="en-US"/>
        </w:rPr>
      </w:pPr>
    </w:p>
    <w:p w:rsidR="007249B5" w:rsidRPr="000A116D" w:rsidRDefault="007249B5" w:rsidP="007249B5">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The Court, like all collegiate bodies, has an internal decision making process in which each </w:t>
      </w:r>
      <w:r w:rsidR="00A12BB7" w:rsidRPr="000A116D">
        <w:rPr>
          <w:rFonts w:ascii="Verdana" w:hAnsi="Verdana"/>
          <w:sz w:val="20"/>
          <w:lang w:val="en-US"/>
        </w:rPr>
        <w:t xml:space="preserve">of its members formulate </w:t>
      </w:r>
      <w:r w:rsidRPr="000A116D">
        <w:rPr>
          <w:rFonts w:ascii="Verdana" w:hAnsi="Verdana"/>
          <w:sz w:val="20"/>
          <w:lang w:val="en-US"/>
        </w:rPr>
        <w:t>preliminary comments</w:t>
      </w:r>
      <w:r w:rsidR="00A12BB7" w:rsidRPr="000A116D">
        <w:rPr>
          <w:rFonts w:ascii="Verdana" w:hAnsi="Verdana"/>
          <w:sz w:val="20"/>
          <w:lang w:val="en-US"/>
        </w:rPr>
        <w:t xml:space="preserve"> that are</w:t>
      </w:r>
      <w:r w:rsidRPr="000A116D">
        <w:rPr>
          <w:rFonts w:ascii="Verdana" w:hAnsi="Verdana"/>
          <w:sz w:val="20"/>
          <w:lang w:val="en-US"/>
        </w:rPr>
        <w:t xml:space="preserve"> subject to further analysis, pending evidence or arguments that the parties put forward after the hearing and</w:t>
      </w:r>
      <w:r w:rsidR="00A12BB7" w:rsidRPr="000A116D">
        <w:rPr>
          <w:rFonts w:ascii="Verdana" w:hAnsi="Verdana"/>
          <w:sz w:val="20"/>
          <w:lang w:val="en-US"/>
        </w:rPr>
        <w:t xml:space="preserve"> which are</w:t>
      </w:r>
      <w:r w:rsidRPr="000A116D">
        <w:rPr>
          <w:rFonts w:ascii="Verdana" w:hAnsi="Verdana"/>
          <w:sz w:val="20"/>
          <w:lang w:val="en-US"/>
        </w:rPr>
        <w:t xml:space="preserve"> always subject to </w:t>
      </w:r>
      <w:r w:rsidR="00A12BB7" w:rsidRPr="000A116D">
        <w:rPr>
          <w:rFonts w:ascii="Verdana" w:hAnsi="Verdana"/>
          <w:sz w:val="20"/>
          <w:lang w:val="en-US"/>
        </w:rPr>
        <w:t xml:space="preserve">the final and </w:t>
      </w:r>
      <w:r w:rsidRPr="000A116D">
        <w:rPr>
          <w:rFonts w:ascii="Verdana" w:hAnsi="Verdana"/>
          <w:sz w:val="20"/>
          <w:lang w:val="en-US"/>
        </w:rPr>
        <w:t>formal deliberation</w:t>
      </w:r>
      <w:r w:rsidR="00A12BB7" w:rsidRPr="000A116D">
        <w:rPr>
          <w:rFonts w:ascii="Verdana" w:hAnsi="Verdana"/>
          <w:sz w:val="20"/>
          <w:lang w:val="en-US"/>
        </w:rPr>
        <w:t>s of</w:t>
      </w:r>
      <w:r w:rsidR="008E42DB" w:rsidRPr="000A116D">
        <w:rPr>
          <w:rFonts w:ascii="Verdana" w:hAnsi="Verdana"/>
          <w:sz w:val="20"/>
          <w:lang w:val="en-US"/>
        </w:rPr>
        <w:t xml:space="preserve"> the J</w:t>
      </w:r>
      <w:r w:rsidRPr="000A116D">
        <w:rPr>
          <w:rFonts w:ascii="Verdana" w:hAnsi="Verdana"/>
          <w:sz w:val="20"/>
          <w:lang w:val="en-US"/>
        </w:rPr>
        <w:t xml:space="preserve">udges in a specific session </w:t>
      </w:r>
      <w:r w:rsidR="008E42DB" w:rsidRPr="000A116D">
        <w:rPr>
          <w:rFonts w:ascii="Verdana" w:hAnsi="Verdana"/>
          <w:sz w:val="20"/>
          <w:lang w:val="en-US"/>
        </w:rPr>
        <w:t>that is</w:t>
      </w:r>
      <w:r w:rsidRPr="000A116D">
        <w:rPr>
          <w:rFonts w:ascii="Verdana" w:hAnsi="Verdana"/>
          <w:sz w:val="20"/>
          <w:lang w:val="en-US"/>
        </w:rPr>
        <w:t xml:space="preserve"> held after the hearing, once the evidence</w:t>
      </w:r>
      <w:r w:rsidR="008E42DB" w:rsidRPr="000A116D">
        <w:rPr>
          <w:rFonts w:ascii="Verdana" w:hAnsi="Verdana"/>
          <w:sz w:val="20"/>
          <w:lang w:val="en-US"/>
        </w:rPr>
        <w:t xml:space="preserve"> has been gathered to</w:t>
      </w:r>
      <w:r w:rsidRPr="000A116D">
        <w:rPr>
          <w:rFonts w:ascii="Verdana" w:hAnsi="Verdana"/>
          <w:sz w:val="20"/>
          <w:lang w:val="en-US"/>
        </w:rPr>
        <w:t xml:space="preserve"> draft and issue </w:t>
      </w:r>
      <w:r w:rsidR="004061FC" w:rsidRPr="000A116D">
        <w:rPr>
          <w:rFonts w:ascii="Verdana" w:hAnsi="Verdana"/>
          <w:sz w:val="20"/>
          <w:lang w:val="en-US"/>
        </w:rPr>
        <w:t>a Judgment</w:t>
      </w:r>
      <w:r w:rsidRPr="000A116D">
        <w:rPr>
          <w:rFonts w:ascii="Verdana" w:hAnsi="Verdana"/>
          <w:sz w:val="20"/>
          <w:lang w:val="en-US"/>
        </w:rPr>
        <w:t>, analyzing</w:t>
      </w:r>
      <w:r w:rsidR="004061FC" w:rsidRPr="000A116D">
        <w:rPr>
          <w:rFonts w:ascii="Verdana" w:hAnsi="Verdana"/>
          <w:sz w:val="20"/>
          <w:lang w:val="en-US"/>
        </w:rPr>
        <w:t>,</w:t>
      </w:r>
      <w:r w:rsidRPr="000A116D">
        <w:rPr>
          <w:rFonts w:ascii="Verdana" w:hAnsi="Verdana"/>
          <w:sz w:val="20"/>
          <w:lang w:val="en-US"/>
        </w:rPr>
        <w:t xml:space="preserve"> in particular the final written arguments of the parties.</w:t>
      </w:r>
    </w:p>
    <w:p w:rsidR="006969F8" w:rsidRPr="000A116D" w:rsidRDefault="006969F8" w:rsidP="006969F8">
      <w:pPr>
        <w:jc w:val="both"/>
        <w:rPr>
          <w:rFonts w:ascii="Verdana" w:hAnsi="Verdana"/>
          <w:sz w:val="20"/>
          <w:lang w:val="en-US"/>
        </w:rPr>
      </w:pPr>
    </w:p>
    <w:p w:rsidR="006969F8" w:rsidRPr="000A116D" w:rsidRDefault="006969F8" w:rsidP="006969F8">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A reading the transcript of the statements made during the private deliberations of April 1, 2009, shows, in the Court’s opinion, that it conformed to the statutory purposes set forth in the preceding paragraphs. None of the opinions expressed in this private deliberation reveals a lack of impartiality or </w:t>
      </w:r>
      <w:r w:rsidR="005D0A90" w:rsidRPr="000A116D">
        <w:rPr>
          <w:rFonts w:ascii="Verdana" w:hAnsi="Verdana"/>
          <w:sz w:val="20"/>
          <w:lang w:val="en-US"/>
        </w:rPr>
        <w:t xml:space="preserve">allows for the </w:t>
      </w:r>
      <w:r w:rsidRPr="000A116D">
        <w:rPr>
          <w:rFonts w:ascii="Verdana" w:hAnsi="Verdana"/>
          <w:sz w:val="20"/>
          <w:lang w:val="en-US"/>
        </w:rPr>
        <w:t>infer</w:t>
      </w:r>
      <w:r w:rsidR="005D0A90" w:rsidRPr="000A116D">
        <w:rPr>
          <w:rFonts w:ascii="Verdana" w:hAnsi="Verdana"/>
          <w:sz w:val="20"/>
          <w:lang w:val="en-US"/>
        </w:rPr>
        <w:t xml:space="preserve">ence of the existence of bias against the State. None of the opinions </w:t>
      </w:r>
      <w:r w:rsidR="00E22288" w:rsidRPr="000A116D">
        <w:rPr>
          <w:rFonts w:ascii="Verdana" w:hAnsi="Verdana"/>
          <w:sz w:val="20"/>
          <w:lang w:val="en-US"/>
        </w:rPr>
        <w:t xml:space="preserve">leads to </w:t>
      </w:r>
      <w:r w:rsidR="00AA6729" w:rsidRPr="000A116D">
        <w:rPr>
          <w:rFonts w:ascii="Verdana" w:hAnsi="Verdana"/>
          <w:sz w:val="20"/>
          <w:lang w:val="en-US"/>
        </w:rPr>
        <w:t xml:space="preserve">something other than </w:t>
      </w:r>
      <w:r w:rsidRPr="000A116D">
        <w:rPr>
          <w:rFonts w:ascii="Verdana" w:hAnsi="Verdana"/>
          <w:sz w:val="20"/>
          <w:lang w:val="en-US"/>
        </w:rPr>
        <w:t>a reasoned and informed legal opinion.</w:t>
      </w:r>
    </w:p>
    <w:p w:rsidR="00B80DB9" w:rsidRPr="000A116D" w:rsidRDefault="00B80DB9" w:rsidP="00B80DB9">
      <w:pPr>
        <w:jc w:val="both"/>
        <w:rPr>
          <w:rFonts w:ascii="Verdana" w:hAnsi="Verdana"/>
          <w:sz w:val="20"/>
          <w:lang w:val="en-US"/>
        </w:rPr>
      </w:pPr>
    </w:p>
    <w:p w:rsidR="00F75B6D" w:rsidRPr="000A116D" w:rsidRDefault="00B80DB9" w:rsidP="00B05187">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In consideration of the foregoing, it is evident that the Judges Diego Garcia-Sayan and Manuel Ventura Robles have not </w:t>
      </w:r>
      <w:r w:rsidR="00583D98" w:rsidRPr="000A116D">
        <w:rPr>
          <w:rFonts w:ascii="Verdana" w:hAnsi="Verdana"/>
          <w:sz w:val="20"/>
          <w:lang w:val="en-US"/>
        </w:rPr>
        <w:t>incurred</w:t>
      </w:r>
      <w:r w:rsidRPr="000A116D">
        <w:rPr>
          <w:rFonts w:ascii="Verdana" w:hAnsi="Verdana"/>
          <w:sz w:val="20"/>
          <w:lang w:val="en-US"/>
        </w:rPr>
        <w:t xml:space="preserve"> in any of the statutory grounds for disqualification or have performed any act which </w:t>
      </w:r>
      <w:r w:rsidR="00583D98" w:rsidRPr="000A116D">
        <w:rPr>
          <w:rFonts w:ascii="Verdana" w:hAnsi="Verdana"/>
          <w:sz w:val="20"/>
          <w:lang w:val="en-US"/>
        </w:rPr>
        <w:t>puts in</w:t>
      </w:r>
      <w:r w:rsidRPr="000A116D">
        <w:rPr>
          <w:rFonts w:ascii="Verdana" w:hAnsi="Verdana"/>
          <w:sz w:val="20"/>
          <w:lang w:val="en-US"/>
        </w:rPr>
        <w:t xml:space="preserve"> question </w:t>
      </w:r>
      <w:r w:rsidR="00583D98" w:rsidRPr="000A116D">
        <w:rPr>
          <w:rFonts w:ascii="Verdana" w:hAnsi="Verdana"/>
          <w:sz w:val="20"/>
          <w:lang w:val="en-US"/>
        </w:rPr>
        <w:t>their</w:t>
      </w:r>
      <w:r w:rsidRPr="000A116D">
        <w:rPr>
          <w:rFonts w:ascii="Verdana" w:hAnsi="Verdana"/>
          <w:sz w:val="20"/>
          <w:lang w:val="en-US"/>
        </w:rPr>
        <w:t xml:space="preserve"> impartiality.</w:t>
      </w:r>
    </w:p>
    <w:p w:rsidR="00F75B6D" w:rsidRPr="000A116D" w:rsidRDefault="00F75B6D" w:rsidP="00B05187">
      <w:pPr>
        <w:jc w:val="both"/>
        <w:rPr>
          <w:rFonts w:ascii="Verdana" w:hAnsi="Verdana"/>
          <w:sz w:val="20"/>
          <w:lang w:val="en-US"/>
        </w:rPr>
      </w:pPr>
    </w:p>
    <w:p w:rsidR="00DA0EB6" w:rsidRPr="000A116D" w:rsidRDefault="00D97DB3" w:rsidP="00B05187">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Therefore, the Court considers that the allegation of lack of impartiality of the Judges Diego Garcia-Say</w:t>
      </w:r>
      <w:bookmarkStart w:id="2" w:name="_Ref262217721"/>
      <w:bookmarkStart w:id="3" w:name="_Ref262459597"/>
      <w:r w:rsidR="00DA0EB6" w:rsidRPr="000A116D">
        <w:rPr>
          <w:rFonts w:ascii="Verdana" w:hAnsi="Verdana"/>
          <w:sz w:val="20"/>
          <w:lang w:val="en-US"/>
        </w:rPr>
        <w:t>an and Manuel Ventura Robles is totally unfounded.</w:t>
      </w:r>
    </w:p>
    <w:bookmarkEnd w:id="2"/>
    <w:bookmarkEnd w:id="3"/>
    <w:p w:rsidR="008267B8" w:rsidRPr="000A116D" w:rsidRDefault="008267B8" w:rsidP="008267B8">
      <w:pPr>
        <w:jc w:val="both"/>
        <w:rPr>
          <w:rFonts w:ascii="Verdana" w:hAnsi="Verdana"/>
          <w:sz w:val="20"/>
          <w:lang w:val="en-US"/>
        </w:rPr>
      </w:pPr>
    </w:p>
    <w:p w:rsidR="008267B8" w:rsidRPr="000A116D" w:rsidRDefault="008267B8" w:rsidP="008267B8">
      <w:pPr>
        <w:numPr>
          <w:ilvl w:val="0"/>
          <w:numId w:val="1"/>
        </w:numPr>
        <w:tabs>
          <w:tab w:val="clear" w:pos="360"/>
        </w:tabs>
        <w:ind w:left="0" w:firstLine="0"/>
        <w:jc w:val="both"/>
        <w:rPr>
          <w:rFonts w:ascii="Verdana" w:hAnsi="Verdana"/>
          <w:sz w:val="20"/>
          <w:lang w:val="en-US"/>
        </w:rPr>
      </w:pPr>
      <w:r w:rsidRPr="000A116D">
        <w:rPr>
          <w:rFonts w:ascii="Verdana" w:hAnsi="Verdana"/>
          <w:sz w:val="20"/>
          <w:lang w:val="en-US"/>
        </w:rPr>
        <w:t xml:space="preserve">For the same reasons, the allegation of lack of impartiality of the Secretary of the Court, Pablo Saavedra Alessandri, which is otherwise inadmissible, because the Secretary is not a Judge nor </w:t>
      </w:r>
      <w:r w:rsidR="00904FF4" w:rsidRPr="000A116D">
        <w:rPr>
          <w:rFonts w:ascii="Verdana" w:hAnsi="Verdana"/>
          <w:sz w:val="20"/>
          <w:lang w:val="en-US"/>
        </w:rPr>
        <w:t xml:space="preserve">does he have </w:t>
      </w:r>
      <w:r w:rsidRPr="000A116D">
        <w:rPr>
          <w:rFonts w:ascii="Verdana" w:hAnsi="Verdana"/>
          <w:sz w:val="20"/>
          <w:lang w:val="en-US"/>
        </w:rPr>
        <w:t>decision-making po</w:t>
      </w:r>
      <w:r w:rsidR="00904FF4" w:rsidRPr="000A116D">
        <w:rPr>
          <w:rFonts w:ascii="Verdana" w:hAnsi="Verdana"/>
          <w:sz w:val="20"/>
          <w:lang w:val="en-US"/>
        </w:rPr>
        <w:t>wers in the cases under the</w:t>
      </w:r>
      <w:r w:rsidRPr="000A116D">
        <w:rPr>
          <w:rFonts w:ascii="Verdana" w:hAnsi="Verdana"/>
          <w:sz w:val="20"/>
          <w:lang w:val="en-US"/>
        </w:rPr>
        <w:t xml:space="preserve"> jurisdiction of the Court</w:t>
      </w:r>
      <w:r w:rsidR="00904FF4" w:rsidRPr="000A116D">
        <w:rPr>
          <w:rFonts w:ascii="Verdana" w:hAnsi="Verdana"/>
          <w:sz w:val="20"/>
          <w:lang w:val="en-US"/>
        </w:rPr>
        <w:t xml:space="preserve"> is totally unfounded</w:t>
      </w:r>
      <w:r w:rsidRPr="000A116D">
        <w:rPr>
          <w:rFonts w:ascii="Verdana" w:hAnsi="Verdana"/>
          <w:sz w:val="20"/>
          <w:lang w:val="en-US"/>
        </w:rPr>
        <w:t>.</w:t>
      </w:r>
    </w:p>
    <w:p w:rsidR="00F75B6D" w:rsidRPr="000A116D" w:rsidRDefault="00F75B6D" w:rsidP="008267B8">
      <w:pPr>
        <w:jc w:val="both"/>
        <w:rPr>
          <w:rFonts w:ascii="Verdana" w:hAnsi="Verdana"/>
          <w:sz w:val="20"/>
          <w:lang w:val="en-US"/>
        </w:rPr>
      </w:pPr>
    </w:p>
    <w:p w:rsidR="00096D60" w:rsidRPr="000A116D" w:rsidRDefault="00096D60" w:rsidP="00B05187">
      <w:pPr>
        <w:jc w:val="both"/>
        <w:rPr>
          <w:rFonts w:ascii="Verdana" w:hAnsi="Verdana"/>
          <w:sz w:val="20"/>
          <w:highlight w:val="cyan"/>
          <w:lang w:val="en-US"/>
        </w:rPr>
      </w:pPr>
    </w:p>
    <w:p w:rsidR="00C66A2C" w:rsidRPr="000A116D" w:rsidRDefault="000810CB" w:rsidP="00B05187">
      <w:pPr>
        <w:keepNext/>
        <w:ind w:left="708"/>
        <w:jc w:val="both"/>
        <w:rPr>
          <w:rFonts w:ascii="Verdana" w:hAnsi="Verdana" w:cs="Century Gothic"/>
          <w:b/>
          <w:color w:val="000000"/>
          <w:sz w:val="20"/>
          <w:lang w:val="en-US"/>
        </w:rPr>
      </w:pPr>
      <w:r w:rsidRPr="000A116D">
        <w:rPr>
          <w:rFonts w:ascii="Verdana" w:hAnsi="Verdana" w:cs="Century Gothic"/>
          <w:b/>
          <w:color w:val="000000"/>
          <w:sz w:val="20"/>
          <w:lang w:val="en-US"/>
        </w:rPr>
        <w:t>4</w:t>
      </w:r>
      <w:r w:rsidR="00C66A2C" w:rsidRPr="000A116D">
        <w:rPr>
          <w:rFonts w:ascii="Verdana" w:hAnsi="Verdana" w:cs="Century Gothic"/>
          <w:b/>
          <w:color w:val="000000"/>
          <w:sz w:val="20"/>
          <w:lang w:val="en-US"/>
        </w:rPr>
        <w:t xml:space="preserve">. </w:t>
      </w:r>
      <w:r w:rsidR="00C66A2C" w:rsidRPr="000A116D">
        <w:rPr>
          <w:rFonts w:ascii="Verdana" w:hAnsi="Verdana" w:cs="Century Gothic"/>
          <w:b/>
          <w:color w:val="000000"/>
          <w:sz w:val="20"/>
          <w:lang w:val="en-US"/>
        </w:rPr>
        <w:tab/>
      </w:r>
      <w:r w:rsidR="003C591B" w:rsidRPr="000A116D">
        <w:rPr>
          <w:rFonts w:ascii="Verdana" w:hAnsi="Verdana" w:cs="Century Gothic"/>
          <w:b/>
          <w:color w:val="000000"/>
          <w:sz w:val="20"/>
          <w:lang w:val="en-US"/>
        </w:rPr>
        <w:t>Continuation with the processing of the case</w:t>
      </w:r>
    </w:p>
    <w:p w:rsidR="00F75B6D" w:rsidRPr="000A116D" w:rsidRDefault="00F75B6D" w:rsidP="00B05187">
      <w:pPr>
        <w:jc w:val="both"/>
        <w:rPr>
          <w:rFonts w:ascii="Verdana" w:hAnsi="Verdana" w:cs="Century Gothic"/>
          <w:bCs/>
          <w:color w:val="000000"/>
          <w:sz w:val="20"/>
          <w:lang w:val="en-US"/>
        </w:rPr>
      </w:pPr>
    </w:p>
    <w:p w:rsidR="00FC73CA" w:rsidRPr="000A116D" w:rsidRDefault="00FC73CA" w:rsidP="00FC73CA">
      <w:pPr>
        <w:numPr>
          <w:ilvl w:val="0"/>
          <w:numId w:val="1"/>
        </w:numPr>
        <w:tabs>
          <w:tab w:val="clear" w:pos="360"/>
        </w:tabs>
        <w:ind w:left="0" w:firstLine="0"/>
        <w:jc w:val="both"/>
        <w:rPr>
          <w:rFonts w:ascii="Verdana" w:hAnsi="Verdana" w:cs="Century Gothic"/>
          <w:bCs/>
          <w:color w:val="000000"/>
          <w:sz w:val="20"/>
          <w:lang w:val="en-US"/>
        </w:rPr>
      </w:pPr>
      <w:r w:rsidRPr="000A116D">
        <w:rPr>
          <w:rFonts w:ascii="Verdana" w:hAnsi="Verdana" w:cs="Century Gothic"/>
          <w:bCs/>
          <w:color w:val="000000"/>
          <w:sz w:val="20"/>
          <w:lang w:val="en-US"/>
        </w:rPr>
        <w:t xml:space="preserve">Once the preliminary issues </w:t>
      </w:r>
      <w:r w:rsidR="00B772EB" w:rsidRPr="000A116D">
        <w:rPr>
          <w:rFonts w:ascii="Verdana" w:hAnsi="Verdana" w:cs="Century Gothic"/>
          <w:bCs/>
          <w:color w:val="000000"/>
          <w:sz w:val="20"/>
          <w:lang w:val="en-US"/>
        </w:rPr>
        <w:t xml:space="preserve">have been </w:t>
      </w:r>
      <w:r w:rsidRPr="000A116D">
        <w:rPr>
          <w:rFonts w:ascii="Verdana" w:hAnsi="Verdana" w:cs="Century Gothic"/>
          <w:bCs/>
          <w:color w:val="000000"/>
          <w:sz w:val="20"/>
          <w:lang w:val="en-US"/>
        </w:rPr>
        <w:t>resolved, and having determined that both the</w:t>
      </w:r>
      <w:r w:rsidR="00B772EB" w:rsidRPr="000A116D">
        <w:rPr>
          <w:rFonts w:ascii="Verdana" w:hAnsi="Verdana" w:cs="Century Gothic"/>
          <w:bCs/>
          <w:color w:val="000000"/>
          <w:sz w:val="20"/>
          <w:lang w:val="en-US"/>
        </w:rPr>
        <w:t xml:space="preserve"> allegations of</w:t>
      </w:r>
      <w:r w:rsidRPr="000A116D">
        <w:rPr>
          <w:rFonts w:ascii="Verdana" w:hAnsi="Verdana" w:cs="Century Gothic"/>
          <w:bCs/>
          <w:color w:val="000000"/>
          <w:sz w:val="20"/>
          <w:lang w:val="en-US"/>
        </w:rPr>
        <w:t xml:space="preserve"> impartiality of some Judges and </w:t>
      </w:r>
      <w:r w:rsidR="00B772EB" w:rsidRPr="000A116D">
        <w:rPr>
          <w:rFonts w:ascii="Verdana" w:hAnsi="Verdana" w:cs="Century Gothic"/>
          <w:bCs/>
          <w:color w:val="000000"/>
          <w:sz w:val="20"/>
          <w:lang w:val="en-US"/>
        </w:rPr>
        <w:t>the Secretary</w:t>
      </w:r>
      <w:r w:rsidRPr="000A116D">
        <w:rPr>
          <w:rFonts w:ascii="Verdana" w:hAnsi="Verdana" w:cs="Century Gothic"/>
          <w:bCs/>
          <w:color w:val="000000"/>
          <w:sz w:val="20"/>
          <w:lang w:val="en-US"/>
        </w:rPr>
        <w:t xml:space="preserve"> are absolutely </w:t>
      </w:r>
      <w:r w:rsidR="00B772EB" w:rsidRPr="000A116D">
        <w:rPr>
          <w:rFonts w:ascii="Verdana" w:hAnsi="Verdana" w:cs="Century Gothic"/>
          <w:bCs/>
          <w:color w:val="000000"/>
          <w:sz w:val="20"/>
          <w:lang w:val="en-US"/>
        </w:rPr>
        <w:t>inadmissible</w:t>
      </w:r>
      <w:r w:rsidRPr="000A116D">
        <w:rPr>
          <w:rFonts w:ascii="Verdana" w:hAnsi="Verdana" w:cs="Century Gothic"/>
          <w:bCs/>
          <w:color w:val="000000"/>
          <w:sz w:val="20"/>
          <w:lang w:val="en-US"/>
        </w:rPr>
        <w:t>,</w:t>
      </w:r>
      <w:r w:rsidR="00326BBF" w:rsidRPr="000A116D">
        <w:rPr>
          <w:rFonts w:ascii="Verdana" w:hAnsi="Verdana" w:cs="Century Gothic"/>
          <w:bCs/>
          <w:color w:val="000000"/>
          <w:sz w:val="20"/>
          <w:lang w:val="en-US"/>
        </w:rPr>
        <w:t xml:space="preserve"> it</w:t>
      </w:r>
      <w:r w:rsidRPr="000A116D">
        <w:rPr>
          <w:rFonts w:ascii="Verdana" w:hAnsi="Verdana" w:cs="Century Gothic"/>
          <w:bCs/>
          <w:color w:val="000000"/>
          <w:sz w:val="20"/>
          <w:lang w:val="en-US"/>
        </w:rPr>
        <w:t xml:space="preserve"> corresponds </w:t>
      </w:r>
      <w:r w:rsidR="00326BBF" w:rsidRPr="000A116D">
        <w:rPr>
          <w:rFonts w:ascii="Verdana" w:hAnsi="Verdana" w:cs="Century Gothic"/>
          <w:bCs/>
          <w:color w:val="000000"/>
          <w:sz w:val="20"/>
          <w:lang w:val="en-US"/>
        </w:rPr>
        <w:t xml:space="preserve">to </w:t>
      </w:r>
      <w:r w:rsidRPr="000A116D">
        <w:rPr>
          <w:rFonts w:ascii="Verdana" w:hAnsi="Verdana" w:cs="Century Gothic"/>
          <w:bCs/>
          <w:color w:val="000000"/>
          <w:sz w:val="20"/>
          <w:lang w:val="en-US"/>
        </w:rPr>
        <w:t>continue</w:t>
      </w:r>
      <w:r w:rsidR="00326BBF" w:rsidRPr="000A116D">
        <w:rPr>
          <w:rFonts w:ascii="Verdana" w:hAnsi="Verdana" w:cs="Century Gothic"/>
          <w:bCs/>
          <w:color w:val="000000"/>
          <w:sz w:val="20"/>
          <w:lang w:val="en-US"/>
        </w:rPr>
        <w:t xml:space="preserve"> with</w:t>
      </w:r>
      <w:r w:rsidRPr="000A116D">
        <w:rPr>
          <w:rFonts w:ascii="Verdana" w:hAnsi="Verdana" w:cs="Century Gothic"/>
          <w:bCs/>
          <w:color w:val="000000"/>
          <w:sz w:val="20"/>
          <w:lang w:val="en-US"/>
        </w:rPr>
        <w:t xml:space="preserve"> the normal course of the </w:t>
      </w:r>
      <w:r w:rsidR="00326BBF" w:rsidRPr="000A116D">
        <w:rPr>
          <w:rFonts w:ascii="Verdana" w:hAnsi="Verdana" w:cs="Century Gothic"/>
          <w:bCs/>
          <w:color w:val="000000"/>
          <w:sz w:val="20"/>
          <w:lang w:val="en-US"/>
        </w:rPr>
        <w:t>proceeding</w:t>
      </w:r>
      <w:r w:rsidRPr="000A116D">
        <w:rPr>
          <w:rFonts w:ascii="Verdana" w:hAnsi="Verdana" w:cs="Century Gothic"/>
          <w:bCs/>
          <w:color w:val="000000"/>
          <w:sz w:val="20"/>
          <w:lang w:val="en-US"/>
        </w:rPr>
        <w:t xml:space="preserve"> </w:t>
      </w:r>
      <w:r w:rsidR="00326BBF" w:rsidRPr="000A116D">
        <w:rPr>
          <w:rFonts w:ascii="Verdana" w:hAnsi="Verdana" w:cs="Century Gothic"/>
          <w:bCs/>
          <w:color w:val="000000"/>
          <w:sz w:val="20"/>
          <w:lang w:val="en-US"/>
        </w:rPr>
        <w:t>composed of</w:t>
      </w:r>
      <w:r w:rsidRPr="000A116D">
        <w:rPr>
          <w:rFonts w:ascii="Verdana" w:hAnsi="Verdana" w:cs="Century Gothic"/>
          <w:bCs/>
          <w:color w:val="000000"/>
          <w:sz w:val="20"/>
          <w:lang w:val="en-US"/>
        </w:rPr>
        <w:t xml:space="preserve"> the full </w:t>
      </w:r>
      <w:r w:rsidR="00326BBF" w:rsidRPr="000A116D">
        <w:rPr>
          <w:rFonts w:ascii="Verdana" w:hAnsi="Verdana" w:cs="Century Gothic"/>
          <w:bCs/>
          <w:color w:val="000000"/>
          <w:sz w:val="20"/>
          <w:lang w:val="en-US"/>
        </w:rPr>
        <w:t>Court</w:t>
      </w:r>
      <w:r w:rsidRPr="000A116D">
        <w:rPr>
          <w:rFonts w:ascii="Verdana" w:hAnsi="Verdana" w:cs="Century Gothic"/>
          <w:bCs/>
          <w:color w:val="000000"/>
          <w:sz w:val="20"/>
          <w:lang w:val="en-US"/>
        </w:rPr>
        <w:t xml:space="preserve">. To this end, the Secretariat </w:t>
      </w:r>
      <w:r w:rsidR="00326BBF" w:rsidRPr="000A116D">
        <w:rPr>
          <w:rFonts w:ascii="Verdana" w:hAnsi="Verdana" w:cs="Century Gothic"/>
          <w:bCs/>
          <w:color w:val="000000"/>
          <w:sz w:val="20"/>
          <w:lang w:val="en-US"/>
        </w:rPr>
        <w:t>must</w:t>
      </w:r>
      <w:r w:rsidRPr="000A116D">
        <w:rPr>
          <w:rFonts w:ascii="Verdana" w:hAnsi="Verdana" w:cs="Century Gothic"/>
          <w:bCs/>
          <w:color w:val="000000"/>
          <w:sz w:val="20"/>
          <w:lang w:val="en-US"/>
        </w:rPr>
        <w:t xml:space="preserve"> transfer </w:t>
      </w:r>
      <w:r w:rsidR="00326BBF" w:rsidRPr="000A116D">
        <w:rPr>
          <w:rFonts w:ascii="Verdana" w:hAnsi="Verdana" w:cs="Century Gothic"/>
          <w:bCs/>
          <w:color w:val="000000"/>
          <w:sz w:val="20"/>
          <w:lang w:val="en-US"/>
        </w:rPr>
        <w:t xml:space="preserve">the brief filed by the State of Venezuela on December 14, 2013, </w:t>
      </w:r>
      <w:r w:rsidRPr="000A116D">
        <w:rPr>
          <w:rFonts w:ascii="Verdana" w:hAnsi="Verdana" w:cs="Century Gothic"/>
          <w:bCs/>
          <w:color w:val="000000"/>
          <w:sz w:val="20"/>
          <w:lang w:val="en-US"/>
        </w:rPr>
        <w:t>to the Inter-American Commission and the representatives of the alleged victim, on the</w:t>
      </w:r>
      <w:r w:rsidR="00326BBF" w:rsidRPr="000A116D">
        <w:rPr>
          <w:rFonts w:ascii="Verdana" w:hAnsi="Verdana" w:cs="Century Gothic"/>
          <w:bCs/>
          <w:color w:val="000000"/>
          <w:sz w:val="20"/>
          <w:lang w:val="en-US"/>
        </w:rPr>
        <w:t xml:space="preserve"> understanding that only the parts related to the interposition of the preliminary objections on lack of exhaustion of domestic remedies and jurisdiction of the Inter-American Court for the protection </w:t>
      </w:r>
      <w:r w:rsidR="00326BBF" w:rsidRPr="000A116D">
        <w:rPr>
          <w:rFonts w:ascii="Verdana" w:hAnsi="Verdana" w:cs="Century Gothic"/>
          <w:bCs/>
          <w:color w:val="000000"/>
          <w:sz w:val="20"/>
          <w:lang w:val="en-US"/>
        </w:rPr>
        <w:lastRenderedPageBreak/>
        <w:t>of legal persons, the answer to the brief submitting the case by the Inter-American Commission and the observations to the brief containing pleadings, motions, and evidence filed by the representatives of the alleged victims</w:t>
      </w:r>
      <w:r w:rsidR="004C0487" w:rsidRPr="000A116D">
        <w:rPr>
          <w:rFonts w:ascii="Verdana" w:hAnsi="Verdana" w:cs="Century Gothic"/>
          <w:bCs/>
          <w:color w:val="000000"/>
          <w:sz w:val="20"/>
          <w:lang w:val="en-US"/>
        </w:rPr>
        <w:t xml:space="preserve"> shall be considered</w:t>
      </w:r>
      <w:r w:rsidR="00326BBF" w:rsidRPr="000A116D">
        <w:rPr>
          <w:rFonts w:ascii="Verdana" w:hAnsi="Verdana" w:cs="Century Gothic"/>
          <w:bCs/>
          <w:color w:val="000000"/>
          <w:sz w:val="20"/>
          <w:lang w:val="en-US"/>
        </w:rPr>
        <w:t xml:space="preserve">. </w:t>
      </w:r>
    </w:p>
    <w:p w:rsidR="00F75B6D" w:rsidRPr="000A116D" w:rsidRDefault="00F75B6D" w:rsidP="00FC73CA">
      <w:pPr>
        <w:jc w:val="both"/>
        <w:rPr>
          <w:rFonts w:ascii="Verdana" w:hAnsi="Verdana" w:cs="Century Gothic"/>
          <w:bCs/>
          <w:color w:val="000000"/>
          <w:sz w:val="20"/>
          <w:lang w:val="en-US"/>
        </w:rPr>
      </w:pPr>
    </w:p>
    <w:p w:rsidR="00F75B6D" w:rsidRPr="000A116D" w:rsidRDefault="00F75B6D" w:rsidP="00B05187">
      <w:pPr>
        <w:jc w:val="both"/>
        <w:rPr>
          <w:rFonts w:ascii="Verdana" w:hAnsi="Verdana" w:cs="Century Gothic"/>
          <w:bCs/>
          <w:color w:val="000000"/>
          <w:sz w:val="20"/>
          <w:lang w:val="en-US"/>
        </w:rPr>
      </w:pPr>
    </w:p>
    <w:p w:rsidR="008B0F1B" w:rsidRPr="000A116D" w:rsidRDefault="008B0F1B" w:rsidP="00B05187">
      <w:pPr>
        <w:jc w:val="both"/>
        <w:rPr>
          <w:rFonts w:ascii="Verdana" w:hAnsi="Verdana" w:cs="Century Gothic"/>
          <w:bCs/>
          <w:color w:val="000000"/>
          <w:sz w:val="20"/>
          <w:lang w:val="en-US"/>
        </w:rPr>
      </w:pPr>
    </w:p>
    <w:p w:rsidR="00F75B6D" w:rsidRPr="000A116D" w:rsidRDefault="004F5278" w:rsidP="00B05187">
      <w:pPr>
        <w:jc w:val="both"/>
        <w:rPr>
          <w:rFonts w:ascii="Verdana" w:hAnsi="Verdana" w:cs="Century Gothic"/>
          <w:b/>
          <w:bCs/>
          <w:color w:val="000000"/>
          <w:sz w:val="20"/>
          <w:lang w:val="en-US"/>
        </w:rPr>
      </w:pPr>
      <w:r w:rsidRPr="000A116D">
        <w:rPr>
          <w:rFonts w:ascii="Verdana" w:hAnsi="Verdana" w:cs="Century Gothic"/>
          <w:b/>
          <w:bCs/>
          <w:color w:val="000000"/>
          <w:sz w:val="20"/>
          <w:lang w:val="en-US"/>
        </w:rPr>
        <w:t>THEREFORE</w:t>
      </w:r>
      <w:r w:rsidR="00F75B6D" w:rsidRPr="000A116D">
        <w:rPr>
          <w:rFonts w:ascii="Verdana" w:hAnsi="Verdana" w:cs="Century Gothic"/>
          <w:b/>
          <w:bCs/>
          <w:color w:val="000000"/>
          <w:sz w:val="20"/>
          <w:lang w:val="en-US"/>
        </w:rPr>
        <w:t xml:space="preserve">: </w:t>
      </w:r>
    </w:p>
    <w:p w:rsidR="00F75B6D" w:rsidRPr="000A116D" w:rsidRDefault="00F75B6D" w:rsidP="00B05187">
      <w:pPr>
        <w:ind w:right="40"/>
        <w:jc w:val="both"/>
        <w:rPr>
          <w:rFonts w:ascii="Verdana" w:hAnsi="Verdana" w:cs="Century Gothic"/>
          <w:bCs/>
          <w:color w:val="000000"/>
          <w:sz w:val="20"/>
          <w:lang w:val="en-US"/>
        </w:rPr>
      </w:pPr>
    </w:p>
    <w:p w:rsidR="004F5278" w:rsidRPr="000A116D" w:rsidRDefault="004F5278" w:rsidP="00B05187">
      <w:pPr>
        <w:ind w:right="40"/>
        <w:jc w:val="both"/>
        <w:rPr>
          <w:rFonts w:ascii="Verdana" w:hAnsi="Verdana" w:cs="Century Gothic"/>
          <w:b/>
          <w:bCs/>
          <w:color w:val="000000"/>
          <w:sz w:val="20"/>
          <w:lang w:val="en-US"/>
        </w:rPr>
      </w:pPr>
      <w:r w:rsidRPr="000A116D">
        <w:rPr>
          <w:rFonts w:ascii="Verdana" w:hAnsi="Verdana" w:cs="Century Gothic"/>
          <w:b/>
          <w:bCs/>
          <w:color w:val="000000"/>
          <w:sz w:val="20"/>
          <w:lang w:val="en-US"/>
        </w:rPr>
        <w:t>THE INTER-AMERICAN COURT OF HUMAN RIGHTS,</w:t>
      </w:r>
    </w:p>
    <w:p w:rsidR="00F75B6D" w:rsidRPr="000A116D" w:rsidRDefault="004F5278" w:rsidP="00B05187">
      <w:pPr>
        <w:ind w:right="40"/>
        <w:jc w:val="both"/>
        <w:rPr>
          <w:rFonts w:ascii="Verdana" w:hAnsi="Verdana" w:cs="Century Gothic"/>
          <w:bCs/>
          <w:color w:val="000000"/>
          <w:sz w:val="20"/>
          <w:lang w:val="en-US"/>
        </w:rPr>
      </w:pPr>
      <w:r w:rsidRPr="000A116D">
        <w:rPr>
          <w:rFonts w:ascii="Verdana" w:hAnsi="Verdana" w:cs="Century Gothic"/>
          <w:bCs/>
          <w:color w:val="000000"/>
          <w:sz w:val="20"/>
          <w:lang w:val="en-US"/>
        </w:rPr>
        <w:t xml:space="preserve"> </w:t>
      </w:r>
    </w:p>
    <w:p w:rsidR="00F75B6D" w:rsidRPr="000A116D" w:rsidRDefault="004F5278" w:rsidP="00B05187">
      <w:pPr>
        <w:pStyle w:val="Textoindependiente"/>
        <w:spacing w:after="0"/>
        <w:jc w:val="both"/>
        <w:rPr>
          <w:rFonts w:ascii="Verdana" w:hAnsi="Verdana" w:cs="Century Gothic"/>
          <w:bCs/>
          <w:color w:val="000000"/>
          <w:sz w:val="20"/>
          <w:lang w:val="en-US"/>
        </w:rPr>
      </w:pPr>
      <w:r w:rsidRPr="000A116D">
        <w:rPr>
          <w:rFonts w:ascii="Verdana" w:hAnsi="Verdana" w:cs="Century Gothic"/>
          <w:bCs/>
          <w:color w:val="000000"/>
          <w:sz w:val="20"/>
          <w:lang w:val="en-US"/>
        </w:rPr>
        <w:t xml:space="preserve">Pursuant to Articles 12, 13, 19, and 25 of the Statute and Articles 4, 21, 31, and 39 of the Rules of Procedure, </w:t>
      </w:r>
    </w:p>
    <w:p w:rsidR="00F75B6D" w:rsidRPr="000A116D" w:rsidRDefault="00F75B6D" w:rsidP="00B05187">
      <w:pPr>
        <w:pStyle w:val="Textoindependiente"/>
        <w:spacing w:after="0"/>
        <w:rPr>
          <w:rFonts w:ascii="Verdana" w:hAnsi="Verdana" w:cs="Century Gothic"/>
          <w:bCs/>
          <w:color w:val="000000"/>
          <w:sz w:val="20"/>
          <w:lang w:val="en-US"/>
        </w:rPr>
      </w:pPr>
    </w:p>
    <w:p w:rsidR="00F75B6D" w:rsidRPr="000A116D" w:rsidRDefault="004E6A87" w:rsidP="00B05187">
      <w:pPr>
        <w:jc w:val="both"/>
        <w:rPr>
          <w:rFonts w:ascii="Verdana" w:hAnsi="Verdana" w:cs="Century Gothic"/>
          <w:b/>
          <w:bCs/>
          <w:color w:val="000000"/>
          <w:sz w:val="20"/>
          <w:lang w:val="en-US"/>
        </w:rPr>
      </w:pPr>
      <w:r w:rsidRPr="000A116D">
        <w:rPr>
          <w:rFonts w:ascii="Verdana" w:hAnsi="Verdana" w:cs="Century Gothic"/>
          <w:b/>
          <w:bCs/>
          <w:color w:val="000000"/>
          <w:sz w:val="20"/>
          <w:lang w:val="en-US"/>
        </w:rPr>
        <w:t>DECIDES TO</w:t>
      </w:r>
      <w:r w:rsidR="00F75B6D" w:rsidRPr="000A116D">
        <w:rPr>
          <w:rFonts w:ascii="Verdana" w:hAnsi="Verdana" w:cs="Century Gothic"/>
          <w:b/>
          <w:bCs/>
          <w:color w:val="000000"/>
          <w:sz w:val="20"/>
          <w:lang w:val="en-US"/>
        </w:rPr>
        <w:t>:</w:t>
      </w:r>
    </w:p>
    <w:p w:rsidR="00F75B6D" w:rsidRPr="000A116D" w:rsidRDefault="00F75B6D" w:rsidP="00B05187">
      <w:pPr>
        <w:jc w:val="both"/>
        <w:rPr>
          <w:rFonts w:ascii="Verdana" w:hAnsi="Verdana" w:cs="Century Gothic"/>
          <w:bCs/>
          <w:color w:val="000000"/>
          <w:sz w:val="20"/>
          <w:lang w:val="en-US"/>
        </w:rPr>
      </w:pPr>
    </w:p>
    <w:p w:rsidR="00F75B6D" w:rsidRPr="000A116D" w:rsidRDefault="007628FE" w:rsidP="007628FE">
      <w:pPr>
        <w:numPr>
          <w:ilvl w:val="0"/>
          <w:numId w:val="2"/>
        </w:numPr>
        <w:tabs>
          <w:tab w:val="clear" w:pos="705"/>
        </w:tabs>
        <w:ind w:left="0" w:firstLine="0"/>
        <w:jc w:val="both"/>
        <w:rPr>
          <w:rFonts w:ascii="Verdana" w:hAnsi="Verdana" w:cs="Century Gothic"/>
          <w:bCs/>
          <w:color w:val="000000"/>
          <w:sz w:val="20"/>
          <w:lang w:val="en-US"/>
        </w:rPr>
      </w:pPr>
      <w:r w:rsidRPr="000A116D">
        <w:rPr>
          <w:rFonts w:ascii="Verdana" w:hAnsi="Verdana" w:cs="Century Gothic"/>
          <w:bCs/>
          <w:color w:val="000000"/>
          <w:sz w:val="20"/>
          <w:lang w:val="en-US"/>
        </w:rPr>
        <w:t>Declare the global strike on the Court and the content of the brief to which the State refers (</w:t>
      </w:r>
      <w:r w:rsidRPr="000A116D">
        <w:rPr>
          <w:rFonts w:ascii="Verdana" w:hAnsi="Verdana" w:cs="Century Gothic"/>
          <w:bCs/>
          <w:i/>
          <w:color w:val="000000"/>
          <w:sz w:val="20"/>
          <w:lang w:val="en-US"/>
        </w:rPr>
        <w:t xml:space="preserve">supra </w:t>
      </w:r>
      <w:r w:rsidRPr="000A116D">
        <w:rPr>
          <w:rFonts w:ascii="Verdana" w:hAnsi="Verdana" w:cs="Century Gothic"/>
          <w:bCs/>
          <w:color w:val="000000"/>
          <w:sz w:val="20"/>
          <w:lang w:val="en-US"/>
        </w:rPr>
        <w:t>Considering clause six) to be manifestly inadmissible, reject the insulting statements used by the State in that brief and warn that all brief that contains such expressions will be returned to whoever submitted it without processing it.</w:t>
      </w:r>
    </w:p>
    <w:p w:rsidR="00521E37" w:rsidRPr="000A116D" w:rsidRDefault="00521E37" w:rsidP="00521E37">
      <w:pPr>
        <w:jc w:val="both"/>
        <w:rPr>
          <w:rFonts w:ascii="Verdana" w:hAnsi="Verdana" w:cs="Century Gothic"/>
          <w:bCs/>
          <w:color w:val="000000"/>
          <w:sz w:val="20"/>
          <w:lang w:val="en-US"/>
        </w:rPr>
      </w:pPr>
    </w:p>
    <w:p w:rsidR="00F75B6D" w:rsidRPr="000A116D" w:rsidRDefault="00521E37" w:rsidP="00B05187">
      <w:pPr>
        <w:numPr>
          <w:ilvl w:val="0"/>
          <w:numId w:val="2"/>
        </w:numPr>
        <w:tabs>
          <w:tab w:val="clear" w:pos="705"/>
        </w:tabs>
        <w:ind w:left="0" w:firstLine="0"/>
        <w:jc w:val="both"/>
        <w:rPr>
          <w:rFonts w:ascii="Verdana" w:hAnsi="Verdana" w:cs="Century Gothic"/>
          <w:bCs/>
          <w:color w:val="000000"/>
          <w:sz w:val="20"/>
          <w:lang w:val="en-US"/>
        </w:rPr>
      </w:pPr>
      <w:r w:rsidRPr="000A116D">
        <w:rPr>
          <w:rFonts w:ascii="Verdana" w:hAnsi="Verdana" w:cs="Century Gothic"/>
          <w:bCs/>
          <w:color w:val="000000"/>
          <w:sz w:val="20"/>
          <w:lang w:val="en-US"/>
        </w:rPr>
        <w:t>Declare that the allegat</w:t>
      </w:r>
      <w:r w:rsidR="00644F33" w:rsidRPr="000A116D">
        <w:rPr>
          <w:rFonts w:ascii="Verdana" w:hAnsi="Verdana" w:cs="Century Gothic"/>
          <w:bCs/>
          <w:color w:val="000000"/>
          <w:sz w:val="20"/>
          <w:lang w:val="en-US"/>
        </w:rPr>
        <w:t xml:space="preserve">ions of lack of impartiality </w:t>
      </w:r>
      <w:r w:rsidRPr="000A116D">
        <w:rPr>
          <w:rFonts w:ascii="Verdana" w:hAnsi="Verdana" w:cs="Century Gothic"/>
          <w:bCs/>
          <w:color w:val="000000"/>
          <w:sz w:val="20"/>
          <w:lang w:val="en-US"/>
        </w:rPr>
        <w:t xml:space="preserve">of some </w:t>
      </w:r>
      <w:r w:rsidR="00644F33" w:rsidRPr="000A116D">
        <w:rPr>
          <w:rFonts w:ascii="Verdana" w:hAnsi="Verdana" w:cs="Century Gothic"/>
          <w:bCs/>
          <w:color w:val="000000"/>
          <w:sz w:val="20"/>
          <w:lang w:val="en-US"/>
        </w:rPr>
        <w:t>Judges who make up</w:t>
      </w:r>
      <w:r w:rsidRPr="000A116D">
        <w:rPr>
          <w:rFonts w:ascii="Verdana" w:hAnsi="Verdana" w:cs="Century Gothic"/>
          <w:bCs/>
          <w:color w:val="000000"/>
          <w:sz w:val="20"/>
          <w:lang w:val="en-US"/>
        </w:rPr>
        <w:t xml:space="preserve"> the Court </w:t>
      </w:r>
      <w:r w:rsidR="00541BD5" w:rsidRPr="000A116D">
        <w:rPr>
          <w:rFonts w:ascii="Verdana" w:hAnsi="Verdana" w:cs="Century Gothic"/>
          <w:bCs/>
          <w:color w:val="000000"/>
          <w:sz w:val="20"/>
          <w:lang w:val="en-US"/>
        </w:rPr>
        <w:t xml:space="preserve">filed </w:t>
      </w:r>
      <w:r w:rsidRPr="000A116D">
        <w:rPr>
          <w:rFonts w:ascii="Verdana" w:hAnsi="Verdana" w:cs="Century Gothic"/>
          <w:bCs/>
          <w:color w:val="000000"/>
          <w:sz w:val="20"/>
          <w:lang w:val="en-US"/>
        </w:rPr>
        <w:t xml:space="preserve">by the State of Venezuela as a preliminary objection </w:t>
      </w:r>
      <w:r w:rsidR="00541BD5" w:rsidRPr="000A116D">
        <w:rPr>
          <w:rFonts w:ascii="Verdana" w:hAnsi="Verdana" w:cs="Century Gothic"/>
          <w:bCs/>
          <w:color w:val="000000"/>
          <w:sz w:val="20"/>
          <w:lang w:val="en-US"/>
        </w:rPr>
        <w:t>cannot be considered as such,</w:t>
      </w:r>
      <w:r w:rsidRPr="000A116D">
        <w:rPr>
          <w:rFonts w:ascii="Verdana" w:hAnsi="Verdana" w:cs="Century Gothic"/>
          <w:bCs/>
          <w:color w:val="000000"/>
          <w:sz w:val="20"/>
          <w:lang w:val="en-US"/>
        </w:rPr>
        <w:t xml:space="preserve"> in accordance with the </w:t>
      </w:r>
      <w:r w:rsidR="00541BD5" w:rsidRPr="000A116D">
        <w:rPr>
          <w:rFonts w:ascii="Verdana" w:hAnsi="Verdana" w:cs="Century Gothic"/>
          <w:bCs/>
          <w:color w:val="000000"/>
          <w:sz w:val="20"/>
          <w:lang w:val="en-US"/>
        </w:rPr>
        <w:t>Considering clause four of this Order</w:t>
      </w:r>
      <w:r w:rsidRPr="000A116D">
        <w:rPr>
          <w:rFonts w:ascii="Verdana" w:hAnsi="Verdana" w:cs="Century Gothic"/>
          <w:bCs/>
          <w:color w:val="000000"/>
          <w:sz w:val="20"/>
          <w:lang w:val="en-US"/>
        </w:rPr>
        <w:t>.</w:t>
      </w:r>
    </w:p>
    <w:p w:rsidR="00F415F3" w:rsidRPr="000A116D" w:rsidRDefault="00F415F3" w:rsidP="00F415F3">
      <w:pPr>
        <w:jc w:val="both"/>
        <w:rPr>
          <w:rFonts w:ascii="Verdana" w:hAnsi="Verdana"/>
          <w:sz w:val="20"/>
          <w:lang w:val="en-US"/>
        </w:rPr>
      </w:pPr>
    </w:p>
    <w:p w:rsidR="00F75B6D" w:rsidRPr="000A116D" w:rsidRDefault="00F415F3" w:rsidP="00B05187">
      <w:pPr>
        <w:numPr>
          <w:ilvl w:val="0"/>
          <w:numId w:val="2"/>
        </w:numPr>
        <w:tabs>
          <w:tab w:val="clear" w:pos="705"/>
        </w:tabs>
        <w:ind w:left="0" w:firstLine="0"/>
        <w:jc w:val="both"/>
        <w:rPr>
          <w:rFonts w:ascii="Verdana" w:hAnsi="Verdana"/>
          <w:sz w:val="20"/>
          <w:lang w:val="en-US"/>
        </w:rPr>
      </w:pPr>
      <w:r w:rsidRPr="000A116D">
        <w:rPr>
          <w:rFonts w:ascii="Verdana" w:hAnsi="Verdana"/>
          <w:sz w:val="20"/>
          <w:lang w:val="en-US"/>
        </w:rPr>
        <w:t>Declare inadmissible, as they do not refer to this case, the considerations made ​​b</w:t>
      </w:r>
      <w:r w:rsidR="002C009E" w:rsidRPr="000A116D">
        <w:rPr>
          <w:rFonts w:ascii="Verdana" w:hAnsi="Verdana"/>
          <w:sz w:val="20"/>
          <w:lang w:val="en-US"/>
        </w:rPr>
        <w:t>y the State in relation to the J</w:t>
      </w:r>
      <w:r w:rsidRPr="000A116D">
        <w:rPr>
          <w:rFonts w:ascii="Verdana" w:hAnsi="Verdana"/>
          <w:sz w:val="20"/>
          <w:lang w:val="en-US"/>
        </w:rPr>
        <w:t xml:space="preserve">udgment </w:t>
      </w:r>
      <w:r w:rsidR="002C009E" w:rsidRPr="000A116D">
        <w:rPr>
          <w:rFonts w:ascii="Verdana" w:hAnsi="Verdana"/>
          <w:sz w:val="20"/>
          <w:lang w:val="en-US"/>
        </w:rPr>
        <w:t>rendered</w:t>
      </w:r>
      <w:r w:rsidRPr="000A116D">
        <w:rPr>
          <w:rFonts w:ascii="Verdana" w:hAnsi="Verdana"/>
          <w:sz w:val="20"/>
          <w:lang w:val="en-US"/>
        </w:rPr>
        <w:t xml:space="preserve"> in the case </w:t>
      </w:r>
      <w:r w:rsidR="002C009E" w:rsidRPr="000A116D">
        <w:rPr>
          <w:rFonts w:ascii="Verdana" w:hAnsi="Verdana"/>
          <w:sz w:val="20"/>
          <w:lang w:val="en-US"/>
        </w:rPr>
        <w:t xml:space="preserve">of </w:t>
      </w:r>
      <w:r w:rsidR="002C009E" w:rsidRPr="000A116D">
        <w:rPr>
          <w:rFonts w:ascii="Verdana" w:hAnsi="Verdana"/>
          <w:i/>
          <w:sz w:val="20"/>
          <w:lang w:val="en-US"/>
        </w:rPr>
        <w:t>Uson Ramirez V</w:t>
      </w:r>
      <w:r w:rsidRPr="000A116D">
        <w:rPr>
          <w:rFonts w:ascii="Verdana" w:hAnsi="Verdana"/>
          <w:i/>
          <w:sz w:val="20"/>
          <w:lang w:val="en-US"/>
        </w:rPr>
        <w:t>. Venezuela</w:t>
      </w:r>
      <w:r w:rsidR="0067513F" w:rsidRPr="000A116D">
        <w:rPr>
          <w:rFonts w:ascii="Verdana" w:hAnsi="Verdana"/>
          <w:sz w:val="20"/>
          <w:lang w:val="en-US"/>
        </w:rPr>
        <w:t xml:space="preserve">, in accordance with that mentioned in </w:t>
      </w:r>
      <w:proofErr w:type="gramStart"/>
      <w:r w:rsidR="0067513F" w:rsidRPr="000A116D">
        <w:rPr>
          <w:rFonts w:ascii="Verdana" w:hAnsi="Verdana"/>
          <w:sz w:val="20"/>
          <w:lang w:val="en-US"/>
        </w:rPr>
        <w:t>Considering</w:t>
      </w:r>
      <w:proofErr w:type="gramEnd"/>
      <w:r w:rsidR="0067513F" w:rsidRPr="000A116D">
        <w:rPr>
          <w:rFonts w:ascii="Verdana" w:hAnsi="Verdana"/>
          <w:sz w:val="20"/>
          <w:lang w:val="en-US"/>
        </w:rPr>
        <w:t xml:space="preserve"> clause five of this Order</w:t>
      </w:r>
      <w:r w:rsidRPr="000A116D">
        <w:rPr>
          <w:rFonts w:ascii="Verdana" w:hAnsi="Verdana"/>
          <w:sz w:val="20"/>
          <w:lang w:val="en-US"/>
        </w:rPr>
        <w:t>.</w:t>
      </w:r>
    </w:p>
    <w:p w:rsidR="00484C36" w:rsidRPr="000A116D" w:rsidRDefault="00484C36" w:rsidP="00484C36">
      <w:pPr>
        <w:jc w:val="both"/>
        <w:rPr>
          <w:rFonts w:ascii="Verdana" w:hAnsi="Verdana"/>
          <w:sz w:val="20"/>
          <w:lang w:val="en-US"/>
        </w:rPr>
      </w:pPr>
    </w:p>
    <w:p w:rsidR="00F75B6D" w:rsidRPr="000A116D" w:rsidRDefault="00484C36" w:rsidP="00484C36">
      <w:pPr>
        <w:numPr>
          <w:ilvl w:val="0"/>
          <w:numId w:val="2"/>
        </w:numPr>
        <w:tabs>
          <w:tab w:val="clear" w:pos="705"/>
        </w:tabs>
        <w:ind w:left="0" w:firstLine="0"/>
        <w:jc w:val="both"/>
        <w:rPr>
          <w:rFonts w:ascii="Verdana" w:hAnsi="Verdana"/>
          <w:sz w:val="20"/>
          <w:lang w:val="en-US"/>
        </w:rPr>
      </w:pPr>
      <w:r w:rsidRPr="000A116D">
        <w:rPr>
          <w:rFonts w:ascii="Verdana" w:hAnsi="Verdana"/>
          <w:sz w:val="20"/>
          <w:lang w:val="en-US"/>
        </w:rPr>
        <w:t>Declare that the allegation regarding the lack of impartiality made ​​by the State in relation to the Judges Diego Garcia-Sayan and Manuel Ventura Robles is unfounded as they have not engaged in any of the statutory grounds for disqualification or performed any act which puts in question their impartiality, as indicated in Considering clauses 13 to 24 of this Order.</w:t>
      </w:r>
    </w:p>
    <w:p w:rsidR="00F74D9B" w:rsidRPr="000A116D" w:rsidRDefault="00F74D9B" w:rsidP="00F74D9B">
      <w:pPr>
        <w:jc w:val="both"/>
        <w:rPr>
          <w:rFonts w:ascii="Verdana" w:hAnsi="Verdana"/>
          <w:sz w:val="20"/>
          <w:lang w:val="en-US"/>
        </w:rPr>
      </w:pPr>
    </w:p>
    <w:p w:rsidR="00F74D9B" w:rsidRPr="000A116D" w:rsidRDefault="008E393C" w:rsidP="00F74D9B">
      <w:pPr>
        <w:numPr>
          <w:ilvl w:val="0"/>
          <w:numId w:val="2"/>
        </w:numPr>
        <w:tabs>
          <w:tab w:val="clear" w:pos="705"/>
        </w:tabs>
        <w:ind w:left="0" w:firstLine="0"/>
        <w:jc w:val="both"/>
        <w:rPr>
          <w:rFonts w:ascii="Verdana" w:hAnsi="Verdana"/>
          <w:sz w:val="20"/>
          <w:lang w:val="en-US"/>
        </w:rPr>
      </w:pPr>
      <w:r w:rsidRPr="000A116D">
        <w:rPr>
          <w:rFonts w:ascii="Verdana" w:hAnsi="Verdana"/>
          <w:sz w:val="20"/>
          <w:lang w:val="en-US"/>
        </w:rPr>
        <w:t>Declare</w:t>
      </w:r>
      <w:r w:rsidR="00F74D9B" w:rsidRPr="000A116D">
        <w:rPr>
          <w:rFonts w:ascii="Verdana" w:hAnsi="Verdana"/>
          <w:sz w:val="20"/>
          <w:lang w:val="en-US"/>
        </w:rPr>
        <w:t xml:space="preserve"> </w:t>
      </w:r>
      <w:r w:rsidR="00913C7F" w:rsidRPr="000A116D">
        <w:rPr>
          <w:rFonts w:ascii="Verdana" w:hAnsi="Verdana"/>
          <w:sz w:val="20"/>
          <w:lang w:val="en-US"/>
        </w:rPr>
        <w:t xml:space="preserve">the State’s </w:t>
      </w:r>
      <w:r w:rsidR="00F74D9B" w:rsidRPr="000A116D">
        <w:rPr>
          <w:rFonts w:ascii="Verdana" w:hAnsi="Verdana"/>
          <w:sz w:val="20"/>
          <w:lang w:val="en-US"/>
        </w:rPr>
        <w:t>allegations concerning the alleged lack of impartiality of Pablo Saavedra Alessandri, Secretary of the Tribunal</w:t>
      </w:r>
      <w:r w:rsidR="00913C7F" w:rsidRPr="000A116D">
        <w:rPr>
          <w:rFonts w:ascii="Verdana" w:hAnsi="Verdana"/>
          <w:sz w:val="20"/>
          <w:lang w:val="en-US"/>
        </w:rPr>
        <w:t xml:space="preserve"> inadmissible and unfounded,</w:t>
      </w:r>
      <w:r w:rsidR="00F74D9B" w:rsidRPr="000A116D">
        <w:rPr>
          <w:rFonts w:ascii="Verdana" w:hAnsi="Verdana"/>
          <w:sz w:val="20"/>
          <w:lang w:val="en-US"/>
        </w:rPr>
        <w:t xml:space="preserve"> in accordance </w:t>
      </w:r>
      <w:r w:rsidR="00913C7F" w:rsidRPr="000A116D">
        <w:rPr>
          <w:rFonts w:ascii="Verdana" w:hAnsi="Verdana"/>
          <w:sz w:val="20"/>
          <w:lang w:val="en-US"/>
        </w:rPr>
        <w:t xml:space="preserve">with that mentioned in Considering clause 25 of this Order. </w:t>
      </w:r>
    </w:p>
    <w:p w:rsidR="00F75B6D" w:rsidRPr="000A116D" w:rsidRDefault="00F75B6D" w:rsidP="00B05187">
      <w:pPr>
        <w:jc w:val="both"/>
        <w:rPr>
          <w:rFonts w:ascii="Verdana" w:hAnsi="Verdana"/>
          <w:sz w:val="20"/>
          <w:lang w:val="en-US"/>
        </w:rPr>
      </w:pPr>
    </w:p>
    <w:p w:rsidR="00F75B6D" w:rsidRPr="000A116D" w:rsidRDefault="0055228F" w:rsidP="00B05187">
      <w:pPr>
        <w:numPr>
          <w:ilvl w:val="0"/>
          <w:numId w:val="2"/>
        </w:numPr>
        <w:tabs>
          <w:tab w:val="clear" w:pos="705"/>
        </w:tabs>
        <w:ind w:left="0" w:firstLine="0"/>
        <w:jc w:val="both"/>
        <w:rPr>
          <w:rFonts w:ascii="Verdana" w:hAnsi="Verdana"/>
          <w:sz w:val="20"/>
          <w:lang w:val="en-US"/>
        </w:rPr>
      </w:pPr>
      <w:r w:rsidRPr="000A116D">
        <w:rPr>
          <w:rFonts w:ascii="Verdana" w:hAnsi="Verdana"/>
          <w:sz w:val="20"/>
          <w:lang w:val="en-US"/>
        </w:rPr>
        <w:t xml:space="preserve">Determine that the </w:t>
      </w:r>
      <w:proofErr w:type="gramStart"/>
      <w:r w:rsidRPr="000A116D">
        <w:rPr>
          <w:rFonts w:ascii="Verdana" w:hAnsi="Verdana"/>
          <w:sz w:val="20"/>
          <w:lang w:val="en-US"/>
        </w:rPr>
        <w:t>Court,</w:t>
      </w:r>
      <w:proofErr w:type="gramEnd"/>
      <w:r w:rsidRPr="000A116D">
        <w:rPr>
          <w:rFonts w:ascii="Verdana" w:hAnsi="Verdana"/>
          <w:sz w:val="20"/>
          <w:lang w:val="en-US"/>
        </w:rPr>
        <w:t xml:space="preserve"> composed of all of its members, continue hearing the case of </w:t>
      </w:r>
      <w:r w:rsidR="00D464C1" w:rsidRPr="000A116D">
        <w:rPr>
          <w:rFonts w:ascii="Verdana" w:hAnsi="Verdana"/>
          <w:i/>
          <w:sz w:val="20"/>
          <w:lang w:val="en-US"/>
        </w:rPr>
        <w:t xml:space="preserve">Granier </w:t>
      </w:r>
      <w:r w:rsidRPr="000A116D">
        <w:rPr>
          <w:rFonts w:ascii="Verdana" w:hAnsi="Verdana"/>
          <w:i/>
          <w:sz w:val="20"/>
          <w:lang w:val="en-US"/>
        </w:rPr>
        <w:t>et al.</w:t>
      </w:r>
      <w:r w:rsidR="00D464C1" w:rsidRPr="000A116D">
        <w:rPr>
          <w:rFonts w:ascii="Verdana" w:hAnsi="Verdana"/>
          <w:i/>
          <w:sz w:val="20"/>
          <w:lang w:val="en-US"/>
        </w:rPr>
        <w:t xml:space="preserve"> (Radio Caracas Televisión)</w:t>
      </w:r>
      <w:r w:rsidRPr="000A116D">
        <w:rPr>
          <w:rFonts w:ascii="Verdana" w:hAnsi="Verdana"/>
          <w:i/>
          <w:sz w:val="20"/>
          <w:lang w:val="en-US"/>
        </w:rPr>
        <w:t xml:space="preserve"> V</w:t>
      </w:r>
      <w:r w:rsidR="00F75B6D" w:rsidRPr="000A116D">
        <w:rPr>
          <w:rFonts w:ascii="Verdana" w:hAnsi="Verdana"/>
          <w:i/>
          <w:sz w:val="20"/>
          <w:lang w:val="en-US"/>
        </w:rPr>
        <w:t>. Venezuela</w:t>
      </w:r>
      <w:r w:rsidR="00F75B6D" w:rsidRPr="000A116D">
        <w:rPr>
          <w:rFonts w:ascii="Verdana" w:hAnsi="Verdana"/>
          <w:sz w:val="20"/>
          <w:lang w:val="en-US"/>
        </w:rPr>
        <w:t>.</w:t>
      </w:r>
    </w:p>
    <w:p w:rsidR="00F75B6D" w:rsidRPr="000A116D" w:rsidRDefault="00F75B6D" w:rsidP="00B05187">
      <w:pPr>
        <w:jc w:val="both"/>
        <w:rPr>
          <w:rFonts w:ascii="Verdana" w:hAnsi="Verdana"/>
          <w:sz w:val="20"/>
          <w:lang w:val="en-US"/>
        </w:rPr>
      </w:pPr>
    </w:p>
    <w:p w:rsidR="000810CB" w:rsidRPr="000A116D" w:rsidRDefault="0055228F" w:rsidP="00B05187">
      <w:pPr>
        <w:numPr>
          <w:ilvl w:val="0"/>
          <w:numId w:val="2"/>
        </w:numPr>
        <w:tabs>
          <w:tab w:val="clear" w:pos="705"/>
        </w:tabs>
        <w:ind w:left="0" w:firstLine="0"/>
        <w:jc w:val="both"/>
        <w:rPr>
          <w:rFonts w:ascii="Verdana" w:hAnsi="Verdana"/>
          <w:sz w:val="20"/>
          <w:lang w:val="en-US"/>
        </w:rPr>
      </w:pPr>
      <w:r w:rsidRPr="000A116D">
        <w:rPr>
          <w:rFonts w:ascii="Verdana" w:eastAsia="Times" w:hAnsi="Verdana"/>
          <w:sz w:val="20"/>
          <w:lang w:val="en-US"/>
        </w:rPr>
        <w:t>Provide that the Secretariat of the Court provide legal notice of this Order to the Inter-American Commission, the representatives of the alleged victims, and the Bolivarian Republic of Venezuela.</w:t>
      </w:r>
    </w:p>
    <w:p w:rsidR="006C3893" w:rsidRDefault="006C3893" w:rsidP="00CE61D8">
      <w:pPr>
        <w:spacing w:after="200" w:line="276" w:lineRule="auto"/>
        <w:rPr>
          <w:rFonts w:ascii="Verdana" w:hAnsi="Verdana"/>
          <w:sz w:val="20"/>
          <w:lang w:val="en-US"/>
        </w:rPr>
      </w:pPr>
    </w:p>
    <w:p w:rsidR="004F363F" w:rsidRPr="00081B28" w:rsidRDefault="004F363F" w:rsidP="004F363F">
      <w:pPr>
        <w:jc w:val="both"/>
        <w:rPr>
          <w:rFonts w:ascii="Verdana" w:hAnsi="Verdana"/>
          <w:sz w:val="20"/>
          <w:lang w:val="en-US"/>
        </w:rPr>
      </w:pPr>
    </w:p>
    <w:p w:rsidR="004F363F" w:rsidRPr="00081B28" w:rsidRDefault="004F363F" w:rsidP="004F363F">
      <w:pPr>
        <w:jc w:val="both"/>
        <w:rPr>
          <w:rFonts w:ascii="Verdana" w:hAnsi="Verdana"/>
          <w:sz w:val="20"/>
          <w:lang w:val="en-US"/>
        </w:rPr>
      </w:pPr>
    </w:p>
    <w:p w:rsidR="004F363F" w:rsidRDefault="004F363F" w:rsidP="004F363F">
      <w:pPr>
        <w:jc w:val="center"/>
        <w:rPr>
          <w:rFonts w:ascii="Verdana" w:hAnsi="Verdana"/>
          <w:sz w:val="20"/>
          <w:lang w:val="es-ES"/>
        </w:rPr>
      </w:pPr>
      <w:r>
        <w:rPr>
          <w:rFonts w:ascii="Verdana" w:hAnsi="Verdana"/>
          <w:sz w:val="20"/>
          <w:lang w:val="es-ES"/>
        </w:rPr>
        <w:t>Humberto Antonio Sierra Porto</w:t>
      </w:r>
    </w:p>
    <w:p w:rsidR="004F363F" w:rsidRPr="00370276" w:rsidRDefault="004F363F" w:rsidP="004F363F">
      <w:pPr>
        <w:jc w:val="center"/>
        <w:rPr>
          <w:rFonts w:ascii="Verdana" w:hAnsi="Verdana"/>
          <w:sz w:val="20"/>
          <w:lang w:val="es-ES"/>
        </w:rPr>
      </w:pPr>
      <w:r>
        <w:rPr>
          <w:rFonts w:ascii="Verdana" w:hAnsi="Verdana"/>
          <w:sz w:val="20"/>
          <w:lang w:val="es-ES"/>
        </w:rPr>
        <w:t>President</w:t>
      </w:r>
    </w:p>
    <w:p w:rsidR="004F363F" w:rsidRPr="00370276"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p>
    <w:p w:rsidR="004F363F"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r>
        <w:rPr>
          <w:rFonts w:ascii="Verdana" w:hAnsi="Verdana"/>
          <w:sz w:val="20"/>
          <w:lang w:val="es-ES"/>
        </w:rPr>
        <w:lastRenderedPageBreak/>
        <w:t>Roberto F. Caldas</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Alberto Pérez Pérez</w:t>
      </w:r>
    </w:p>
    <w:p w:rsidR="004F363F" w:rsidRDefault="004F363F" w:rsidP="004F363F">
      <w:pPr>
        <w:jc w:val="both"/>
        <w:rPr>
          <w:rFonts w:ascii="Verdana" w:hAnsi="Verdana"/>
          <w:sz w:val="20"/>
          <w:lang w:val="es-ES"/>
        </w:rPr>
      </w:pPr>
    </w:p>
    <w:p w:rsidR="004F363F" w:rsidRDefault="004F363F" w:rsidP="004F363F">
      <w:pPr>
        <w:jc w:val="both"/>
        <w:rPr>
          <w:rFonts w:ascii="Verdana" w:hAnsi="Verdana"/>
          <w:sz w:val="20"/>
          <w:lang w:val="es-ES"/>
        </w:rPr>
      </w:pPr>
    </w:p>
    <w:p w:rsidR="004F363F"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p>
    <w:p w:rsidR="004F363F" w:rsidRDefault="004F363F" w:rsidP="004F363F">
      <w:pPr>
        <w:jc w:val="both"/>
        <w:rPr>
          <w:rFonts w:ascii="Verdana" w:hAnsi="Verdana"/>
          <w:sz w:val="20"/>
          <w:lang w:val="es-ES"/>
        </w:rPr>
      </w:pPr>
    </w:p>
    <w:p w:rsidR="004F363F" w:rsidRDefault="004F363F" w:rsidP="004F363F">
      <w:pPr>
        <w:jc w:val="both"/>
        <w:rPr>
          <w:rFonts w:ascii="Verdana" w:hAnsi="Verdana"/>
          <w:sz w:val="20"/>
          <w:lang w:val="es-ES"/>
        </w:rPr>
      </w:pPr>
    </w:p>
    <w:p w:rsidR="004F363F" w:rsidRPr="00370276" w:rsidRDefault="004F363F" w:rsidP="004F363F">
      <w:pPr>
        <w:rPr>
          <w:rFonts w:ascii="Verdana" w:hAnsi="Verdana"/>
          <w:sz w:val="20"/>
          <w:lang w:val="es-ES"/>
        </w:rPr>
      </w:pPr>
      <w:r>
        <w:rPr>
          <w:rFonts w:ascii="Verdana" w:hAnsi="Verdana"/>
          <w:sz w:val="20"/>
          <w:lang w:val="es-ES"/>
        </w:rPr>
        <w:t>Eduardo Vio Grossi</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w:t>
      </w:r>
      <w:r w:rsidRPr="00EA5416">
        <w:rPr>
          <w:rFonts w:ascii="Verdana" w:hAnsi="Verdana"/>
          <w:sz w:val="20"/>
          <w:lang w:val="es-ES"/>
        </w:rPr>
        <w:t xml:space="preserve"> </w:t>
      </w:r>
      <w:r>
        <w:rPr>
          <w:rFonts w:ascii="Verdana" w:hAnsi="Verdana"/>
          <w:sz w:val="20"/>
          <w:lang w:val="es-ES"/>
        </w:rPr>
        <w:t>Eduardo Ferrer Mac-Gregor Poisot</w:t>
      </w:r>
    </w:p>
    <w:p w:rsidR="004F363F" w:rsidRDefault="004F363F" w:rsidP="004F363F">
      <w:pPr>
        <w:jc w:val="both"/>
        <w:rPr>
          <w:rFonts w:ascii="Verdana" w:hAnsi="Verdana"/>
          <w:sz w:val="20"/>
          <w:lang w:val="es-ES"/>
        </w:rPr>
      </w:pPr>
    </w:p>
    <w:p w:rsidR="004F363F" w:rsidRDefault="004F363F" w:rsidP="004F363F">
      <w:pPr>
        <w:jc w:val="both"/>
        <w:rPr>
          <w:rFonts w:ascii="Verdana" w:hAnsi="Verdana"/>
          <w:sz w:val="20"/>
          <w:lang w:val="es-ES"/>
        </w:rPr>
      </w:pPr>
    </w:p>
    <w:p w:rsidR="004F363F" w:rsidRDefault="004F363F" w:rsidP="004F363F">
      <w:pPr>
        <w:jc w:val="both"/>
        <w:rPr>
          <w:rFonts w:ascii="Verdana" w:hAnsi="Verdana"/>
          <w:sz w:val="20"/>
          <w:lang w:val="es-ES"/>
        </w:rPr>
      </w:pPr>
    </w:p>
    <w:p w:rsidR="004F363F" w:rsidRDefault="004F363F" w:rsidP="004F363F">
      <w:pPr>
        <w:jc w:val="both"/>
        <w:rPr>
          <w:rFonts w:ascii="Verdana" w:hAnsi="Verdana"/>
          <w:sz w:val="20"/>
          <w:lang w:val="es-CR"/>
        </w:rPr>
      </w:pPr>
    </w:p>
    <w:p w:rsidR="004F363F" w:rsidRDefault="004F363F" w:rsidP="004F363F">
      <w:pPr>
        <w:jc w:val="both"/>
        <w:rPr>
          <w:rFonts w:ascii="Verdana" w:hAnsi="Verdana"/>
          <w:sz w:val="20"/>
          <w:lang w:val="es-CR"/>
        </w:rPr>
      </w:pPr>
    </w:p>
    <w:p w:rsidR="004F363F" w:rsidRPr="00370276" w:rsidRDefault="004F363F" w:rsidP="004F363F">
      <w:pPr>
        <w:jc w:val="both"/>
        <w:rPr>
          <w:rFonts w:ascii="Verdana" w:hAnsi="Verdana"/>
          <w:sz w:val="20"/>
          <w:lang w:val="es-ES"/>
        </w:rPr>
      </w:pPr>
    </w:p>
    <w:p w:rsidR="004F363F" w:rsidRPr="00370276" w:rsidRDefault="004F363F" w:rsidP="004F363F">
      <w:pPr>
        <w:jc w:val="center"/>
        <w:rPr>
          <w:rFonts w:ascii="Verdana" w:hAnsi="Verdana"/>
          <w:sz w:val="20"/>
          <w:lang w:val="es-ES"/>
        </w:rPr>
      </w:pPr>
      <w:r>
        <w:rPr>
          <w:rFonts w:ascii="Verdana" w:hAnsi="Verdana"/>
          <w:sz w:val="20"/>
          <w:lang w:val="es-ES"/>
        </w:rPr>
        <w:t>Emilia Segares Rodríguez</w:t>
      </w:r>
    </w:p>
    <w:p w:rsidR="004F363F" w:rsidRPr="00370276" w:rsidRDefault="004F363F" w:rsidP="004F363F">
      <w:pPr>
        <w:jc w:val="center"/>
        <w:rPr>
          <w:rFonts w:ascii="Verdana" w:hAnsi="Verdana"/>
          <w:sz w:val="20"/>
          <w:lang w:val="es-ES"/>
        </w:rPr>
      </w:pPr>
      <w:r>
        <w:rPr>
          <w:rFonts w:ascii="Verdana" w:hAnsi="Verdana"/>
          <w:sz w:val="20"/>
          <w:lang w:val="es-ES"/>
        </w:rPr>
        <w:t>Deputy Secretary</w:t>
      </w:r>
    </w:p>
    <w:p w:rsidR="004F363F" w:rsidRPr="00370276" w:rsidRDefault="004F363F" w:rsidP="004F363F">
      <w:pPr>
        <w:rPr>
          <w:rFonts w:ascii="Verdana" w:hAnsi="Verdana"/>
          <w:sz w:val="20"/>
          <w:lang w:val="es-ES"/>
        </w:rPr>
      </w:pPr>
    </w:p>
    <w:p w:rsidR="004F363F" w:rsidRDefault="004F363F" w:rsidP="004F363F">
      <w:pPr>
        <w:pStyle w:val="Textonotapie"/>
        <w:rPr>
          <w:rFonts w:ascii="Verdana" w:hAnsi="Verdana"/>
          <w:lang w:val="es-ES"/>
        </w:rPr>
      </w:pPr>
    </w:p>
    <w:p w:rsidR="004F363F" w:rsidRDefault="004F363F" w:rsidP="004F363F">
      <w:pPr>
        <w:pStyle w:val="Textonotapie"/>
        <w:rPr>
          <w:rFonts w:ascii="Verdana" w:hAnsi="Verdana"/>
          <w:lang w:val="es-ES"/>
        </w:rPr>
      </w:pPr>
    </w:p>
    <w:p w:rsidR="004F363F" w:rsidRPr="00370276" w:rsidRDefault="004F363F" w:rsidP="004F363F">
      <w:pPr>
        <w:pStyle w:val="Textonotapie"/>
        <w:rPr>
          <w:rFonts w:ascii="Verdana" w:hAnsi="Verdana"/>
          <w:lang w:val="es-ES"/>
        </w:rPr>
      </w:pPr>
    </w:p>
    <w:p w:rsidR="004F363F" w:rsidRPr="00370276" w:rsidRDefault="004F363F" w:rsidP="004F363F">
      <w:pPr>
        <w:jc w:val="both"/>
        <w:rPr>
          <w:rFonts w:ascii="Verdana" w:hAnsi="Verdana"/>
          <w:sz w:val="20"/>
          <w:lang w:val="es-ES"/>
        </w:rPr>
      </w:pPr>
      <w:r>
        <w:rPr>
          <w:rFonts w:ascii="Verdana" w:hAnsi="Verdana"/>
          <w:sz w:val="20"/>
          <w:lang w:val="es-ES"/>
        </w:rPr>
        <w:t>So ordered</w:t>
      </w:r>
      <w:r w:rsidRPr="00370276">
        <w:rPr>
          <w:rFonts w:ascii="Verdana" w:hAnsi="Verdana"/>
          <w:sz w:val="20"/>
          <w:lang w:val="es-ES"/>
        </w:rPr>
        <w:t>,</w:t>
      </w:r>
    </w:p>
    <w:p w:rsidR="004F363F" w:rsidRPr="00370276"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p>
    <w:p w:rsidR="004F363F" w:rsidRPr="001510B7" w:rsidRDefault="004F363F" w:rsidP="004F363F">
      <w:pPr>
        <w:jc w:val="both"/>
        <w:rPr>
          <w:rFonts w:ascii="Verdana" w:hAnsi="Verdana"/>
          <w:sz w:val="20"/>
          <w:lang w:val="es-CR"/>
        </w:rPr>
      </w:pPr>
    </w:p>
    <w:p w:rsidR="004F363F" w:rsidRDefault="004F363F" w:rsidP="004F363F">
      <w:pPr>
        <w:ind w:left="5040"/>
        <w:jc w:val="center"/>
        <w:rPr>
          <w:rFonts w:ascii="Verdana" w:hAnsi="Verdana"/>
          <w:sz w:val="20"/>
          <w:lang w:val="es-ES"/>
        </w:rPr>
      </w:pPr>
      <w:r>
        <w:rPr>
          <w:rFonts w:ascii="Verdana" w:hAnsi="Verdana"/>
          <w:sz w:val="20"/>
          <w:lang w:val="es-ES"/>
        </w:rPr>
        <w:t>Humberto Antonio Sierra Porto</w:t>
      </w:r>
    </w:p>
    <w:p w:rsidR="004F363F" w:rsidRPr="00370276" w:rsidRDefault="004F363F" w:rsidP="004F363F">
      <w:pPr>
        <w:ind w:left="5040"/>
        <w:jc w:val="center"/>
        <w:rPr>
          <w:rFonts w:ascii="Verdana" w:hAnsi="Verdana"/>
          <w:sz w:val="20"/>
          <w:lang w:val="es-ES"/>
        </w:rPr>
      </w:pPr>
      <w:r>
        <w:rPr>
          <w:rFonts w:ascii="Verdana" w:hAnsi="Verdana"/>
          <w:sz w:val="20"/>
          <w:lang w:val="es-ES"/>
        </w:rPr>
        <w:t>President</w:t>
      </w:r>
    </w:p>
    <w:p w:rsidR="004F363F" w:rsidRPr="00370276"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p>
    <w:p w:rsidR="004F363F" w:rsidRPr="00370276" w:rsidRDefault="004F363F" w:rsidP="004F363F">
      <w:pPr>
        <w:jc w:val="both"/>
        <w:rPr>
          <w:rFonts w:ascii="Verdana" w:hAnsi="Verdana"/>
          <w:sz w:val="20"/>
          <w:lang w:val="es-ES"/>
        </w:rPr>
      </w:pPr>
      <w:r>
        <w:rPr>
          <w:rFonts w:ascii="Verdana" w:hAnsi="Verdana"/>
          <w:sz w:val="20"/>
          <w:lang w:val="es-ES"/>
        </w:rPr>
        <w:t>Emilia Segares Rodríguez</w:t>
      </w:r>
    </w:p>
    <w:p w:rsidR="004F363F" w:rsidRPr="00507746" w:rsidRDefault="004F363F" w:rsidP="004F363F">
      <w:pPr>
        <w:jc w:val="both"/>
        <w:rPr>
          <w:rFonts w:ascii="Verdana" w:hAnsi="Verdana"/>
          <w:sz w:val="20"/>
          <w:lang w:val="es-CR"/>
        </w:rPr>
      </w:pPr>
      <w:r>
        <w:rPr>
          <w:rFonts w:ascii="Verdana" w:hAnsi="Verdana"/>
          <w:sz w:val="20"/>
          <w:lang w:val="es-ES"/>
        </w:rPr>
        <w:t xml:space="preserve">     Deputy Secretary</w:t>
      </w:r>
    </w:p>
    <w:p w:rsidR="004F363F" w:rsidRDefault="004F363F" w:rsidP="004F363F">
      <w:pPr>
        <w:rPr>
          <w:rFonts w:ascii="Verdana" w:hAnsi="Verdana"/>
          <w:sz w:val="20"/>
          <w:lang w:val="es-ES"/>
        </w:rPr>
      </w:pPr>
    </w:p>
    <w:p w:rsidR="004F363F" w:rsidRDefault="004F363F" w:rsidP="004F363F">
      <w:pPr>
        <w:rPr>
          <w:rFonts w:ascii="Verdana" w:hAnsi="Verdana"/>
          <w:sz w:val="20"/>
          <w:lang w:val="es-ES"/>
        </w:rPr>
      </w:pPr>
    </w:p>
    <w:p w:rsidR="004F363F" w:rsidRPr="000A116D" w:rsidRDefault="004F363F" w:rsidP="00CE61D8">
      <w:pPr>
        <w:spacing w:after="200" w:line="276" w:lineRule="auto"/>
        <w:rPr>
          <w:rFonts w:ascii="Verdana" w:hAnsi="Verdana"/>
          <w:sz w:val="20"/>
          <w:lang w:val="en-US"/>
        </w:rPr>
      </w:pPr>
    </w:p>
    <w:sectPr w:rsidR="004F363F" w:rsidRPr="000A116D" w:rsidSect="000810CB">
      <w:headerReference w:type="even" r:id="rId7"/>
      <w:headerReference w:type="default" r:id="rId8"/>
      <w:footerReference w:type="default" r:id="rId9"/>
      <w:headerReference w:type="first" r:id="rId10"/>
      <w:pgSz w:w="12240" w:h="15840" w:code="1"/>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785" w:rsidRDefault="001C3785" w:rsidP="00F75B6D">
      <w:r>
        <w:separator/>
      </w:r>
    </w:p>
  </w:endnote>
  <w:endnote w:type="continuationSeparator" w:id="0">
    <w:p w:rsidR="001C3785" w:rsidRDefault="001C3785" w:rsidP="00F75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9B9" w:rsidRDefault="002D6F79">
    <w:pPr>
      <w:pStyle w:val="Piedepgina"/>
      <w:jc w:val="center"/>
    </w:pPr>
    <w:r w:rsidRPr="008A09B9">
      <w:rPr>
        <w:rFonts w:ascii="Verdana" w:hAnsi="Verdana"/>
        <w:sz w:val="20"/>
      </w:rPr>
      <w:fldChar w:fldCharType="begin"/>
    </w:r>
    <w:r w:rsidR="008A09B9" w:rsidRPr="008A09B9">
      <w:rPr>
        <w:rFonts w:ascii="Verdana" w:hAnsi="Verdana"/>
        <w:sz w:val="20"/>
      </w:rPr>
      <w:instrText xml:space="preserve"> PAGE   \* MERGEFORMAT </w:instrText>
    </w:r>
    <w:r w:rsidRPr="008A09B9">
      <w:rPr>
        <w:rFonts w:ascii="Verdana" w:hAnsi="Verdana"/>
        <w:sz w:val="20"/>
      </w:rPr>
      <w:fldChar w:fldCharType="separate"/>
    </w:r>
    <w:r w:rsidR="00193A8E">
      <w:rPr>
        <w:rFonts w:ascii="Verdana" w:hAnsi="Verdana"/>
        <w:noProof/>
        <w:sz w:val="20"/>
      </w:rPr>
      <w:t>6</w:t>
    </w:r>
    <w:r w:rsidRPr="008A09B9">
      <w:rPr>
        <w:rFonts w:ascii="Verdana" w:hAnsi="Verdana"/>
        <w:sz w:val="20"/>
      </w:rPr>
      <w:fldChar w:fldCharType="end"/>
    </w:r>
  </w:p>
  <w:p w:rsidR="008A09B9" w:rsidRDefault="008A09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785" w:rsidRDefault="001C3785" w:rsidP="00F75B6D">
      <w:r>
        <w:separator/>
      </w:r>
    </w:p>
  </w:footnote>
  <w:footnote w:type="continuationSeparator" w:id="0">
    <w:p w:rsidR="001C3785" w:rsidRDefault="001C3785" w:rsidP="00F75B6D">
      <w:r>
        <w:continuationSeparator/>
      </w:r>
    </w:p>
  </w:footnote>
  <w:footnote w:id="1">
    <w:p w:rsidR="00F74D9B" w:rsidRPr="0099353C" w:rsidRDefault="00F74D9B" w:rsidP="00F9596F">
      <w:pPr>
        <w:pStyle w:val="Textonotapie"/>
        <w:spacing w:after="120"/>
        <w:jc w:val="both"/>
        <w:rPr>
          <w:rFonts w:ascii="Verdana" w:hAnsi="Verdana"/>
          <w:sz w:val="16"/>
          <w:szCs w:val="16"/>
          <w:lang w:val="en-US"/>
        </w:rPr>
      </w:pPr>
      <w:r w:rsidRPr="0099353C">
        <w:rPr>
          <w:rStyle w:val="Refdenotaalpie"/>
          <w:rFonts w:ascii="Verdana" w:hAnsi="Verdana"/>
          <w:sz w:val="16"/>
          <w:szCs w:val="16"/>
          <w:lang w:val="en-US"/>
        </w:rPr>
        <w:footnoteRef/>
      </w:r>
      <w:r w:rsidRPr="004F363F">
        <w:rPr>
          <w:rFonts w:ascii="Verdana" w:hAnsi="Verdana"/>
          <w:sz w:val="16"/>
          <w:szCs w:val="16"/>
          <w:lang w:val="es-CR"/>
        </w:rPr>
        <w:t xml:space="preserve"> </w:t>
      </w:r>
      <w:r w:rsidRPr="004F363F">
        <w:rPr>
          <w:rFonts w:ascii="Verdana" w:hAnsi="Verdana"/>
          <w:sz w:val="16"/>
          <w:szCs w:val="16"/>
          <w:lang w:val="es-CR"/>
        </w:rPr>
        <w:tab/>
      </w:r>
      <w:r w:rsidR="0099353C" w:rsidRPr="004F363F">
        <w:rPr>
          <w:rFonts w:ascii="Verdana" w:eastAsia="Times New Roman" w:hAnsi="Verdana" w:cs="Courier New"/>
          <w:i/>
          <w:sz w:val="16"/>
          <w:szCs w:val="16"/>
          <w:lang w:val="es-CR" w:eastAsia="es-ES"/>
        </w:rPr>
        <w:t xml:space="preserve">Cf. Case of </w:t>
      </w:r>
      <w:r w:rsidRPr="004F363F">
        <w:rPr>
          <w:rFonts w:ascii="Verdana" w:eastAsia="Times New Roman" w:hAnsi="Verdana" w:cs="Courier New"/>
          <w:i/>
          <w:sz w:val="16"/>
          <w:szCs w:val="16"/>
          <w:lang w:val="es-CR" w:eastAsia="es-ES"/>
        </w:rPr>
        <w:t xml:space="preserve">Las Palmeras </w:t>
      </w:r>
      <w:r w:rsidR="0099353C" w:rsidRPr="004F363F">
        <w:rPr>
          <w:rFonts w:ascii="Verdana" w:eastAsia="Times New Roman" w:hAnsi="Verdana" w:cs="Courier New"/>
          <w:i/>
          <w:sz w:val="16"/>
          <w:szCs w:val="16"/>
          <w:lang w:val="es-CR" w:eastAsia="es-ES"/>
        </w:rPr>
        <w:t>V</w:t>
      </w:r>
      <w:r w:rsidRPr="004F363F">
        <w:rPr>
          <w:rFonts w:ascii="Verdana" w:eastAsia="Times New Roman" w:hAnsi="Verdana" w:cs="Courier New"/>
          <w:i/>
          <w:sz w:val="16"/>
          <w:szCs w:val="16"/>
          <w:lang w:val="es-CR" w:eastAsia="es-ES"/>
        </w:rPr>
        <w:t xml:space="preserve">. Colombia. </w:t>
      </w:r>
      <w:proofErr w:type="gramStart"/>
      <w:r w:rsidR="0099353C">
        <w:rPr>
          <w:rFonts w:ascii="Verdana" w:eastAsia="Times New Roman" w:hAnsi="Verdana" w:cs="Courier New"/>
          <w:i/>
          <w:sz w:val="16"/>
          <w:szCs w:val="16"/>
          <w:lang w:val="en-US" w:eastAsia="es-ES"/>
        </w:rPr>
        <w:t>Preliminary Objections</w:t>
      </w:r>
      <w:r w:rsidRPr="0099353C">
        <w:rPr>
          <w:rFonts w:ascii="Verdana" w:eastAsia="Times New Roman" w:hAnsi="Verdana" w:cs="Courier New"/>
          <w:i/>
          <w:sz w:val="16"/>
          <w:szCs w:val="16"/>
          <w:lang w:val="en-US" w:eastAsia="es-ES"/>
        </w:rPr>
        <w:t>.</w:t>
      </w:r>
      <w:proofErr w:type="gramEnd"/>
      <w:r w:rsidRPr="0099353C">
        <w:rPr>
          <w:rFonts w:ascii="Verdana" w:eastAsia="Times New Roman" w:hAnsi="Verdana" w:cs="Courier New"/>
          <w:sz w:val="16"/>
          <w:szCs w:val="16"/>
          <w:lang w:val="en-US" w:eastAsia="es-ES"/>
        </w:rPr>
        <w:t xml:space="preserve"> </w:t>
      </w:r>
      <w:r w:rsidR="0099353C">
        <w:rPr>
          <w:rFonts w:ascii="Verdana" w:eastAsia="Times New Roman" w:hAnsi="Verdana" w:cs="Courier New"/>
          <w:sz w:val="16"/>
          <w:szCs w:val="16"/>
          <w:lang w:val="en-US" w:eastAsia="es-ES"/>
        </w:rPr>
        <w:t>Judgment of</w:t>
      </w:r>
      <w:r w:rsidRPr="0099353C">
        <w:rPr>
          <w:rFonts w:ascii="Verdana" w:eastAsia="Times New Roman" w:hAnsi="Verdana" w:cs="Courier New"/>
          <w:sz w:val="16"/>
          <w:szCs w:val="16"/>
          <w:lang w:val="en-US" w:eastAsia="es-ES"/>
        </w:rPr>
        <w:t xml:space="preserve"> </w:t>
      </w:r>
      <w:r w:rsidR="0099353C">
        <w:rPr>
          <w:rFonts w:ascii="Verdana" w:eastAsia="Times New Roman" w:hAnsi="Verdana" w:cs="Courier New"/>
          <w:sz w:val="16"/>
          <w:szCs w:val="16"/>
          <w:lang w:val="en-US" w:eastAsia="es-ES"/>
        </w:rPr>
        <w:t xml:space="preserve">February </w:t>
      </w:r>
      <w:r w:rsidRPr="0099353C">
        <w:rPr>
          <w:rFonts w:ascii="Verdana" w:eastAsia="Times New Roman" w:hAnsi="Verdana" w:cs="Courier New"/>
          <w:sz w:val="16"/>
          <w:szCs w:val="16"/>
          <w:lang w:val="en-US" w:eastAsia="es-ES"/>
        </w:rPr>
        <w:t>4</w:t>
      </w:r>
      <w:r w:rsidR="0099353C">
        <w:rPr>
          <w:rFonts w:ascii="Verdana" w:eastAsia="Times New Roman" w:hAnsi="Verdana" w:cs="Courier New"/>
          <w:sz w:val="16"/>
          <w:szCs w:val="16"/>
          <w:lang w:val="en-US" w:eastAsia="es-ES"/>
        </w:rPr>
        <w:t>,</w:t>
      </w:r>
      <w:r w:rsidRPr="0099353C">
        <w:rPr>
          <w:rFonts w:ascii="Verdana" w:eastAsia="Times New Roman" w:hAnsi="Verdana" w:cs="Courier New"/>
          <w:sz w:val="16"/>
          <w:szCs w:val="16"/>
          <w:lang w:val="en-US" w:eastAsia="es-ES"/>
        </w:rPr>
        <w:t xml:space="preserve"> 2000. </w:t>
      </w:r>
      <w:r w:rsidR="0099353C">
        <w:rPr>
          <w:rFonts w:ascii="Verdana" w:eastAsia="Times New Roman" w:hAnsi="Verdana" w:cs="Courier New"/>
          <w:sz w:val="16"/>
          <w:szCs w:val="16"/>
          <w:lang w:val="en-US" w:eastAsia="es-ES"/>
        </w:rPr>
        <w:t xml:space="preserve">Series </w:t>
      </w:r>
      <w:r w:rsidRPr="0099353C">
        <w:rPr>
          <w:rFonts w:ascii="Verdana" w:eastAsia="Times New Roman" w:hAnsi="Verdana" w:cs="Courier New"/>
          <w:sz w:val="16"/>
          <w:szCs w:val="16"/>
          <w:lang w:val="en-US" w:eastAsia="es-ES"/>
        </w:rPr>
        <w:t xml:space="preserve">C No. 67, </w:t>
      </w:r>
      <w:r w:rsidR="0099353C">
        <w:rPr>
          <w:rFonts w:ascii="Verdana" w:eastAsia="Times New Roman" w:hAnsi="Verdana" w:cs="Courier New"/>
          <w:sz w:val="16"/>
          <w:szCs w:val="16"/>
          <w:lang w:val="en-US" w:eastAsia="es-ES"/>
        </w:rPr>
        <w:t>para</w:t>
      </w:r>
      <w:r w:rsidRPr="0099353C">
        <w:rPr>
          <w:rFonts w:ascii="Verdana" w:eastAsia="Times New Roman" w:hAnsi="Verdana" w:cs="Courier New"/>
          <w:sz w:val="16"/>
          <w:szCs w:val="16"/>
          <w:lang w:val="en-US" w:eastAsia="es-ES"/>
        </w:rPr>
        <w:t xml:space="preserve">. </w:t>
      </w:r>
      <w:proofErr w:type="gramStart"/>
      <w:r w:rsidRPr="0099353C">
        <w:rPr>
          <w:rFonts w:ascii="Verdana" w:eastAsia="Times New Roman" w:hAnsi="Verdana" w:cs="Courier New"/>
          <w:sz w:val="16"/>
          <w:szCs w:val="16"/>
          <w:lang w:val="en-US" w:eastAsia="es-ES"/>
        </w:rPr>
        <w:t xml:space="preserve">34 </w:t>
      </w:r>
      <w:r w:rsidR="00535BF4">
        <w:rPr>
          <w:rFonts w:ascii="Verdana" w:eastAsia="Times New Roman" w:hAnsi="Verdana" w:cs="Courier New"/>
          <w:sz w:val="16"/>
          <w:szCs w:val="16"/>
          <w:lang w:val="en-US" w:eastAsia="es-ES"/>
        </w:rPr>
        <w:t>and</w:t>
      </w:r>
      <w:r w:rsidRPr="0099353C">
        <w:rPr>
          <w:rFonts w:ascii="Verdana" w:eastAsia="Times New Roman" w:hAnsi="Verdana" w:cs="Courier New"/>
          <w:sz w:val="16"/>
          <w:szCs w:val="16"/>
          <w:lang w:val="en-US" w:eastAsia="es-ES"/>
        </w:rPr>
        <w:t xml:space="preserve"> </w:t>
      </w:r>
      <w:r w:rsidR="0099353C">
        <w:rPr>
          <w:rFonts w:ascii="Verdana" w:eastAsia="Times New Roman" w:hAnsi="Verdana" w:cs="Courier New"/>
          <w:i/>
          <w:sz w:val="16"/>
          <w:szCs w:val="16"/>
          <w:lang w:val="en-US" w:eastAsia="es-ES"/>
        </w:rPr>
        <w:t xml:space="preserve">Case of </w:t>
      </w:r>
      <w:r w:rsidRPr="0099353C">
        <w:rPr>
          <w:rFonts w:ascii="Verdana" w:eastAsia="Times New Roman" w:hAnsi="Verdana" w:cs="Courier New"/>
          <w:i/>
          <w:sz w:val="16"/>
          <w:szCs w:val="16"/>
          <w:lang w:val="en-US" w:eastAsia="es-ES"/>
        </w:rPr>
        <w:t xml:space="preserve">Vélez Restrepo </w:t>
      </w:r>
      <w:r w:rsidR="00AE4C3D">
        <w:rPr>
          <w:rFonts w:ascii="Verdana" w:eastAsia="Times New Roman" w:hAnsi="Verdana" w:cs="Courier New"/>
          <w:i/>
          <w:sz w:val="16"/>
          <w:szCs w:val="16"/>
          <w:lang w:val="en-US" w:eastAsia="es-ES"/>
        </w:rPr>
        <w:t xml:space="preserve">and Family </w:t>
      </w:r>
      <w:r w:rsidR="0099353C">
        <w:rPr>
          <w:rFonts w:ascii="Verdana" w:eastAsia="Times New Roman" w:hAnsi="Verdana" w:cs="Courier New"/>
          <w:i/>
          <w:sz w:val="16"/>
          <w:szCs w:val="16"/>
          <w:lang w:val="en-US" w:eastAsia="es-ES"/>
        </w:rPr>
        <w:t>V</w:t>
      </w:r>
      <w:r w:rsidRPr="0099353C">
        <w:rPr>
          <w:rFonts w:ascii="Verdana" w:eastAsia="Times New Roman" w:hAnsi="Verdana" w:cs="Courier New"/>
          <w:i/>
          <w:sz w:val="16"/>
          <w:szCs w:val="16"/>
          <w:lang w:val="en-US" w:eastAsia="es-ES"/>
        </w:rPr>
        <w:t>. Colombia.</w:t>
      </w:r>
      <w:proofErr w:type="gramEnd"/>
      <w:r w:rsidRPr="0099353C">
        <w:rPr>
          <w:rFonts w:ascii="Verdana" w:eastAsia="Times New Roman" w:hAnsi="Verdana" w:cs="Courier New"/>
          <w:i/>
          <w:sz w:val="16"/>
          <w:szCs w:val="16"/>
          <w:lang w:val="en-US" w:eastAsia="es-ES"/>
        </w:rPr>
        <w:t xml:space="preserve"> </w:t>
      </w:r>
      <w:proofErr w:type="gramStart"/>
      <w:r w:rsidR="008A7CC3">
        <w:rPr>
          <w:rFonts w:ascii="Verdana" w:eastAsia="Times New Roman" w:hAnsi="Verdana" w:cs="Courier New"/>
          <w:i/>
          <w:sz w:val="16"/>
          <w:szCs w:val="16"/>
          <w:lang w:val="en-US" w:eastAsia="es-ES"/>
        </w:rPr>
        <w:t>Preliminary Objection</w:t>
      </w:r>
      <w:r w:rsidRPr="0099353C">
        <w:rPr>
          <w:rFonts w:ascii="Verdana" w:eastAsia="Times New Roman" w:hAnsi="Verdana" w:cs="Courier New"/>
          <w:i/>
          <w:sz w:val="16"/>
          <w:szCs w:val="16"/>
          <w:lang w:val="en-US" w:eastAsia="es-ES"/>
        </w:rPr>
        <w:t xml:space="preserve">, </w:t>
      </w:r>
      <w:r w:rsidR="008A7CC3">
        <w:rPr>
          <w:rFonts w:ascii="Verdana" w:eastAsia="Times New Roman" w:hAnsi="Verdana" w:cs="Courier New"/>
          <w:i/>
          <w:sz w:val="16"/>
          <w:szCs w:val="16"/>
          <w:lang w:val="en-US" w:eastAsia="es-ES"/>
        </w:rPr>
        <w:t>Merits, Reparations and Costs.</w:t>
      </w:r>
      <w:proofErr w:type="gramEnd"/>
      <w:r w:rsidRPr="0099353C">
        <w:rPr>
          <w:rFonts w:ascii="Verdana" w:eastAsia="Times New Roman" w:hAnsi="Verdana" w:cs="Courier New"/>
          <w:i/>
          <w:sz w:val="16"/>
          <w:szCs w:val="16"/>
          <w:lang w:val="en-US" w:eastAsia="es-ES"/>
        </w:rPr>
        <w:t xml:space="preserve"> </w:t>
      </w:r>
      <w:proofErr w:type="gramStart"/>
      <w:r w:rsidR="0099353C">
        <w:rPr>
          <w:rFonts w:ascii="Verdana" w:eastAsia="Times New Roman" w:hAnsi="Verdana" w:cs="Courier New"/>
          <w:sz w:val="16"/>
          <w:szCs w:val="16"/>
          <w:lang w:val="en-US" w:eastAsia="es-ES"/>
        </w:rPr>
        <w:t>Judgment of</w:t>
      </w:r>
      <w:r w:rsidRPr="0099353C">
        <w:rPr>
          <w:rFonts w:ascii="Verdana" w:eastAsia="Times New Roman" w:hAnsi="Verdana" w:cs="Courier New"/>
          <w:sz w:val="16"/>
          <w:szCs w:val="16"/>
          <w:lang w:val="en-US" w:eastAsia="es-ES"/>
        </w:rPr>
        <w:t xml:space="preserve"> </w:t>
      </w:r>
      <w:r w:rsidR="008A7CC3">
        <w:rPr>
          <w:rFonts w:ascii="Verdana" w:eastAsia="Times New Roman" w:hAnsi="Verdana" w:cs="Courier New"/>
          <w:sz w:val="16"/>
          <w:szCs w:val="16"/>
          <w:lang w:val="en-US" w:eastAsia="es-ES"/>
        </w:rPr>
        <w:t xml:space="preserve">September </w:t>
      </w:r>
      <w:r w:rsidRPr="0099353C">
        <w:rPr>
          <w:rFonts w:ascii="Verdana" w:eastAsia="Times New Roman" w:hAnsi="Verdana" w:cs="Courier New"/>
          <w:sz w:val="16"/>
          <w:szCs w:val="16"/>
          <w:lang w:val="en-US" w:eastAsia="es-ES"/>
        </w:rPr>
        <w:t>3</w:t>
      </w:r>
      <w:r w:rsidR="008A7CC3">
        <w:rPr>
          <w:rFonts w:ascii="Verdana" w:eastAsia="Times New Roman" w:hAnsi="Verdana" w:cs="Courier New"/>
          <w:sz w:val="16"/>
          <w:szCs w:val="16"/>
          <w:lang w:val="en-US" w:eastAsia="es-ES"/>
        </w:rPr>
        <w:t>,</w:t>
      </w:r>
      <w:r w:rsidRPr="0099353C">
        <w:rPr>
          <w:rFonts w:ascii="Verdana" w:eastAsia="Times New Roman" w:hAnsi="Verdana" w:cs="Courier New"/>
          <w:sz w:val="16"/>
          <w:szCs w:val="16"/>
          <w:lang w:val="en-US" w:eastAsia="es-ES"/>
        </w:rPr>
        <w:t xml:space="preserve"> 2012 </w:t>
      </w:r>
      <w:r w:rsidR="0099353C">
        <w:rPr>
          <w:rFonts w:ascii="Verdana" w:eastAsia="Times New Roman" w:hAnsi="Verdana" w:cs="Courier New"/>
          <w:sz w:val="16"/>
          <w:szCs w:val="16"/>
          <w:lang w:val="en-US" w:eastAsia="es-ES"/>
        </w:rPr>
        <w:t xml:space="preserve">Series </w:t>
      </w:r>
      <w:r w:rsidRPr="0099353C">
        <w:rPr>
          <w:rFonts w:ascii="Verdana" w:eastAsia="Times New Roman" w:hAnsi="Verdana" w:cs="Courier New"/>
          <w:sz w:val="16"/>
          <w:szCs w:val="16"/>
          <w:lang w:val="en-US" w:eastAsia="es-ES"/>
        </w:rPr>
        <w:t xml:space="preserve">C No. 248, </w:t>
      </w:r>
      <w:r w:rsidR="0099353C">
        <w:rPr>
          <w:rFonts w:ascii="Verdana" w:eastAsia="Times New Roman" w:hAnsi="Verdana" w:cs="Courier New"/>
          <w:sz w:val="16"/>
          <w:szCs w:val="16"/>
          <w:lang w:val="en-US" w:eastAsia="es-ES"/>
        </w:rPr>
        <w:t>para</w:t>
      </w:r>
      <w:r w:rsidRPr="0099353C">
        <w:rPr>
          <w:rFonts w:ascii="Verdana" w:eastAsia="Times New Roman" w:hAnsi="Verdana" w:cs="Courier New"/>
          <w:sz w:val="16"/>
          <w:szCs w:val="16"/>
          <w:lang w:val="en-US" w:eastAsia="es-ES"/>
        </w:rPr>
        <w:t>.</w:t>
      </w:r>
      <w:proofErr w:type="gramEnd"/>
      <w:r w:rsidRPr="0099353C">
        <w:rPr>
          <w:rFonts w:ascii="Verdana" w:eastAsia="Times New Roman" w:hAnsi="Verdana" w:cs="Courier New"/>
          <w:sz w:val="16"/>
          <w:szCs w:val="16"/>
          <w:lang w:val="en-US" w:eastAsia="es-ES"/>
        </w:rPr>
        <w:t xml:space="preserve"> 30.</w:t>
      </w:r>
    </w:p>
  </w:footnote>
  <w:footnote w:id="2">
    <w:p w:rsidR="00F74D9B" w:rsidRPr="0099353C" w:rsidRDefault="00F74D9B" w:rsidP="00AB4BBE">
      <w:pPr>
        <w:pStyle w:val="Textonotapie"/>
        <w:spacing w:after="120"/>
        <w:jc w:val="both"/>
        <w:rPr>
          <w:rFonts w:ascii="Verdana" w:hAnsi="Verdana"/>
          <w:sz w:val="16"/>
          <w:szCs w:val="16"/>
          <w:lang w:val="en-US"/>
        </w:rPr>
      </w:pPr>
      <w:r w:rsidRPr="0099353C">
        <w:rPr>
          <w:rStyle w:val="Refdenotaalpie"/>
          <w:rFonts w:ascii="Verdana" w:hAnsi="Verdana"/>
          <w:sz w:val="16"/>
          <w:szCs w:val="16"/>
          <w:lang w:val="en-US"/>
        </w:rPr>
        <w:footnoteRef/>
      </w:r>
      <w:r w:rsidRPr="0099353C">
        <w:rPr>
          <w:rFonts w:ascii="Verdana" w:hAnsi="Verdana"/>
          <w:sz w:val="16"/>
          <w:szCs w:val="16"/>
          <w:lang w:val="en-US"/>
        </w:rPr>
        <w:t xml:space="preserve"> </w:t>
      </w:r>
      <w:r w:rsidRPr="0099353C">
        <w:rPr>
          <w:rFonts w:ascii="Verdana" w:hAnsi="Verdana"/>
          <w:sz w:val="16"/>
          <w:szCs w:val="16"/>
          <w:lang w:val="en-US"/>
        </w:rPr>
        <w:tab/>
        <w:t xml:space="preserve">The text of Article 21(2) of the Rules of Procedure is the following: </w:t>
      </w:r>
    </w:p>
    <w:p w:rsidR="00F74D9B" w:rsidRPr="0099353C" w:rsidRDefault="00F74D9B" w:rsidP="00260E0F">
      <w:pPr>
        <w:pStyle w:val="Textonotapie"/>
        <w:spacing w:after="120"/>
        <w:ind w:left="360" w:right="396"/>
        <w:jc w:val="both"/>
        <w:rPr>
          <w:rFonts w:ascii="Verdana" w:hAnsi="Verdana"/>
          <w:sz w:val="16"/>
          <w:szCs w:val="16"/>
          <w:lang w:val="en-US" w:eastAsia="es-ES"/>
        </w:rPr>
      </w:pPr>
      <w:r w:rsidRPr="0099353C">
        <w:rPr>
          <w:rFonts w:ascii="Verdana" w:hAnsi="Verdana"/>
          <w:sz w:val="16"/>
          <w:szCs w:val="16"/>
          <w:lang w:val="en-US"/>
        </w:rPr>
        <w:t xml:space="preserve">Motions for recusal or allegations of impediment must be filed prior to the first hearing of the case. However, if the grounds </w:t>
      </w:r>
      <w:r w:rsidR="00ED2EC1" w:rsidRPr="0099353C">
        <w:rPr>
          <w:rFonts w:ascii="Verdana" w:hAnsi="Verdana"/>
          <w:sz w:val="16"/>
          <w:szCs w:val="16"/>
          <w:lang w:val="en-US"/>
        </w:rPr>
        <w:t>therefore</w:t>
      </w:r>
      <w:r w:rsidRPr="0099353C">
        <w:rPr>
          <w:rFonts w:ascii="Verdana" w:hAnsi="Verdana"/>
          <w:sz w:val="16"/>
          <w:szCs w:val="16"/>
          <w:lang w:val="en-US"/>
        </w:rPr>
        <w:t xml:space="preserve"> occur or become known after that hearing, such motions may be submitted to the Court at the first possible opportunity so that it can rule on the matter immediately</w:t>
      </w:r>
    </w:p>
  </w:footnote>
  <w:footnote w:id="3">
    <w:p w:rsidR="00F74D9B" w:rsidRPr="0099353C" w:rsidRDefault="00F74D9B" w:rsidP="00635E1C">
      <w:pPr>
        <w:pStyle w:val="Textonotapie"/>
        <w:spacing w:after="120"/>
        <w:jc w:val="both"/>
        <w:rPr>
          <w:rFonts w:ascii="Verdana" w:hAnsi="Verdana"/>
          <w:sz w:val="16"/>
          <w:szCs w:val="16"/>
          <w:lang w:val="en-US"/>
        </w:rPr>
      </w:pPr>
      <w:r w:rsidRPr="0099353C">
        <w:rPr>
          <w:rStyle w:val="Refdenotaalpie"/>
          <w:rFonts w:ascii="Verdana" w:hAnsi="Verdana"/>
          <w:sz w:val="16"/>
          <w:szCs w:val="16"/>
          <w:lang w:val="en-US"/>
        </w:rPr>
        <w:footnoteRef/>
      </w:r>
      <w:r w:rsidRPr="004F363F">
        <w:rPr>
          <w:rFonts w:ascii="Verdana" w:hAnsi="Verdana"/>
          <w:sz w:val="16"/>
          <w:szCs w:val="16"/>
          <w:lang w:val="es-CR"/>
        </w:rPr>
        <w:t xml:space="preserve"> </w:t>
      </w:r>
      <w:r w:rsidRPr="004F363F">
        <w:rPr>
          <w:rFonts w:ascii="Verdana" w:hAnsi="Verdana"/>
          <w:sz w:val="16"/>
          <w:szCs w:val="16"/>
          <w:lang w:val="es-CR"/>
        </w:rPr>
        <w:tab/>
      </w:r>
      <w:r w:rsidR="0099353C" w:rsidRPr="004F363F">
        <w:rPr>
          <w:rFonts w:ascii="Verdana" w:hAnsi="Verdana"/>
          <w:i/>
          <w:sz w:val="16"/>
          <w:szCs w:val="16"/>
          <w:lang w:val="es-CR"/>
        </w:rPr>
        <w:t xml:space="preserve">Cf. Case of </w:t>
      </w:r>
      <w:r w:rsidRPr="004F363F">
        <w:rPr>
          <w:rFonts w:ascii="Verdana" w:hAnsi="Verdana"/>
          <w:i/>
          <w:sz w:val="16"/>
          <w:szCs w:val="16"/>
          <w:lang w:val="es-CR"/>
        </w:rPr>
        <w:t xml:space="preserve">Gabriela Perozo </w:t>
      </w:r>
      <w:r w:rsidR="008A7CC3" w:rsidRPr="004F363F">
        <w:rPr>
          <w:rFonts w:ascii="Verdana" w:hAnsi="Verdana"/>
          <w:i/>
          <w:sz w:val="16"/>
          <w:szCs w:val="16"/>
          <w:lang w:val="es-CR"/>
        </w:rPr>
        <w:t>et al</w:t>
      </w:r>
      <w:r w:rsidRPr="004F363F">
        <w:rPr>
          <w:rFonts w:ascii="Verdana" w:hAnsi="Verdana"/>
          <w:i/>
          <w:sz w:val="16"/>
          <w:szCs w:val="16"/>
          <w:lang w:val="es-CR"/>
        </w:rPr>
        <w:t xml:space="preserve"> </w:t>
      </w:r>
      <w:r w:rsidR="0099353C" w:rsidRPr="004F363F">
        <w:rPr>
          <w:rFonts w:ascii="Verdana" w:hAnsi="Verdana"/>
          <w:i/>
          <w:sz w:val="16"/>
          <w:szCs w:val="16"/>
          <w:lang w:val="es-CR"/>
        </w:rPr>
        <w:t>V</w:t>
      </w:r>
      <w:r w:rsidRPr="004F363F">
        <w:rPr>
          <w:rFonts w:ascii="Verdana" w:hAnsi="Verdana"/>
          <w:i/>
          <w:sz w:val="16"/>
          <w:szCs w:val="16"/>
          <w:lang w:val="es-CR"/>
        </w:rPr>
        <w:t>. Venezuela.</w:t>
      </w:r>
      <w:r w:rsidRPr="004F363F">
        <w:rPr>
          <w:rFonts w:ascii="Verdana" w:hAnsi="Verdana"/>
          <w:sz w:val="16"/>
          <w:szCs w:val="16"/>
          <w:lang w:val="es-CR"/>
        </w:rPr>
        <w:t xml:space="preserve"> </w:t>
      </w:r>
      <w:r w:rsidR="008A7CC3">
        <w:rPr>
          <w:rFonts w:ascii="Verdana" w:hAnsi="Verdana"/>
          <w:sz w:val="16"/>
          <w:szCs w:val="16"/>
          <w:lang w:val="en-US"/>
        </w:rPr>
        <w:t xml:space="preserve">Order of the Inter-American Court of Human Rights of October 18, 2007, </w:t>
      </w:r>
      <w:proofErr w:type="gramStart"/>
      <w:r w:rsidR="008A7CC3">
        <w:rPr>
          <w:rFonts w:ascii="Verdana" w:hAnsi="Verdana"/>
          <w:sz w:val="16"/>
          <w:szCs w:val="16"/>
          <w:lang w:val="en-US"/>
        </w:rPr>
        <w:t>Considering</w:t>
      </w:r>
      <w:proofErr w:type="gramEnd"/>
      <w:r w:rsidR="008A7CC3">
        <w:rPr>
          <w:rFonts w:ascii="Verdana" w:hAnsi="Verdana"/>
          <w:sz w:val="16"/>
          <w:szCs w:val="16"/>
          <w:lang w:val="en-US"/>
        </w:rPr>
        <w:t xml:space="preserve"> clause six</w:t>
      </w:r>
      <w:r w:rsidRPr="0099353C">
        <w:rPr>
          <w:rFonts w:ascii="Verdana" w:hAnsi="Verdana"/>
          <w:sz w:val="16"/>
          <w:szCs w:val="16"/>
          <w:lang w:val="en-US"/>
        </w:rPr>
        <w:t xml:space="preserve">; </w:t>
      </w:r>
      <w:r w:rsidR="0099353C">
        <w:rPr>
          <w:rFonts w:ascii="Verdana" w:hAnsi="Verdana"/>
          <w:i/>
          <w:sz w:val="16"/>
          <w:szCs w:val="16"/>
          <w:lang w:val="en-US"/>
        </w:rPr>
        <w:t xml:space="preserve">Case of </w:t>
      </w:r>
      <w:r w:rsidRPr="0099353C">
        <w:rPr>
          <w:rFonts w:ascii="Verdana" w:hAnsi="Verdana"/>
          <w:i/>
          <w:sz w:val="16"/>
          <w:szCs w:val="16"/>
          <w:lang w:val="en-US"/>
        </w:rPr>
        <w:t>Barrios</w:t>
      </w:r>
      <w:r w:rsidR="008A7CC3">
        <w:rPr>
          <w:rFonts w:ascii="Verdana" w:hAnsi="Verdana"/>
          <w:i/>
          <w:sz w:val="16"/>
          <w:szCs w:val="16"/>
          <w:lang w:val="en-US"/>
        </w:rPr>
        <w:t xml:space="preserve"> Family</w:t>
      </w:r>
      <w:r w:rsidRPr="0099353C">
        <w:rPr>
          <w:rFonts w:ascii="Verdana" w:hAnsi="Verdana"/>
          <w:i/>
          <w:sz w:val="16"/>
          <w:szCs w:val="16"/>
          <w:lang w:val="en-US"/>
        </w:rPr>
        <w:t xml:space="preserve"> </w:t>
      </w:r>
      <w:r w:rsidR="0099353C">
        <w:rPr>
          <w:rFonts w:ascii="Verdana" w:hAnsi="Verdana"/>
          <w:i/>
          <w:sz w:val="16"/>
          <w:szCs w:val="16"/>
          <w:lang w:val="en-US"/>
        </w:rPr>
        <w:t>V</w:t>
      </w:r>
      <w:r w:rsidRPr="0099353C">
        <w:rPr>
          <w:rFonts w:ascii="Verdana" w:hAnsi="Verdana"/>
          <w:i/>
          <w:sz w:val="16"/>
          <w:szCs w:val="16"/>
          <w:lang w:val="en-US"/>
        </w:rPr>
        <w:t xml:space="preserve">. Venezuela. </w:t>
      </w:r>
      <w:r w:rsidR="008A7CC3">
        <w:rPr>
          <w:rFonts w:ascii="Verdana" w:hAnsi="Verdana"/>
          <w:sz w:val="16"/>
          <w:szCs w:val="16"/>
          <w:lang w:val="en-US"/>
        </w:rPr>
        <w:t xml:space="preserve">Order of the President of the Inter-American Court of Human Rights of April </w:t>
      </w:r>
      <w:r w:rsidRPr="0099353C">
        <w:rPr>
          <w:rFonts w:ascii="Verdana" w:hAnsi="Verdana"/>
          <w:sz w:val="16"/>
          <w:szCs w:val="16"/>
          <w:lang w:val="en-US"/>
        </w:rPr>
        <w:t>14</w:t>
      </w:r>
      <w:r w:rsidR="008A7CC3">
        <w:rPr>
          <w:rFonts w:ascii="Verdana" w:hAnsi="Verdana"/>
          <w:sz w:val="16"/>
          <w:szCs w:val="16"/>
          <w:lang w:val="en-US"/>
        </w:rPr>
        <w:t>,</w:t>
      </w:r>
      <w:r w:rsidRPr="0099353C">
        <w:rPr>
          <w:rFonts w:ascii="Verdana" w:hAnsi="Verdana"/>
          <w:sz w:val="16"/>
          <w:szCs w:val="16"/>
          <w:lang w:val="en-US"/>
        </w:rPr>
        <w:t xml:space="preserve"> 2011, </w:t>
      </w:r>
      <w:r w:rsidR="008A7CC3">
        <w:rPr>
          <w:rFonts w:ascii="Verdana" w:hAnsi="Verdana"/>
          <w:sz w:val="16"/>
          <w:szCs w:val="16"/>
          <w:lang w:val="en-US"/>
        </w:rPr>
        <w:t>Considering clause 17</w:t>
      </w:r>
      <w:r w:rsidRPr="0099353C">
        <w:rPr>
          <w:rFonts w:ascii="Verdana" w:hAnsi="Verdana"/>
          <w:sz w:val="16"/>
          <w:szCs w:val="16"/>
          <w:lang w:val="en-US"/>
        </w:rPr>
        <w:t xml:space="preserve">; </w:t>
      </w:r>
      <w:r w:rsidR="0099353C">
        <w:rPr>
          <w:rFonts w:ascii="Verdana" w:hAnsi="Verdana"/>
          <w:i/>
          <w:sz w:val="16"/>
          <w:szCs w:val="16"/>
          <w:lang w:val="en-US"/>
        </w:rPr>
        <w:t xml:space="preserve">Case of </w:t>
      </w:r>
      <w:r w:rsidRPr="0099353C">
        <w:rPr>
          <w:rFonts w:ascii="Verdana" w:hAnsi="Verdana"/>
          <w:i/>
          <w:sz w:val="16"/>
          <w:szCs w:val="16"/>
          <w:lang w:val="en-US"/>
        </w:rPr>
        <w:t xml:space="preserve">Nestor José </w:t>
      </w:r>
      <w:r w:rsidR="008A7CC3">
        <w:rPr>
          <w:rFonts w:ascii="Verdana" w:hAnsi="Verdana"/>
          <w:i/>
          <w:sz w:val="16"/>
          <w:szCs w:val="16"/>
          <w:lang w:val="en-US"/>
        </w:rPr>
        <w:t>and</w:t>
      </w:r>
      <w:r w:rsidRPr="0099353C">
        <w:rPr>
          <w:rFonts w:ascii="Verdana" w:hAnsi="Verdana"/>
          <w:i/>
          <w:sz w:val="16"/>
          <w:szCs w:val="16"/>
          <w:lang w:val="en-US"/>
        </w:rPr>
        <w:t xml:space="preserve"> Luis Uzcátegui </w:t>
      </w:r>
      <w:r w:rsidR="008A7CC3">
        <w:rPr>
          <w:rFonts w:ascii="Verdana" w:hAnsi="Verdana"/>
          <w:i/>
          <w:sz w:val="16"/>
          <w:szCs w:val="16"/>
          <w:lang w:val="en-US"/>
        </w:rPr>
        <w:t>et al</w:t>
      </w:r>
      <w:r w:rsidRPr="0099353C">
        <w:rPr>
          <w:rFonts w:ascii="Verdana" w:hAnsi="Verdana"/>
          <w:i/>
          <w:sz w:val="16"/>
          <w:szCs w:val="16"/>
          <w:lang w:val="en-US"/>
        </w:rPr>
        <w:t xml:space="preserve"> </w:t>
      </w:r>
      <w:r w:rsidR="0099353C">
        <w:rPr>
          <w:rFonts w:ascii="Verdana" w:hAnsi="Verdana"/>
          <w:i/>
          <w:sz w:val="16"/>
          <w:szCs w:val="16"/>
          <w:lang w:val="en-US"/>
        </w:rPr>
        <w:t>V</w:t>
      </w:r>
      <w:r w:rsidRPr="0099353C">
        <w:rPr>
          <w:rFonts w:ascii="Verdana" w:hAnsi="Verdana"/>
          <w:i/>
          <w:sz w:val="16"/>
          <w:szCs w:val="16"/>
          <w:lang w:val="en-US"/>
        </w:rPr>
        <w:t xml:space="preserve">. Venezuela. </w:t>
      </w:r>
      <w:proofErr w:type="gramStart"/>
      <w:r w:rsidR="008A7CC3">
        <w:rPr>
          <w:rFonts w:ascii="Verdana" w:hAnsi="Verdana"/>
          <w:sz w:val="16"/>
          <w:szCs w:val="16"/>
          <w:lang w:val="en-US"/>
        </w:rPr>
        <w:t xml:space="preserve">Order of the President of the Inter-American Court of Human Rights of June </w:t>
      </w:r>
      <w:r w:rsidRPr="0099353C">
        <w:rPr>
          <w:rFonts w:ascii="Verdana" w:hAnsi="Verdana"/>
          <w:sz w:val="16"/>
          <w:szCs w:val="16"/>
          <w:lang w:val="en-US"/>
        </w:rPr>
        <w:t>24</w:t>
      </w:r>
      <w:r w:rsidR="008A7CC3">
        <w:rPr>
          <w:rFonts w:ascii="Verdana" w:hAnsi="Verdana"/>
          <w:sz w:val="16"/>
          <w:szCs w:val="16"/>
          <w:lang w:val="en-US"/>
        </w:rPr>
        <w:t>,</w:t>
      </w:r>
      <w:r w:rsidRPr="0099353C">
        <w:rPr>
          <w:rFonts w:ascii="Verdana" w:hAnsi="Verdana"/>
          <w:sz w:val="16"/>
          <w:szCs w:val="16"/>
          <w:lang w:val="en-US"/>
        </w:rPr>
        <w:t xml:space="preserve"> 2011, </w:t>
      </w:r>
      <w:r w:rsidR="00ED2EC1" w:rsidRPr="0099353C">
        <w:rPr>
          <w:rFonts w:ascii="Verdana" w:hAnsi="Verdana"/>
          <w:sz w:val="16"/>
          <w:szCs w:val="16"/>
          <w:lang w:val="en-US"/>
        </w:rPr>
        <w:t>considering</w:t>
      </w:r>
      <w:r w:rsidR="008A7CC3">
        <w:rPr>
          <w:rFonts w:ascii="Verdana" w:hAnsi="Verdana"/>
          <w:sz w:val="16"/>
          <w:szCs w:val="16"/>
          <w:lang w:val="en-US"/>
        </w:rPr>
        <w:t xml:space="preserve"> clause 17; </w:t>
      </w:r>
      <w:r w:rsidR="0099353C">
        <w:rPr>
          <w:rFonts w:ascii="Verdana" w:hAnsi="Verdana"/>
          <w:i/>
          <w:sz w:val="16"/>
          <w:szCs w:val="16"/>
          <w:lang w:val="en-US"/>
        </w:rPr>
        <w:t xml:space="preserve">Case of </w:t>
      </w:r>
      <w:r w:rsidRPr="0099353C">
        <w:rPr>
          <w:rFonts w:ascii="Verdana" w:hAnsi="Verdana"/>
          <w:i/>
          <w:sz w:val="16"/>
          <w:szCs w:val="16"/>
          <w:lang w:val="en-US"/>
        </w:rPr>
        <w:t xml:space="preserve">Díaz Peña </w:t>
      </w:r>
      <w:r w:rsidR="0099353C">
        <w:rPr>
          <w:rFonts w:ascii="Verdana" w:hAnsi="Verdana"/>
          <w:i/>
          <w:sz w:val="16"/>
          <w:szCs w:val="16"/>
          <w:lang w:val="en-US"/>
        </w:rPr>
        <w:t>V</w:t>
      </w:r>
      <w:r w:rsidRPr="0099353C">
        <w:rPr>
          <w:rFonts w:ascii="Verdana" w:hAnsi="Verdana"/>
          <w:i/>
          <w:sz w:val="16"/>
          <w:szCs w:val="16"/>
          <w:lang w:val="en-US"/>
        </w:rPr>
        <w:t>. Venezuela</w:t>
      </w:r>
      <w:r w:rsidRPr="0099353C">
        <w:rPr>
          <w:rFonts w:ascii="Verdana" w:hAnsi="Verdana"/>
          <w:sz w:val="16"/>
          <w:szCs w:val="16"/>
          <w:lang w:val="en-US"/>
        </w:rPr>
        <w:t>.</w:t>
      </w:r>
      <w:proofErr w:type="gramEnd"/>
      <w:r w:rsidRPr="0099353C">
        <w:rPr>
          <w:rFonts w:ascii="Verdana" w:hAnsi="Verdana"/>
          <w:i/>
          <w:sz w:val="16"/>
          <w:szCs w:val="16"/>
          <w:lang w:val="en-US"/>
        </w:rPr>
        <w:t xml:space="preserve"> </w:t>
      </w:r>
      <w:r w:rsidR="008A7CC3">
        <w:rPr>
          <w:rFonts w:ascii="Verdana" w:hAnsi="Verdana"/>
          <w:sz w:val="16"/>
          <w:szCs w:val="16"/>
          <w:lang w:val="en-US"/>
        </w:rPr>
        <w:t xml:space="preserve">Order of the President of the Inter-American Court of Human Rights of June </w:t>
      </w:r>
      <w:r w:rsidRPr="0099353C">
        <w:rPr>
          <w:rFonts w:ascii="Verdana" w:hAnsi="Verdana"/>
          <w:sz w:val="16"/>
          <w:szCs w:val="16"/>
          <w:lang w:val="en-US"/>
        </w:rPr>
        <w:t>24</w:t>
      </w:r>
      <w:r w:rsidR="008A7CC3">
        <w:rPr>
          <w:rFonts w:ascii="Verdana" w:hAnsi="Verdana"/>
          <w:sz w:val="16"/>
          <w:szCs w:val="16"/>
          <w:lang w:val="en-US"/>
        </w:rPr>
        <w:t>,</w:t>
      </w:r>
      <w:r w:rsidRPr="0099353C">
        <w:rPr>
          <w:rFonts w:ascii="Verdana" w:hAnsi="Verdana"/>
          <w:sz w:val="16"/>
          <w:szCs w:val="16"/>
          <w:lang w:val="en-US"/>
        </w:rPr>
        <w:t xml:space="preserve"> 2011, </w:t>
      </w:r>
      <w:proofErr w:type="gramStart"/>
      <w:r w:rsidRPr="0099353C">
        <w:rPr>
          <w:rFonts w:ascii="Verdana" w:hAnsi="Verdana"/>
          <w:sz w:val="16"/>
          <w:szCs w:val="16"/>
          <w:lang w:val="en-US"/>
        </w:rPr>
        <w:t>Consider</w:t>
      </w:r>
      <w:r w:rsidR="008A7CC3">
        <w:rPr>
          <w:rFonts w:ascii="Verdana" w:hAnsi="Verdana"/>
          <w:sz w:val="16"/>
          <w:szCs w:val="16"/>
          <w:lang w:val="en-US"/>
        </w:rPr>
        <w:t>ing</w:t>
      </w:r>
      <w:proofErr w:type="gramEnd"/>
      <w:r w:rsidR="008A7CC3">
        <w:rPr>
          <w:rFonts w:ascii="Verdana" w:hAnsi="Verdana"/>
          <w:sz w:val="16"/>
          <w:szCs w:val="16"/>
          <w:lang w:val="en-US"/>
        </w:rPr>
        <w:t xml:space="preserve"> clause 17, and </w:t>
      </w:r>
      <w:r w:rsidR="0099353C">
        <w:rPr>
          <w:rFonts w:ascii="Verdana" w:hAnsi="Verdana"/>
          <w:i/>
          <w:sz w:val="16"/>
          <w:szCs w:val="16"/>
          <w:lang w:val="en-US"/>
        </w:rPr>
        <w:t xml:space="preserve">Case of </w:t>
      </w:r>
      <w:r w:rsidRPr="0099353C">
        <w:rPr>
          <w:rFonts w:ascii="Verdana" w:hAnsi="Verdana"/>
          <w:i/>
          <w:sz w:val="16"/>
          <w:szCs w:val="16"/>
          <w:lang w:val="en-US"/>
        </w:rPr>
        <w:t xml:space="preserve">Castillo González </w:t>
      </w:r>
      <w:r w:rsidR="008A7CC3">
        <w:rPr>
          <w:rFonts w:ascii="Verdana" w:hAnsi="Verdana"/>
          <w:i/>
          <w:sz w:val="16"/>
          <w:szCs w:val="16"/>
          <w:lang w:val="en-US"/>
        </w:rPr>
        <w:t>et al</w:t>
      </w:r>
      <w:r w:rsidRPr="0099353C">
        <w:rPr>
          <w:rFonts w:ascii="Verdana" w:hAnsi="Verdana"/>
          <w:i/>
          <w:sz w:val="16"/>
          <w:szCs w:val="16"/>
          <w:lang w:val="en-US"/>
        </w:rPr>
        <w:t xml:space="preserve"> </w:t>
      </w:r>
      <w:r w:rsidR="0099353C">
        <w:rPr>
          <w:rFonts w:ascii="Verdana" w:hAnsi="Verdana"/>
          <w:i/>
          <w:sz w:val="16"/>
          <w:szCs w:val="16"/>
          <w:lang w:val="en-US"/>
        </w:rPr>
        <w:t>V</w:t>
      </w:r>
      <w:r w:rsidRPr="0099353C">
        <w:rPr>
          <w:rFonts w:ascii="Verdana" w:hAnsi="Verdana"/>
          <w:i/>
          <w:sz w:val="16"/>
          <w:szCs w:val="16"/>
          <w:lang w:val="en-US"/>
        </w:rPr>
        <w:t>. Venezuela</w:t>
      </w:r>
      <w:r w:rsidRPr="0099353C">
        <w:rPr>
          <w:rFonts w:ascii="Verdana" w:hAnsi="Verdana"/>
          <w:sz w:val="16"/>
          <w:szCs w:val="16"/>
          <w:lang w:val="en-US"/>
        </w:rPr>
        <w:t>.</w:t>
      </w:r>
      <w:r w:rsidRPr="0099353C">
        <w:rPr>
          <w:rFonts w:ascii="Verdana" w:hAnsi="Verdana"/>
          <w:i/>
          <w:sz w:val="16"/>
          <w:szCs w:val="16"/>
          <w:lang w:val="en-US"/>
        </w:rPr>
        <w:t xml:space="preserve"> </w:t>
      </w:r>
      <w:r w:rsidR="008A7CC3">
        <w:rPr>
          <w:rFonts w:ascii="Verdana" w:hAnsi="Verdana"/>
          <w:sz w:val="16"/>
          <w:szCs w:val="16"/>
          <w:lang w:val="en-US"/>
        </w:rPr>
        <w:t xml:space="preserve">Order of the President of the Inter-American Court of Human Rights of November </w:t>
      </w:r>
      <w:r w:rsidRPr="0099353C">
        <w:rPr>
          <w:rFonts w:ascii="Verdana" w:hAnsi="Verdana"/>
          <w:sz w:val="16"/>
          <w:szCs w:val="16"/>
          <w:lang w:val="en-US"/>
        </w:rPr>
        <w:t>25</w:t>
      </w:r>
      <w:r w:rsidR="008A7CC3">
        <w:rPr>
          <w:rFonts w:ascii="Verdana" w:hAnsi="Verdana"/>
          <w:sz w:val="16"/>
          <w:szCs w:val="16"/>
          <w:lang w:val="en-US"/>
        </w:rPr>
        <w:t>,</w:t>
      </w:r>
      <w:r w:rsidRPr="0099353C">
        <w:rPr>
          <w:rFonts w:ascii="Verdana" w:hAnsi="Verdana"/>
          <w:sz w:val="16"/>
          <w:szCs w:val="16"/>
          <w:lang w:val="en-US"/>
        </w:rPr>
        <w:t xml:space="preserve"> 2011, </w:t>
      </w:r>
      <w:proofErr w:type="gramStart"/>
      <w:r w:rsidRPr="0099353C">
        <w:rPr>
          <w:rFonts w:ascii="Verdana" w:hAnsi="Verdana"/>
          <w:sz w:val="16"/>
          <w:szCs w:val="16"/>
          <w:lang w:val="en-US"/>
        </w:rPr>
        <w:t>Consider</w:t>
      </w:r>
      <w:r w:rsidR="008A7CC3">
        <w:rPr>
          <w:rFonts w:ascii="Verdana" w:hAnsi="Verdana"/>
          <w:sz w:val="16"/>
          <w:szCs w:val="16"/>
          <w:lang w:val="en-US"/>
        </w:rPr>
        <w:t>ing</w:t>
      </w:r>
      <w:proofErr w:type="gramEnd"/>
      <w:r w:rsidR="008A7CC3">
        <w:rPr>
          <w:rFonts w:ascii="Verdana" w:hAnsi="Verdana"/>
          <w:sz w:val="16"/>
          <w:szCs w:val="16"/>
          <w:lang w:val="en-US"/>
        </w:rPr>
        <w:t xml:space="preserve"> clause 17. </w:t>
      </w:r>
    </w:p>
  </w:footnote>
  <w:footnote w:id="4">
    <w:p w:rsidR="00F74D9B" w:rsidRPr="0099353C" w:rsidRDefault="00F74D9B" w:rsidP="005A5725">
      <w:pPr>
        <w:spacing w:after="200" w:line="276" w:lineRule="auto"/>
        <w:rPr>
          <w:rFonts w:ascii="Verdana" w:eastAsia="Calibri" w:hAnsi="Verdana"/>
          <w:sz w:val="16"/>
          <w:lang w:val="en-US"/>
        </w:rPr>
      </w:pPr>
      <w:r w:rsidRPr="0099353C">
        <w:rPr>
          <w:rStyle w:val="Refdenotaalpie"/>
          <w:rFonts w:ascii="Verdana" w:hAnsi="Verdana"/>
          <w:sz w:val="16"/>
          <w:szCs w:val="16"/>
          <w:lang w:val="en-US"/>
        </w:rPr>
        <w:footnoteRef/>
      </w:r>
      <w:r w:rsidRPr="0099353C">
        <w:rPr>
          <w:rFonts w:ascii="Verdana" w:hAnsi="Verdana"/>
          <w:sz w:val="16"/>
          <w:szCs w:val="16"/>
          <w:lang w:val="en-US"/>
        </w:rPr>
        <w:t xml:space="preserve"> </w:t>
      </w:r>
      <w:r w:rsidRPr="0099353C">
        <w:rPr>
          <w:rFonts w:ascii="Verdana" w:hAnsi="Verdana"/>
          <w:sz w:val="16"/>
          <w:szCs w:val="16"/>
          <w:lang w:val="en-US"/>
        </w:rPr>
        <w:tab/>
        <w:t>Article 24(2) of the Statute of the Court states that “</w:t>
      </w:r>
      <w:r w:rsidRPr="0099353C">
        <w:rPr>
          <w:rFonts w:ascii="Verdana" w:eastAsia="Calibri" w:hAnsi="Verdana"/>
          <w:color w:val="000000"/>
          <w:sz w:val="16"/>
          <w:szCs w:val="27"/>
          <w:shd w:val="clear" w:color="auto" w:fill="FFFFFF"/>
          <w:lang w:val="en-US"/>
        </w:rPr>
        <w:t>[t]he Court shall deliberate in private. Its deliberations shall remain secret, unless the Court decides otherwise.”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D9B" w:rsidRDefault="002D6F79" w:rsidP="003418C9">
    <w:pPr>
      <w:pStyle w:val="Encabezado"/>
      <w:framePr w:wrap="around" w:vAnchor="text" w:hAnchor="margin" w:xAlign="center" w:y="1"/>
      <w:rPr>
        <w:rStyle w:val="Nmerodepgina"/>
      </w:rPr>
    </w:pPr>
    <w:r>
      <w:rPr>
        <w:rStyle w:val="Nmerodepgina"/>
      </w:rPr>
      <w:fldChar w:fldCharType="begin"/>
    </w:r>
    <w:r w:rsidR="00F74D9B">
      <w:rPr>
        <w:rStyle w:val="Nmerodepgina"/>
      </w:rPr>
      <w:instrText xml:space="preserve">PAGE  </w:instrText>
    </w:r>
    <w:r>
      <w:rPr>
        <w:rStyle w:val="Nmerodepgina"/>
      </w:rPr>
      <w:fldChar w:fldCharType="end"/>
    </w:r>
  </w:p>
  <w:p w:rsidR="00F74D9B" w:rsidRDefault="00F74D9B">
    <w:pPr>
      <w:pStyle w:val="Encabezado"/>
    </w:pPr>
  </w:p>
  <w:p w:rsidR="00F74D9B" w:rsidRDefault="00F74D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D9B" w:rsidRDefault="00F74D9B" w:rsidP="000810CB">
    <w:pPr>
      <w:pStyle w:val="Encabezado"/>
      <w:jc w:val="center"/>
    </w:pPr>
  </w:p>
  <w:p w:rsidR="00F74D9B" w:rsidRDefault="00F74D9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D9B" w:rsidRDefault="00F74D9B">
    <w:pPr>
      <w:pStyle w:val="Encabezado"/>
    </w:pPr>
  </w:p>
  <w:p w:rsidR="00F74D9B" w:rsidRPr="00BC34E6" w:rsidRDefault="00F74D9B" w:rsidP="003418C9">
    <w:pPr>
      <w:pStyle w:val="Encabezado"/>
      <w:jc w:val="right"/>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27779"/>
    <w:multiLevelType w:val="multilevel"/>
    <w:tmpl w:val="90E04E56"/>
    <w:lvl w:ilvl="0">
      <w:start w:val="1"/>
      <w:numFmt w:val="decimal"/>
      <w:lvlText w:val="%1."/>
      <w:lvlJc w:val="left"/>
      <w:pPr>
        <w:tabs>
          <w:tab w:val="num" w:pos="360"/>
        </w:tabs>
        <w:ind w:left="360" w:hanging="360"/>
      </w:pPr>
      <w:rPr>
        <w:rFonts w:ascii="Verdana" w:hAnsi="Verdana" w:hint="default"/>
        <w:b w:val="0"/>
        <w:i w:val="0"/>
        <w:sz w:val="20"/>
        <w:szCs w:val="20"/>
      </w:rPr>
    </w:lvl>
    <w:lvl w:ilvl="1">
      <w:start w:val="1"/>
      <w:numFmt w:val="lowerLetter"/>
      <w:lvlText w:val="%2)"/>
      <w:lvlJc w:val="left"/>
      <w:pPr>
        <w:tabs>
          <w:tab w:val="num" w:pos="720"/>
        </w:tabs>
        <w:ind w:left="720" w:hanging="360"/>
      </w:pPr>
      <w:rPr>
        <w:rFonts w:ascii="Verdana" w:hAnsi="Verdana" w:hint="default"/>
        <w:b w:val="0"/>
        <w:i/>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6C0F400E"/>
    <w:multiLevelType w:val="hybridMultilevel"/>
    <w:tmpl w:val="885CC31A"/>
    <w:lvl w:ilvl="0" w:tplc="58925812">
      <w:start w:val="1"/>
      <w:numFmt w:val="decimal"/>
      <w:lvlText w:val="%1."/>
      <w:lvlJc w:val="left"/>
      <w:pPr>
        <w:tabs>
          <w:tab w:val="num" w:pos="1065"/>
        </w:tabs>
        <w:ind w:left="1065" w:hanging="705"/>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7B0F3B21"/>
    <w:multiLevelType w:val="hybridMultilevel"/>
    <w:tmpl w:val="1458DCFC"/>
    <w:lvl w:ilvl="0" w:tplc="1E585A8C">
      <w:start w:val="1"/>
      <w:numFmt w:val="decimal"/>
      <w:lvlText w:val="%1."/>
      <w:lvlJc w:val="left"/>
      <w:pPr>
        <w:tabs>
          <w:tab w:val="num" w:pos="705"/>
        </w:tabs>
        <w:ind w:left="705" w:hanging="705"/>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5B6D"/>
    <w:rsid w:val="00025ADE"/>
    <w:rsid w:val="000723C7"/>
    <w:rsid w:val="00074E55"/>
    <w:rsid w:val="000803D0"/>
    <w:rsid w:val="000810CB"/>
    <w:rsid w:val="00081B28"/>
    <w:rsid w:val="00096D60"/>
    <w:rsid w:val="000A116D"/>
    <w:rsid w:val="000A2930"/>
    <w:rsid w:val="000A78CC"/>
    <w:rsid w:val="000B6EBD"/>
    <w:rsid w:val="000D440B"/>
    <w:rsid w:val="000E71D9"/>
    <w:rsid w:val="0013195C"/>
    <w:rsid w:val="00151432"/>
    <w:rsid w:val="00154E37"/>
    <w:rsid w:val="001659B8"/>
    <w:rsid w:val="00166E50"/>
    <w:rsid w:val="00191E65"/>
    <w:rsid w:val="00193A8E"/>
    <w:rsid w:val="001B1B01"/>
    <w:rsid w:val="001B3AF1"/>
    <w:rsid w:val="001C3785"/>
    <w:rsid w:val="001D5F82"/>
    <w:rsid w:val="001E4E81"/>
    <w:rsid w:val="001F6A44"/>
    <w:rsid w:val="00210281"/>
    <w:rsid w:val="00211CE3"/>
    <w:rsid w:val="00240F2E"/>
    <w:rsid w:val="00245228"/>
    <w:rsid w:val="00255340"/>
    <w:rsid w:val="002601A1"/>
    <w:rsid w:val="00260E0F"/>
    <w:rsid w:val="00277A72"/>
    <w:rsid w:val="00282E62"/>
    <w:rsid w:val="002B56A4"/>
    <w:rsid w:val="002C009E"/>
    <w:rsid w:val="002D6F79"/>
    <w:rsid w:val="002F6BB7"/>
    <w:rsid w:val="002F6C33"/>
    <w:rsid w:val="00302305"/>
    <w:rsid w:val="003146BB"/>
    <w:rsid w:val="00315B33"/>
    <w:rsid w:val="00326BBF"/>
    <w:rsid w:val="00327B66"/>
    <w:rsid w:val="00336965"/>
    <w:rsid w:val="003418C9"/>
    <w:rsid w:val="00352242"/>
    <w:rsid w:val="00352A43"/>
    <w:rsid w:val="00356BD3"/>
    <w:rsid w:val="00362F35"/>
    <w:rsid w:val="00371CC0"/>
    <w:rsid w:val="003748B0"/>
    <w:rsid w:val="00374AC3"/>
    <w:rsid w:val="003759FD"/>
    <w:rsid w:val="003A63AB"/>
    <w:rsid w:val="003B3844"/>
    <w:rsid w:val="003C591B"/>
    <w:rsid w:val="003D2D8F"/>
    <w:rsid w:val="003E1EBB"/>
    <w:rsid w:val="003E6AC3"/>
    <w:rsid w:val="003F78C0"/>
    <w:rsid w:val="004018EA"/>
    <w:rsid w:val="00401D74"/>
    <w:rsid w:val="004061FC"/>
    <w:rsid w:val="00432872"/>
    <w:rsid w:val="0045022D"/>
    <w:rsid w:val="004529C8"/>
    <w:rsid w:val="00462C2B"/>
    <w:rsid w:val="0048483B"/>
    <w:rsid w:val="00484C36"/>
    <w:rsid w:val="00496068"/>
    <w:rsid w:val="004A3207"/>
    <w:rsid w:val="004A41E7"/>
    <w:rsid w:val="004A5665"/>
    <w:rsid w:val="004B01A3"/>
    <w:rsid w:val="004B02FF"/>
    <w:rsid w:val="004B16AB"/>
    <w:rsid w:val="004B780D"/>
    <w:rsid w:val="004C0487"/>
    <w:rsid w:val="004D3319"/>
    <w:rsid w:val="004E6A87"/>
    <w:rsid w:val="004F363F"/>
    <w:rsid w:val="004F3E70"/>
    <w:rsid w:val="004F42BF"/>
    <w:rsid w:val="004F5278"/>
    <w:rsid w:val="005018F8"/>
    <w:rsid w:val="00511692"/>
    <w:rsid w:val="00520373"/>
    <w:rsid w:val="00521E37"/>
    <w:rsid w:val="00526359"/>
    <w:rsid w:val="00533491"/>
    <w:rsid w:val="00535AB2"/>
    <w:rsid w:val="00535BF4"/>
    <w:rsid w:val="00541BD5"/>
    <w:rsid w:val="0055228F"/>
    <w:rsid w:val="00583D98"/>
    <w:rsid w:val="0059437B"/>
    <w:rsid w:val="005A5725"/>
    <w:rsid w:val="005B0641"/>
    <w:rsid w:val="005D0A90"/>
    <w:rsid w:val="005E0A96"/>
    <w:rsid w:val="005E2564"/>
    <w:rsid w:val="005E684C"/>
    <w:rsid w:val="005F4A03"/>
    <w:rsid w:val="005F6DCC"/>
    <w:rsid w:val="0060699E"/>
    <w:rsid w:val="00635053"/>
    <w:rsid w:val="00635E1C"/>
    <w:rsid w:val="0063786B"/>
    <w:rsid w:val="00644F33"/>
    <w:rsid w:val="00661FC9"/>
    <w:rsid w:val="0067513F"/>
    <w:rsid w:val="006861D5"/>
    <w:rsid w:val="006878CB"/>
    <w:rsid w:val="006969F8"/>
    <w:rsid w:val="006B622D"/>
    <w:rsid w:val="006B6E8F"/>
    <w:rsid w:val="006C15D6"/>
    <w:rsid w:val="006C3893"/>
    <w:rsid w:val="006C72EF"/>
    <w:rsid w:val="006D7D67"/>
    <w:rsid w:val="006E7429"/>
    <w:rsid w:val="006F5615"/>
    <w:rsid w:val="006F5C46"/>
    <w:rsid w:val="007249B5"/>
    <w:rsid w:val="00726973"/>
    <w:rsid w:val="00737233"/>
    <w:rsid w:val="0074256E"/>
    <w:rsid w:val="00743BAD"/>
    <w:rsid w:val="00747770"/>
    <w:rsid w:val="00762734"/>
    <w:rsid w:val="007628FE"/>
    <w:rsid w:val="00764C3F"/>
    <w:rsid w:val="00775ADE"/>
    <w:rsid w:val="00776E90"/>
    <w:rsid w:val="007831E1"/>
    <w:rsid w:val="0078537E"/>
    <w:rsid w:val="00787A43"/>
    <w:rsid w:val="007B4CC8"/>
    <w:rsid w:val="007C59EE"/>
    <w:rsid w:val="007E0CF8"/>
    <w:rsid w:val="007E2DB3"/>
    <w:rsid w:val="00817D3E"/>
    <w:rsid w:val="008267B8"/>
    <w:rsid w:val="00834880"/>
    <w:rsid w:val="0085687E"/>
    <w:rsid w:val="008865D3"/>
    <w:rsid w:val="008A09B9"/>
    <w:rsid w:val="008A370F"/>
    <w:rsid w:val="008A7CC3"/>
    <w:rsid w:val="008B0F1B"/>
    <w:rsid w:val="008B5505"/>
    <w:rsid w:val="008C2EB0"/>
    <w:rsid w:val="008D165F"/>
    <w:rsid w:val="008D3C48"/>
    <w:rsid w:val="008E393C"/>
    <w:rsid w:val="008E42DB"/>
    <w:rsid w:val="008F056B"/>
    <w:rsid w:val="008F12BE"/>
    <w:rsid w:val="008F2BFC"/>
    <w:rsid w:val="0090345A"/>
    <w:rsid w:val="00904FF4"/>
    <w:rsid w:val="00905BCD"/>
    <w:rsid w:val="00912661"/>
    <w:rsid w:val="00913C7F"/>
    <w:rsid w:val="009261D9"/>
    <w:rsid w:val="00936140"/>
    <w:rsid w:val="0097782D"/>
    <w:rsid w:val="00982E15"/>
    <w:rsid w:val="00993029"/>
    <w:rsid w:val="00993134"/>
    <w:rsid w:val="0099353C"/>
    <w:rsid w:val="009B7985"/>
    <w:rsid w:val="009D0954"/>
    <w:rsid w:val="009E26D1"/>
    <w:rsid w:val="009F4B38"/>
    <w:rsid w:val="00A02057"/>
    <w:rsid w:val="00A12BB7"/>
    <w:rsid w:val="00A27BDE"/>
    <w:rsid w:val="00A31B02"/>
    <w:rsid w:val="00A5332E"/>
    <w:rsid w:val="00A64847"/>
    <w:rsid w:val="00A72534"/>
    <w:rsid w:val="00A8666A"/>
    <w:rsid w:val="00AA120C"/>
    <w:rsid w:val="00AA6729"/>
    <w:rsid w:val="00AA7D36"/>
    <w:rsid w:val="00AB3158"/>
    <w:rsid w:val="00AB4BBE"/>
    <w:rsid w:val="00AB7753"/>
    <w:rsid w:val="00AC56C4"/>
    <w:rsid w:val="00AD4E9A"/>
    <w:rsid w:val="00AE19C1"/>
    <w:rsid w:val="00AE4C3D"/>
    <w:rsid w:val="00AF0BDC"/>
    <w:rsid w:val="00B05187"/>
    <w:rsid w:val="00B13FCB"/>
    <w:rsid w:val="00B32D91"/>
    <w:rsid w:val="00B452DF"/>
    <w:rsid w:val="00B479A5"/>
    <w:rsid w:val="00B64639"/>
    <w:rsid w:val="00B658E0"/>
    <w:rsid w:val="00B72F6A"/>
    <w:rsid w:val="00B772EB"/>
    <w:rsid w:val="00B80DB9"/>
    <w:rsid w:val="00BA24DC"/>
    <w:rsid w:val="00BA6574"/>
    <w:rsid w:val="00BC0523"/>
    <w:rsid w:val="00BF069B"/>
    <w:rsid w:val="00C0725F"/>
    <w:rsid w:val="00C0763D"/>
    <w:rsid w:val="00C1112C"/>
    <w:rsid w:val="00C3403B"/>
    <w:rsid w:val="00C4266E"/>
    <w:rsid w:val="00C43695"/>
    <w:rsid w:val="00C518B3"/>
    <w:rsid w:val="00C66A2C"/>
    <w:rsid w:val="00C82022"/>
    <w:rsid w:val="00C82CC0"/>
    <w:rsid w:val="00CB4C15"/>
    <w:rsid w:val="00CD5F56"/>
    <w:rsid w:val="00CE08AE"/>
    <w:rsid w:val="00CE61D8"/>
    <w:rsid w:val="00CF4375"/>
    <w:rsid w:val="00D013F2"/>
    <w:rsid w:val="00D134FA"/>
    <w:rsid w:val="00D148F1"/>
    <w:rsid w:val="00D30FD8"/>
    <w:rsid w:val="00D464C1"/>
    <w:rsid w:val="00D508DE"/>
    <w:rsid w:val="00D702B6"/>
    <w:rsid w:val="00D87F9E"/>
    <w:rsid w:val="00D907DD"/>
    <w:rsid w:val="00D97DB3"/>
    <w:rsid w:val="00DA0EB6"/>
    <w:rsid w:val="00DA40A6"/>
    <w:rsid w:val="00DC2A0D"/>
    <w:rsid w:val="00DD47A4"/>
    <w:rsid w:val="00DE1F67"/>
    <w:rsid w:val="00DF25D9"/>
    <w:rsid w:val="00E0428B"/>
    <w:rsid w:val="00E11380"/>
    <w:rsid w:val="00E16C57"/>
    <w:rsid w:val="00E22288"/>
    <w:rsid w:val="00E22BD2"/>
    <w:rsid w:val="00E56A61"/>
    <w:rsid w:val="00E64B08"/>
    <w:rsid w:val="00E71457"/>
    <w:rsid w:val="00E760F7"/>
    <w:rsid w:val="00E76DE4"/>
    <w:rsid w:val="00E8415B"/>
    <w:rsid w:val="00EA0ADD"/>
    <w:rsid w:val="00EC6FBD"/>
    <w:rsid w:val="00ED2EC1"/>
    <w:rsid w:val="00ED5DF6"/>
    <w:rsid w:val="00EE0692"/>
    <w:rsid w:val="00EE60A3"/>
    <w:rsid w:val="00EF6448"/>
    <w:rsid w:val="00F051D7"/>
    <w:rsid w:val="00F06247"/>
    <w:rsid w:val="00F12012"/>
    <w:rsid w:val="00F20B24"/>
    <w:rsid w:val="00F258F5"/>
    <w:rsid w:val="00F40BAC"/>
    <w:rsid w:val="00F415F3"/>
    <w:rsid w:val="00F427B7"/>
    <w:rsid w:val="00F55D31"/>
    <w:rsid w:val="00F72E62"/>
    <w:rsid w:val="00F74D9B"/>
    <w:rsid w:val="00F75B6D"/>
    <w:rsid w:val="00F9596F"/>
    <w:rsid w:val="00FA4833"/>
    <w:rsid w:val="00FA52C8"/>
    <w:rsid w:val="00FC1D45"/>
    <w:rsid w:val="00FC73CA"/>
    <w:rsid w:val="00FD6334"/>
    <w:rsid w:val="00FD7B8C"/>
    <w:rsid w:val="00FE5C0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6D"/>
    <w:rPr>
      <w:rFonts w:ascii="Times New Roman" w:eastAsia="MS Mincho" w:hAnsi="Times New Roman"/>
      <w:sz w:val="24"/>
      <w:lang w:val="es-ES_tradnl" w:eastAsia="en-US"/>
    </w:rPr>
  </w:style>
  <w:style w:type="paragraph" w:styleId="Ttulo6">
    <w:name w:val="heading 6"/>
    <w:basedOn w:val="Normal"/>
    <w:next w:val="Normal"/>
    <w:link w:val="Ttulo6Car"/>
    <w:qFormat/>
    <w:rsid w:val="00F75B6D"/>
    <w:pPr>
      <w:keepNext/>
      <w:ind w:right="746"/>
      <w:jc w:val="center"/>
      <w:outlineLvl w:val="5"/>
    </w:pPr>
    <w:rPr>
      <w:rFonts w:ascii="Verdana" w:eastAsia="Times" w:hAnsi="Verdana"/>
      <w:b/>
      <w:smallCap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link w:val="Ttulo6"/>
    <w:rsid w:val="00F75B6D"/>
    <w:rPr>
      <w:rFonts w:ascii="Verdana" w:eastAsia="Times" w:hAnsi="Verdana" w:cs="Times New Roman"/>
      <w:b/>
      <w:smallCaps/>
      <w:sz w:val="20"/>
      <w:szCs w:val="20"/>
      <w:lang w:val="es-ES_tradnl"/>
    </w:rPr>
  </w:style>
  <w:style w:type="paragraph" w:styleId="Textonotapie">
    <w:name w:val="footnote text"/>
    <w:aliases w:val="Footnote Text Char Char Char Char Char,Footnote Text Char Char Char Char,FA Fu,Footnote reference,Footnote Text Char Char Char,Footnote Text Cha,FA Fußnotentext,FA Fuﬂnotentext,Footnote Text Char Char,FA Fu?notentext,Ca"/>
    <w:basedOn w:val="Normal"/>
    <w:link w:val="TextonotapieCar1"/>
    <w:rsid w:val="00F75B6D"/>
    <w:rPr>
      <w:sz w:val="20"/>
    </w:rPr>
  </w:style>
  <w:style w:type="character" w:customStyle="1" w:styleId="TextonotapieCar">
    <w:name w:val="Texto nota pie Car"/>
    <w:uiPriority w:val="99"/>
    <w:semiHidden/>
    <w:rsid w:val="00F75B6D"/>
    <w:rPr>
      <w:rFonts w:ascii="Times New Roman" w:eastAsia="MS Mincho" w:hAnsi="Times New Roman" w:cs="Times New Roman"/>
      <w:sz w:val="20"/>
      <w:szCs w:val="20"/>
      <w:lang w:val="es-ES_tradnl"/>
    </w:rPr>
  </w:style>
  <w:style w:type="character" w:styleId="Refdenotaalpie">
    <w:name w:val="footnote reference"/>
    <w:aliases w:val="Texto de nota al pie,Appel note de bas de page,Footnotes refss"/>
    <w:semiHidden/>
    <w:rsid w:val="00F75B6D"/>
    <w:rPr>
      <w:vertAlign w:val="superscript"/>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FA Fu?notentext Car"/>
    <w:link w:val="Textonotapie"/>
    <w:rsid w:val="00F75B6D"/>
    <w:rPr>
      <w:rFonts w:ascii="Times New Roman" w:eastAsia="MS Mincho" w:hAnsi="Times New Roman" w:cs="Times New Roman"/>
      <w:sz w:val="20"/>
      <w:szCs w:val="20"/>
      <w:lang w:val="es-ES_tradnl"/>
    </w:rPr>
  </w:style>
  <w:style w:type="paragraph" w:styleId="Textoindependiente">
    <w:name w:val="Body Text"/>
    <w:basedOn w:val="Normal"/>
    <w:link w:val="TextoindependienteCar"/>
    <w:rsid w:val="00F75B6D"/>
    <w:pPr>
      <w:spacing w:after="120"/>
    </w:pPr>
  </w:style>
  <w:style w:type="character" w:customStyle="1" w:styleId="TextoindependienteCar">
    <w:name w:val="Texto independiente Car"/>
    <w:link w:val="Textoindependiente"/>
    <w:rsid w:val="00F75B6D"/>
    <w:rPr>
      <w:rFonts w:ascii="Times New Roman" w:eastAsia="MS Mincho" w:hAnsi="Times New Roman" w:cs="Times New Roman"/>
      <w:sz w:val="24"/>
      <w:szCs w:val="20"/>
      <w:lang w:val="es-ES_tradnl"/>
    </w:rPr>
  </w:style>
  <w:style w:type="paragraph" w:styleId="Encabezado">
    <w:name w:val="header"/>
    <w:basedOn w:val="Normal"/>
    <w:link w:val="EncabezadoCar"/>
    <w:rsid w:val="00F75B6D"/>
    <w:pPr>
      <w:tabs>
        <w:tab w:val="center" w:pos="4320"/>
        <w:tab w:val="right" w:pos="8640"/>
      </w:tabs>
    </w:pPr>
  </w:style>
  <w:style w:type="character" w:customStyle="1" w:styleId="EncabezadoCar">
    <w:name w:val="Encabezado Car"/>
    <w:link w:val="Encabezado"/>
    <w:rsid w:val="00F75B6D"/>
    <w:rPr>
      <w:rFonts w:ascii="Times New Roman" w:eastAsia="MS Mincho" w:hAnsi="Times New Roman" w:cs="Times New Roman"/>
      <w:sz w:val="24"/>
      <w:szCs w:val="20"/>
      <w:lang w:val="es-ES_tradnl"/>
    </w:rPr>
  </w:style>
  <w:style w:type="character" w:styleId="Nmerodepgina">
    <w:name w:val="page number"/>
    <w:basedOn w:val="Fuentedeprrafopredeter"/>
    <w:rsid w:val="00F75B6D"/>
  </w:style>
  <w:style w:type="paragraph" w:styleId="Prrafodelista">
    <w:name w:val="List Paragraph"/>
    <w:basedOn w:val="Normal"/>
    <w:qFormat/>
    <w:rsid w:val="00F75B6D"/>
    <w:pPr>
      <w:ind w:left="708"/>
    </w:pPr>
  </w:style>
  <w:style w:type="character" w:styleId="Refdecomentario">
    <w:name w:val="annotation reference"/>
    <w:uiPriority w:val="99"/>
    <w:semiHidden/>
    <w:unhideWhenUsed/>
    <w:rsid w:val="004A41E7"/>
    <w:rPr>
      <w:sz w:val="16"/>
      <w:szCs w:val="16"/>
    </w:rPr>
  </w:style>
  <w:style w:type="paragraph" w:styleId="Textocomentario">
    <w:name w:val="annotation text"/>
    <w:basedOn w:val="Normal"/>
    <w:link w:val="TextocomentarioCar"/>
    <w:uiPriority w:val="99"/>
    <w:semiHidden/>
    <w:unhideWhenUsed/>
    <w:rsid w:val="004A41E7"/>
    <w:rPr>
      <w:sz w:val="20"/>
    </w:rPr>
  </w:style>
  <w:style w:type="character" w:customStyle="1" w:styleId="TextocomentarioCar">
    <w:name w:val="Texto comentario Car"/>
    <w:link w:val="Textocomentario"/>
    <w:uiPriority w:val="99"/>
    <w:semiHidden/>
    <w:rsid w:val="004A41E7"/>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4A41E7"/>
    <w:rPr>
      <w:b/>
      <w:bCs/>
    </w:rPr>
  </w:style>
  <w:style w:type="character" w:customStyle="1" w:styleId="AsuntodelcomentarioCar">
    <w:name w:val="Asunto del comentario Car"/>
    <w:link w:val="Asuntodelcomentario"/>
    <w:uiPriority w:val="99"/>
    <w:semiHidden/>
    <w:rsid w:val="004A41E7"/>
    <w:rPr>
      <w:rFonts w:ascii="Times New Roman" w:eastAsia="MS Mincho" w:hAnsi="Times New Roman" w:cs="Times New Roman"/>
      <w:b/>
      <w:bCs/>
      <w:sz w:val="20"/>
      <w:szCs w:val="20"/>
      <w:lang w:val="es-ES_tradnl"/>
    </w:rPr>
  </w:style>
  <w:style w:type="paragraph" w:styleId="Textodeglobo">
    <w:name w:val="Balloon Text"/>
    <w:basedOn w:val="Normal"/>
    <w:link w:val="TextodegloboCar"/>
    <w:uiPriority w:val="99"/>
    <w:semiHidden/>
    <w:unhideWhenUsed/>
    <w:rsid w:val="004A41E7"/>
    <w:rPr>
      <w:rFonts w:ascii="Tahoma" w:hAnsi="Tahoma" w:cs="Tahoma"/>
      <w:sz w:val="16"/>
      <w:szCs w:val="16"/>
    </w:rPr>
  </w:style>
  <w:style w:type="character" w:customStyle="1" w:styleId="TextodegloboCar">
    <w:name w:val="Texto de globo Car"/>
    <w:link w:val="Textodeglobo"/>
    <w:uiPriority w:val="99"/>
    <w:semiHidden/>
    <w:rsid w:val="004A41E7"/>
    <w:rPr>
      <w:rFonts w:ascii="Tahoma" w:eastAsia="MS Mincho" w:hAnsi="Tahoma" w:cs="Tahoma"/>
      <w:sz w:val="16"/>
      <w:szCs w:val="16"/>
      <w:lang w:val="es-ES_tradnl"/>
    </w:rPr>
  </w:style>
  <w:style w:type="paragraph" w:styleId="Piedepgina">
    <w:name w:val="footer"/>
    <w:basedOn w:val="Normal"/>
    <w:link w:val="PiedepginaCar"/>
    <w:uiPriority w:val="99"/>
    <w:unhideWhenUsed/>
    <w:rsid w:val="000810CB"/>
    <w:pPr>
      <w:tabs>
        <w:tab w:val="center" w:pos="4680"/>
        <w:tab w:val="right" w:pos="9360"/>
      </w:tabs>
    </w:pPr>
  </w:style>
  <w:style w:type="character" w:customStyle="1" w:styleId="PiedepginaCar">
    <w:name w:val="Pie de página Car"/>
    <w:link w:val="Piedepgina"/>
    <w:uiPriority w:val="99"/>
    <w:rsid w:val="000810CB"/>
    <w:rPr>
      <w:rFonts w:ascii="Times New Roman" w:eastAsia="MS Mincho" w:hAnsi="Times New Roman" w:cs="Times New Roman"/>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03578">
      <w:bodyDiv w:val="1"/>
      <w:marLeft w:val="0"/>
      <w:marRight w:val="0"/>
      <w:marTop w:val="0"/>
      <w:marBottom w:val="0"/>
      <w:divBdr>
        <w:top w:val="none" w:sz="0" w:space="0" w:color="auto"/>
        <w:left w:val="none" w:sz="0" w:space="0" w:color="auto"/>
        <w:bottom w:val="none" w:sz="0" w:space="0" w:color="auto"/>
        <w:right w:val="none" w:sz="0" w:space="0" w:color="auto"/>
      </w:divBdr>
    </w:div>
    <w:div w:id="179891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2371</Words>
  <Characters>13044</Characters>
  <Application>Microsoft Office Word</Application>
  <DocSecurity>0</DocSecurity>
  <Lines>108</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2017-08-02T22:29:00Z</cp:lastPrinted>
  <dcterms:created xsi:type="dcterms:W3CDTF">2017-08-02T22:29:00Z</dcterms:created>
  <dcterms:modified xsi:type="dcterms:W3CDTF">2017-08-02T22:29:00Z</dcterms:modified>
</cp:coreProperties>
</file>