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AC3" w:rsidRPr="00FD6196" w:rsidRDefault="00282AC3" w:rsidP="00282AC3">
      <w:pPr>
        <w:pStyle w:val="Default"/>
        <w:tabs>
          <w:tab w:val="left" w:pos="567"/>
        </w:tabs>
        <w:rPr>
          <w:b/>
          <w:bCs/>
          <w:spacing w:val="-2"/>
          <w:sz w:val="20"/>
          <w:szCs w:val="20"/>
          <w:lang w:val="es-ES"/>
        </w:rPr>
      </w:pPr>
      <w:bookmarkStart w:id="0" w:name="_GoBack"/>
      <w:bookmarkEnd w:id="0"/>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RESOLUCIÓN DEL PRESIDENTE DE LA</w:t>
      </w:r>
    </w:p>
    <w:p w:rsidR="00282AC3" w:rsidRPr="004C6385" w:rsidRDefault="00282AC3" w:rsidP="00282AC3">
      <w:pPr>
        <w:pStyle w:val="Default"/>
        <w:tabs>
          <w:tab w:val="left" w:pos="567"/>
        </w:tabs>
        <w:jc w:val="center"/>
        <w:rPr>
          <w:b/>
          <w:bCs/>
          <w:spacing w:val="-2"/>
          <w:sz w:val="20"/>
          <w:szCs w:val="20"/>
          <w:lang w:val="es-ES"/>
        </w:rPr>
      </w:pPr>
    </w:p>
    <w:p w:rsidR="00282AC3" w:rsidRPr="004C6385" w:rsidRDefault="00282AC3" w:rsidP="00282AC3">
      <w:pPr>
        <w:pStyle w:val="Default"/>
        <w:tabs>
          <w:tab w:val="left" w:pos="567"/>
        </w:tabs>
        <w:jc w:val="center"/>
        <w:rPr>
          <w:spacing w:val="-2"/>
          <w:sz w:val="20"/>
          <w:szCs w:val="20"/>
          <w:lang w:val="es-ES"/>
        </w:rPr>
      </w:pPr>
      <w:r w:rsidRPr="004C6385">
        <w:rPr>
          <w:b/>
          <w:bCs/>
          <w:spacing w:val="-2"/>
          <w:sz w:val="20"/>
          <w:szCs w:val="20"/>
          <w:lang w:val="es-ES"/>
        </w:rPr>
        <w:t>CORTE INTERAMERICANA DE DERECHOS HUMANOS</w:t>
      </w:r>
    </w:p>
    <w:p w:rsidR="00282AC3" w:rsidRPr="004C6385" w:rsidRDefault="00282AC3" w:rsidP="00282AC3">
      <w:pPr>
        <w:pStyle w:val="Default"/>
        <w:tabs>
          <w:tab w:val="left" w:pos="567"/>
        </w:tabs>
        <w:jc w:val="center"/>
        <w:rPr>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 xml:space="preserve">DE </w:t>
      </w:r>
      <w:r w:rsidR="008666FD">
        <w:rPr>
          <w:b/>
          <w:bCs/>
          <w:spacing w:val="-2"/>
          <w:sz w:val="20"/>
          <w:szCs w:val="20"/>
          <w:lang w:val="es-ES"/>
        </w:rPr>
        <w:t>1</w:t>
      </w:r>
      <w:r w:rsidR="00664DB9">
        <w:rPr>
          <w:b/>
          <w:bCs/>
          <w:spacing w:val="-2"/>
          <w:sz w:val="20"/>
          <w:szCs w:val="20"/>
          <w:lang w:val="es-ES"/>
        </w:rPr>
        <w:t>4</w:t>
      </w:r>
      <w:r w:rsidRPr="004C6385">
        <w:rPr>
          <w:b/>
          <w:bCs/>
          <w:spacing w:val="-2"/>
          <w:sz w:val="20"/>
          <w:szCs w:val="20"/>
          <w:lang w:val="es-ES"/>
        </w:rPr>
        <w:t xml:space="preserve"> DE </w:t>
      </w:r>
      <w:r w:rsidR="00381137" w:rsidRPr="004C6385">
        <w:rPr>
          <w:b/>
          <w:bCs/>
          <w:spacing w:val="-2"/>
          <w:sz w:val="20"/>
          <w:szCs w:val="20"/>
          <w:lang w:val="es-ES"/>
        </w:rPr>
        <w:t>OCTUBRE</w:t>
      </w:r>
      <w:r w:rsidRPr="004C6385">
        <w:rPr>
          <w:b/>
          <w:bCs/>
          <w:spacing w:val="-2"/>
          <w:sz w:val="20"/>
          <w:szCs w:val="20"/>
          <w:lang w:val="es-ES"/>
        </w:rPr>
        <w:t xml:space="preserve"> DE 2016</w:t>
      </w:r>
    </w:p>
    <w:p w:rsidR="00282AC3" w:rsidRPr="004C6385" w:rsidRDefault="00282AC3" w:rsidP="00282AC3">
      <w:pPr>
        <w:pStyle w:val="Default"/>
        <w:tabs>
          <w:tab w:val="left" w:pos="567"/>
        </w:tabs>
        <w:jc w:val="center"/>
        <w:rPr>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FONDO DE ASISTENCIA LEGAL DE VÍCTIMAS</w:t>
      </w:r>
    </w:p>
    <w:p w:rsidR="00282AC3" w:rsidRPr="004C6385" w:rsidRDefault="00282AC3" w:rsidP="00282AC3">
      <w:pPr>
        <w:pStyle w:val="Default"/>
        <w:tabs>
          <w:tab w:val="left" w:pos="567"/>
        </w:tabs>
        <w:jc w:val="center"/>
        <w:rPr>
          <w:b/>
          <w:bCs/>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CASO RAM</w:t>
      </w:r>
      <w:r w:rsidR="008D46B7" w:rsidRPr="004C6385">
        <w:rPr>
          <w:b/>
          <w:bCs/>
          <w:spacing w:val="-2"/>
          <w:sz w:val="20"/>
          <w:szCs w:val="20"/>
          <w:lang w:val="es-ES"/>
        </w:rPr>
        <w:t>Í</w:t>
      </w:r>
      <w:r w:rsidRPr="004C6385">
        <w:rPr>
          <w:b/>
          <w:bCs/>
          <w:spacing w:val="-2"/>
          <w:sz w:val="20"/>
          <w:szCs w:val="20"/>
          <w:lang w:val="es-ES"/>
        </w:rPr>
        <w:t xml:space="preserve">REZ </w:t>
      </w:r>
      <w:r w:rsidR="008D46B7" w:rsidRPr="004C6385">
        <w:rPr>
          <w:b/>
          <w:bCs/>
          <w:spacing w:val="-2"/>
          <w:sz w:val="20"/>
          <w:szCs w:val="20"/>
          <w:lang w:val="es-ES"/>
        </w:rPr>
        <w:t>ESCOBAR y</w:t>
      </w:r>
      <w:r w:rsidR="004B10B4" w:rsidRPr="004C6385">
        <w:rPr>
          <w:b/>
          <w:bCs/>
          <w:spacing w:val="-2"/>
          <w:sz w:val="20"/>
          <w:szCs w:val="20"/>
          <w:lang w:val="es-ES"/>
        </w:rPr>
        <w:t xml:space="preserve"> </w:t>
      </w:r>
      <w:r w:rsidR="008D46B7" w:rsidRPr="004C6385">
        <w:rPr>
          <w:b/>
          <w:bCs/>
          <w:spacing w:val="-2"/>
          <w:sz w:val="20"/>
          <w:szCs w:val="20"/>
          <w:lang w:val="es-ES"/>
        </w:rPr>
        <w:t>OTROS</w:t>
      </w:r>
      <w:r w:rsidR="000D1637" w:rsidRPr="004C6385">
        <w:rPr>
          <w:rStyle w:val="Refdenotaalpie"/>
          <w:b/>
          <w:bCs/>
          <w:spacing w:val="-2"/>
          <w:sz w:val="20"/>
          <w:szCs w:val="20"/>
          <w:lang w:val="es-ES"/>
        </w:rPr>
        <w:footnoteReference w:id="1"/>
      </w:r>
      <w:r w:rsidR="004B10B4" w:rsidRPr="004C6385">
        <w:rPr>
          <w:b/>
          <w:bCs/>
          <w:spacing w:val="-2"/>
          <w:sz w:val="20"/>
          <w:szCs w:val="20"/>
          <w:lang w:val="es-ES"/>
        </w:rPr>
        <w:t xml:space="preserve"> VS. GUATEMALA</w:t>
      </w:r>
    </w:p>
    <w:p w:rsidR="008D46B7" w:rsidRDefault="008D46B7" w:rsidP="00282AC3">
      <w:pPr>
        <w:pStyle w:val="Default"/>
        <w:tabs>
          <w:tab w:val="left" w:pos="567"/>
        </w:tabs>
        <w:jc w:val="both"/>
        <w:rPr>
          <w:b/>
          <w:bCs/>
          <w:spacing w:val="-2"/>
          <w:sz w:val="20"/>
          <w:szCs w:val="20"/>
          <w:lang w:val="es-ES"/>
        </w:rPr>
      </w:pPr>
    </w:p>
    <w:p w:rsidR="00BE7DD4" w:rsidRDefault="00BE7DD4" w:rsidP="00282AC3">
      <w:pPr>
        <w:pStyle w:val="Default"/>
        <w:tabs>
          <w:tab w:val="left" w:pos="567"/>
        </w:tabs>
        <w:jc w:val="both"/>
        <w:rPr>
          <w:b/>
          <w:bCs/>
          <w:spacing w:val="-2"/>
          <w:sz w:val="20"/>
          <w:szCs w:val="20"/>
          <w:lang w:val="es-ES"/>
        </w:rPr>
      </w:pPr>
    </w:p>
    <w:p w:rsidR="00226FDF" w:rsidRDefault="00226FDF" w:rsidP="00282AC3">
      <w:pPr>
        <w:pStyle w:val="Default"/>
        <w:tabs>
          <w:tab w:val="left" w:pos="567"/>
        </w:tabs>
        <w:jc w:val="both"/>
        <w:rPr>
          <w:b/>
          <w:bCs/>
          <w:spacing w:val="-2"/>
          <w:sz w:val="20"/>
          <w:szCs w:val="20"/>
          <w:lang w:val="es-ES"/>
        </w:rPr>
      </w:pPr>
    </w:p>
    <w:p w:rsidR="0091383C" w:rsidRDefault="0091383C" w:rsidP="00282AC3">
      <w:pPr>
        <w:pStyle w:val="Default"/>
        <w:tabs>
          <w:tab w:val="left" w:pos="567"/>
        </w:tabs>
        <w:jc w:val="both"/>
        <w:rPr>
          <w:b/>
          <w:bCs/>
          <w:spacing w:val="-2"/>
          <w:sz w:val="20"/>
          <w:szCs w:val="20"/>
          <w:lang w:val="es-ES"/>
        </w:rPr>
      </w:pPr>
    </w:p>
    <w:p w:rsidR="0091383C" w:rsidRDefault="0091383C" w:rsidP="00282AC3">
      <w:pPr>
        <w:pStyle w:val="Default"/>
        <w:tabs>
          <w:tab w:val="left" w:pos="567"/>
        </w:tabs>
        <w:jc w:val="both"/>
        <w:rPr>
          <w:b/>
          <w:bCs/>
          <w:spacing w:val="-2"/>
          <w:sz w:val="20"/>
          <w:szCs w:val="20"/>
          <w:lang w:val="es-ES"/>
        </w:rPr>
      </w:pPr>
    </w:p>
    <w:p w:rsidR="0091383C" w:rsidRPr="004C6385" w:rsidRDefault="0091383C" w:rsidP="00282AC3">
      <w:pPr>
        <w:pStyle w:val="Default"/>
        <w:tabs>
          <w:tab w:val="left" w:pos="567"/>
        </w:tabs>
        <w:jc w:val="both"/>
        <w:rPr>
          <w:b/>
          <w:bCs/>
          <w:spacing w:val="-2"/>
          <w:sz w:val="20"/>
          <w:szCs w:val="20"/>
          <w:lang w:val="es-ES"/>
        </w:rPr>
      </w:pPr>
    </w:p>
    <w:p w:rsidR="00282AC3" w:rsidRPr="004C6385" w:rsidRDefault="00282AC3" w:rsidP="00282AC3">
      <w:pPr>
        <w:pStyle w:val="Default"/>
        <w:tabs>
          <w:tab w:val="left" w:pos="567"/>
        </w:tabs>
        <w:jc w:val="both"/>
        <w:rPr>
          <w:b/>
          <w:bCs/>
          <w:spacing w:val="-2"/>
          <w:sz w:val="20"/>
          <w:szCs w:val="20"/>
          <w:lang w:val="es-ES"/>
        </w:rPr>
      </w:pPr>
      <w:r w:rsidRPr="004C6385">
        <w:rPr>
          <w:b/>
          <w:bCs/>
          <w:spacing w:val="-2"/>
          <w:sz w:val="20"/>
          <w:szCs w:val="20"/>
          <w:lang w:val="es-ES"/>
        </w:rPr>
        <w:t>VISTO:</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sidRPr="004C6385">
        <w:rPr>
          <w:rFonts w:ascii="Verdana" w:hAnsi="Verdana" w:cs="Verdana"/>
          <w:spacing w:val="-2"/>
          <w:sz w:val="20"/>
          <w:szCs w:val="20"/>
          <w:lang w:val="es-ES"/>
        </w:rPr>
        <w:t>1.</w:t>
      </w:r>
      <w:r w:rsidRPr="004C6385">
        <w:rPr>
          <w:rFonts w:ascii="Verdana" w:hAnsi="Verdana" w:cs="Verdana"/>
          <w:spacing w:val="-2"/>
          <w:sz w:val="20"/>
          <w:szCs w:val="20"/>
          <w:lang w:val="es-ES"/>
        </w:rPr>
        <w:tab/>
        <w:t>El escrito de 12 de febrero de 2016 y sus anexos, mediante los cuales la Comisión Interamericana de Derechos Humanos (en adelante “la Comisión Interamericana” o “la Comisión”) sometió ante la Corte Interamericana de Derechos Humanos (en adelante “la Corte Interamericana”, “la Corte” o “el Tribunal”) el presente caso</w:t>
      </w:r>
      <w:r w:rsidR="00381137" w:rsidRPr="004C6385">
        <w:rPr>
          <w:rFonts w:ascii="Verdana" w:hAnsi="Verdana" w:cs="Verdana"/>
          <w:spacing w:val="-2"/>
          <w:sz w:val="20"/>
          <w:szCs w:val="20"/>
          <w:lang w:val="es-ES"/>
        </w:rPr>
        <w:t>.</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Pr="005C5183" w:rsidRDefault="00282AC3" w:rsidP="00282AC3">
      <w:pPr>
        <w:pStyle w:val="Prrafodelista"/>
        <w:tabs>
          <w:tab w:val="left" w:pos="567"/>
        </w:tabs>
        <w:autoSpaceDE w:val="0"/>
        <w:autoSpaceDN w:val="0"/>
        <w:adjustRightInd w:val="0"/>
        <w:spacing w:after="0" w:line="240" w:lineRule="auto"/>
        <w:ind w:left="0"/>
        <w:jc w:val="both"/>
        <w:rPr>
          <w:spacing w:val="-2"/>
          <w:lang w:val="es-ES"/>
        </w:rPr>
      </w:pPr>
      <w:r w:rsidRPr="004C6385">
        <w:rPr>
          <w:rFonts w:ascii="Verdana" w:hAnsi="Verdana" w:cs="Verdana"/>
          <w:spacing w:val="-2"/>
          <w:sz w:val="20"/>
          <w:szCs w:val="20"/>
          <w:lang w:val="es-ES"/>
        </w:rPr>
        <w:t>2.</w:t>
      </w:r>
      <w:r w:rsidRPr="004C6385">
        <w:rPr>
          <w:rFonts w:ascii="Verdana" w:hAnsi="Verdana" w:cs="Verdana"/>
          <w:spacing w:val="-2"/>
          <w:sz w:val="20"/>
          <w:szCs w:val="20"/>
          <w:lang w:val="es-ES"/>
        </w:rPr>
        <w:tab/>
        <w:t xml:space="preserve">El escrito de </w:t>
      </w:r>
      <w:r w:rsidR="003327A0" w:rsidRPr="004C6385">
        <w:rPr>
          <w:rFonts w:ascii="Verdana" w:hAnsi="Verdana" w:cs="Verdana"/>
          <w:spacing w:val="-2"/>
          <w:sz w:val="20"/>
          <w:szCs w:val="20"/>
          <w:lang w:val="es-ES"/>
        </w:rPr>
        <w:t>30 de mayo de 2016</w:t>
      </w:r>
      <w:r w:rsidRPr="004C6385">
        <w:rPr>
          <w:rFonts w:ascii="Verdana" w:hAnsi="Verdana" w:cs="Verdana"/>
          <w:spacing w:val="-2"/>
          <w:sz w:val="20"/>
          <w:szCs w:val="20"/>
          <w:lang w:val="es-ES"/>
        </w:rPr>
        <w:t xml:space="preserve">, mediante el cual la </w:t>
      </w:r>
      <w:r w:rsidRPr="004C6385">
        <w:rPr>
          <w:rFonts w:ascii="Verdana" w:hAnsi="Verdana" w:cs="Verdana"/>
          <w:spacing w:val="-2"/>
          <w:sz w:val="20"/>
          <w:szCs w:val="20"/>
          <w:lang w:val="es-AR"/>
        </w:rPr>
        <w:t xml:space="preserve">Asociación </w:t>
      </w:r>
      <w:r w:rsidR="00236FEE" w:rsidRPr="004C6385">
        <w:rPr>
          <w:rFonts w:ascii="Verdana" w:hAnsi="Verdana" w:cs="Verdana"/>
          <w:spacing w:val="-2"/>
          <w:sz w:val="20"/>
          <w:szCs w:val="20"/>
          <w:lang w:val="es-AR"/>
        </w:rPr>
        <w:t xml:space="preserve">El </w:t>
      </w:r>
      <w:r w:rsidR="00666735">
        <w:rPr>
          <w:rFonts w:ascii="Verdana" w:hAnsi="Verdana" w:cs="Verdana"/>
          <w:spacing w:val="-2"/>
          <w:sz w:val="20"/>
          <w:szCs w:val="20"/>
          <w:lang w:val="es-AR"/>
        </w:rPr>
        <w:t>R</w:t>
      </w:r>
      <w:r w:rsidR="00236FEE" w:rsidRPr="004C6385">
        <w:rPr>
          <w:rFonts w:ascii="Verdana" w:hAnsi="Verdana" w:cs="Verdana"/>
          <w:spacing w:val="-2"/>
          <w:sz w:val="20"/>
          <w:szCs w:val="20"/>
          <w:lang w:val="es-AR"/>
        </w:rPr>
        <w:t xml:space="preserve">efugio de la Niñez en Guatemala y el Centro por la Justicia y el Derecho Internacional </w:t>
      </w:r>
      <w:r w:rsidRPr="004C6385">
        <w:rPr>
          <w:rFonts w:ascii="Verdana" w:hAnsi="Verdana" w:cs="Verdana"/>
          <w:spacing w:val="-2"/>
          <w:sz w:val="20"/>
          <w:szCs w:val="20"/>
          <w:lang w:val="es-ES"/>
        </w:rPr>
        <w:t>(en adelante “los representantes”)</w:t>
      </w:r>
      <w:r w:rsidRPr="004C6385">
        <w:rPr>
          <w:rFonts w:ascii="Verdana" w:hAnsi="Verdana" w:cs="Verdana"/>
          <w:spacing w:val="-2"/>
          <w:sz w:val="20"/>
          <w:szCs w:val="20"/>
          <w:lang w:val="es-AR"/>
        </w:rPr>
        <w:t>, en representación de las presuntas víctimas</w:t>
      </w:r>
      <w:r w:rsidRPr="004C6385">
        <w:rPr>
          <w:rFonts w:ascii="Verdana" w:hAnsi="Verdana" w:cs="Verdana"/>
          <w:spacing w:val="-2"/>
          <w:sz w:val="20"/>
          <w:szCs w:val="20"/>
          <w:lang w:val="es-ES"/>
        </w:rPr>
        <w:t xml:space="preserve">, remitieron su escrito de solicitudes, argumentos y pruebas (en adelante “escrito de solicitudes y argumentos”), ofrecieron </w:t>
      </w:r>
      <w:r w:rsidR="000F6004" w:rsidRPr="004C6385">
        <w:rPr>
          <w:rFonts w:ascii="Verdana" w:hAnsi="Verdana" w:cs="Verdana"/>
          <w:spacing w:val="-2"/>
          <w:sz w:val="20"/>
          <w:szCs w:val="20"/>
          <w:lang w:val="es-ES"/>
        </w:rPr>
        <w:t xml:space="preserve">las </w:t>
      </w:r>
      <w:r w:rsidR="00236FEE" w:rsidRPr="004C6385">
        <w:rPr>
          <w:rFonts w:ascii="Verdana" w:hAnsi="Verdana" w:cs="Verdana"/>
          <w:spacing w:val="-2"/>
          <w:sz w:val="20"/>
          <w:szCs w:val="20"/>
          <w:lang w:val="es-ES"/>
        </w:rPr>
        <w:t>declaraci</w:t>
      </w:r>
      <w:r w:rsidR="000F6004" w:rsidRPr="004C6385">
        <w:rPr>
          <w:rFonts w:ascii="Verdana" w:hAnsi="Verdana" w:cs="Verdana"/>
          <w:spacing w:val="-2"/>
          <w:sz w:val="20"/>
          <w:szCs w:val="20"/>
          <w:lang w:val="es-ES"/>
        </w:rPr>
        <w:t>ones</w:t>
      </w:r>
      <w:r w:rsidR="00236FEE" w:rsidRPr="004C6385">
        <w:rPr>
          <w:rFonts w:ascii="Verdana" w:hAnsi="Verdana" w:cs="Verdana"/>
          <w:spacing w:val="-2"/>
          <w:sz w:val="20"/>
          <w:szCs w:val="20"/>
          <w:lang w:val="es-ES"/>
        </w:rPr>
        <w:t xml:space="preserve"> de </w:t>
      </w:r>
      <w:r w:rsidR="00791582" w:rsidRPr="004C6385">
        <w:rPr>
          <w:rFonts w:ascii="Verdana" w:hAnsi="Verdana" w:cs="Verdana"/>
          <w:spacing w:val="-2"/>
          <w:sz w:val="20"/>
          <w:szCs w:val="20"/>
          <w:lang w:val="es-ES"/>
        </w:rPr>
        <w:t>tres</w:t>
      </w:r>
      <w:r w:rsidR="00236FEE" w:rsidRPr="004C6385">
        <w:rPr>
          <w:rFonts w:ascii="Verdana" w:hAnsi="Verdana" w:cs="Verdana"/>
          <w:spacing w:val="-2"/>
          <w:sz w:val="20"/>
          <w:szCs w:val="20"/>
          <w:lang w:val="es-ES"/>
        </w:rPr>
        <w:t xml:space="preserve"> presunta</w:t>
      </w:r>
      <w:r w:rsidR="00791582" w:rsidRPr="004C6385">
        <w:rPr>
          <w:rFonts w:ascii="Verdana" w:hAnsi="Verdana" w:cs="Verdana"/>
          <w:spacing w:val="-2"/>
          <w:sz w:val="20"/>
          <w:szCs w:val="20"/>
          <w:lang w:val="es-ES"/>
        </w:rPr>
        <w:t>s</w:t>
      </w:r>
      <w:r w:rsidR="00236FEE" w:rsidRPr="004C6385">
        <w:rPr>
          <w:rFonts w:ascii="Verdana" w:hAnsi="Verdana" w:cs="Verdana"/>
          <w:spacing w:val="-2"/>
          <w:sz w:val="20"/>
          <w:szCs w:val="20"/>
          <w:lang w:val="es-ES"/>
        </w:rPr>
        <w:t xml:space="preserve"> víctima</w:t>
      </w:r>
      <w:r w:rsidR="00791582" w:rsidRPr="004C6385">
        <w:rPr>
          <w:rFonts w:ascii="Verdana" w:hAnsi="Verdana" w:cs="Verdana"/>
          <w:spacing w:val="-2"/>
          <w:sz w:val="20"/>
          <w:szCs w:val="20"/>
          <w:lang w:val="es-ES"/>
        </w:rPr>
        <w:t xml:space="preserve">s </w:t>
      </w:r>
      <w:r w:rsidR="00D20344" w:rsidRPr="004C6385">
        <w:rPr>
          <w:rFonts w:ascii="Verdana" w:hAnsi="Verdana" w:cs="Verdana"/>
          <w:spacing w:val="-2"/>
          <w:sz w:val="20"/>
          <w:szCs w:val="20"/>
          <w:lang w:val="es-ES"/>
        </w:rPr>
        <w:t>y ocho</w:t>
      </w:r>
      <w:r w:rsidRPr="004C6385">
        <w:rPr>
          <w:rFonts w:ascii="Verdana" w:hAnsi="Verdana" w:cs="Verdana"/>
          <w:spacing w:val="-2"/>
          <w:sz w:val="20"/>
          <w:szCs w:val="20"/>
          <w:lang w:val="es-ES"/>
        </w:rPr>
        <w:t xml:space="preserve"> peritajes, así como solicitaron acogerse al Fondo de Asistencia Legal de Víctimas de la Corte (en adelante “Fondo de Asistencia de la Corte” o “Fondo”).</w:t>
      </w:r>
    </w:p>
    <w:p w:rsidR="00282AC3" w:rsidRDefault="00282AC3" w:rsidP="00F77241">
      <w:pPr>
        <w:tabs>
          <w:tab w:val="left" w:pos="567"/>
        </w:tabs>
        <w:autoSpaceDE w:val="0"/>
        <w:autoSpaceDN w:val="0"/>
        <w:adjustRightInd w:val="0"/>
        <w:spacing w:after="0" w:line="240" w:lineRule="auto"/>
        <w:jc w:val="both"/>
        <w:rPr>
          <w:rFonts w:ascii="Verdana" w:hAnsi="Verdana"/>
          <w:spacing w:val="-2"/>
          <w:sz w:val="20"/>
          <w:szCs w:val="20"/>
          <w:lang w:val="es-ES"/>
        </w:rPr>
      </w:pPr>
    </w:p>
    <w:p w:rsidR="00813669" w:rsidRDefault="00813669" w:rsidP="00E85BD6">
      <w:pPr>
        <w:pStyle w:val="Default"/>
        <w:tabs>
          <w:tab w:val="left" w:pos="567"/>
        </w:tabs>
        <w:spacing w:after="120"/>
        <w:jc w:val="both"/>
        <w:rPr>
          <w:b/>
          <w:bCs/>
          <w:color w:val="auto"/>
          <w:spacing w:val="-2"/>
          <w:sz w:val="20"/>
          <w:szCs w:val="20"/>
          <w:lang w:val="es-ES"/>
        </w:rPr>
      </w:pPr>
    </w:p>
    <w:p w:rsidR="00282AC3" w:rsidRPr="004C6385" w:rsidRDefault="00282AC3" w:rsidP="00E85BD6">
      <w:pPr>
        <w:pStyle w:val="Default"/>
        <w:tabs>
          <w:tab w:val="left" w:pos="567"/>
        </w:tabs>
        <w:spacing w:after="120"/>
        <w:jc w:val="both"/>
        <w:rPr>
          <w:b/>
          <w:bCs/>
          <w:color w:val="auto"/>
          <w:spacing w:val="-2"/>
          <w:sz w:val="20"/>
          <w:szCs w:val="20"/>
          <w:lang w:val="es-ES"/>
        </w:rPr>
      </w:pPr>
      <w:r w:rsidRPr="004C6385">
        <w:rPr>
          <w:b/>
          <w:bCs/>
          <w:color w:val="auto"/>
          <w:spacing w:val="-2"/>
          <w:sz w:val="20"/>
          <w:szCs w:val="20"/>
          <w:lang w:val="es-ES"/>
        </w:rPr>
        <w:t>CONSIDERANDO QUE:</w:t>
      </w:r>
    </w:p>
    <w:p w:rsidR="00282AC3" w:rsidRPr="004C6385" w:rsidRDefault="00282AC3" w:rsidP="00E85BD6">
      <w:pPr>
        <w:pStyle w:val="Default"/>
        <w:tabs>
          <w:tab w:val="left" w:pos="567"/>
        </w:tabs>
        <w:spacing w:before="120"/>
        <w:jc w:val="both"/>
        <w:rPr>
          <w:b/>
          <w:bCs/>
          <w:color w:val="auto"/>
          <w:spacing w:val="-2"/>
          <w:sz w:val="20"/>
          <w:szCs w:val="20"/>
          <w:lang w:val="es-ES"/>
        </w:rPr>
      </w:pPr>
    </w:p>
    <w:p w:rsidR="00282AC3" w:rsidRPr="004C6385" w:rsidRDefault="00D20344" w:rsidP="00282AC3">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Guatemala</w:t>
      </w:r>
      <w:r w:rsidR="00282AC3" w:rsidRPr="004C6385">
        <w:rPr>
          <w:rFonts w:ascii="Verdana" w:hAnsi="Verdana" w:cs="Verdana"/>
          <w:spacing w:val="-2"/>
          <w:sz w:val="20"/>
          <w:szCs w:val="20"/>
          <w:lang w:val="es-ES"/>
        </w:rPr>
        <w:t xml:space="preserve"> es Estado Parte de la Convención Americana sobre Derechos Humanos (en adelante la “Convención Americana” o la “Convención”) desde el </w:t>
      </w:r>
      <w:r w:rsidR="00E42F56" w:rsidRPr="004C6385">
        <w:rPr>
          <w:rFonts w:ascii="Verdana" w:hAnsi="Verdana" w:cs="Verdana"/>
          <w:spacing w:val="-2"/>
          <w:sz w:val="20"/>
          <w:szCs w:val="20"/>
          <w:lang w:val="es-ES"/>
        </w:rPr>
        <w:t>2</w:t>
      </w:r>
      <w:r w:rsidR="002262D1" w:rsidRPr="004C6385">
        <w:rPr>
          <w:rFonts w:ascii="Verdana" w:hAnsi="Verdana" w:cs="Verdana"/>
          <w:spacing w:val="-2"/>
          <w:sz w:val="20"/>
          <w:szCs w:val="20"/>
          <w:lang w:val="es-ES"/>
        </w:rPr>
        <w:t>5 de mayo de</w:t>
      </w:r>
      <w:r w:rsidR="00282AC3" w:rsidRPr="004C6385">
        <w:rPr>
          <w:rFonts w:ascii="Verdana" w:hAnsi="Verdana" w:cs="Verdana"/>
          <w:spacing w:val="-2"/>
          <w:sz w:val="20"/>
          <w:szCs w:val="20"/>
          <w:lang w:val="es-ES"/>
        </w:rPr>
        <w:t xml:space="preserve"> 197</w:t>
      </w:r>
      <w:r w:rsidR="00E42F56" w:rsidRPr="004C6385">
        <w:rPr>
          <w:rFonts w:ascii="Verdana" w:hAnsi="Verdana" w:cs="Verdana"/>
          <w:spacing w:val="-2"/>
          <w:sz w:val="20"/>
          <w:szCs w:val="20"/>
          <w:lang w:val="es-ES"/>
        </w:rPr>
        <w:t>8</w:t>
      </w:r>
      <w:r w:rsidR="00282AC3" w:rsidRPr="004C6385">
        <w:rPr>
          <w:rFonts w:ascii="Verdana" w:hAnsi="Verdana" w:cs="Verdana"/>
          <w:spacing w:val="-2"/>
          <w:sz w:val="20"/>
          <w:szCs w:val="20"/>
          <w:lang w:val="es-ES"/>
        </w:rPr>
        <w:t xml:space="preserve"> y reconoció la competencia contenciosa de la Corte el </w:t>
      </w:r>
      <w:r w:rsidR="002262D1" w:rsidRPr="004C6385">
        <w:rPr>
          <w:rFonts w:ascii="Verdana" w:hAnsi="Verdana" w:cs="Verdana"/>
          <w:spacing w:val="-2"/>
          <w:sz w:val="20"/>
          <w:szCs w:val="20"/>
          <w:lang w:val="es-ES"/>
        </w:rPr>
        <w:t>9 de marzo</w:t>
      </w:r>
      <w:r w:rsidR="00282AC3" w:rsidRPr="004C6385">
        <w:rPr>
          <w:rFonts w:ascii="Verdana" w:hAnsi="Verdana" w:cs="Verdana"/>
          <w:spacing w:val="-2"/>
          <w:sz w:val="20"/>
          <w:szCs w:val="20"/>
          <w:lang w:val="es-ES"/>
        </w:rPr>
        <w:t xml:space="preserve"> de 19</w:t>
      </w:r>
      <w:r w:rsidR="00571BCE" w:rsidRPr="004C6385">
        <w:rPr>
          <w:rFonts w:ascii="Verdana" w:hAnsi="Verdana" w:cs="Verdana"/>
          <w:spacing w:val="-2"/>
          <w:sz w:val="20"/>
          <w:szCs w:val="20"/>
          <w:lang w:val="es-ES"/>
        </w:rPr>
        <w:t>87</w:t>
      </w:r>
      <w:r w:rsidR="00282AC3" w:rsidRPr="004C6385">
        <w:rPr>
          <w:rFonts w:ascii="Verdana" w:hAnsi="Verdana" w:cs="Verdana"/>
          <w:spacing w:val="-2"/>
          <w:sz w:val="20"/>
          <w:szCs w:val="20"/>
          <w:lang w:val="es-ES"/>
        </w:rPr>
        <w:t>.</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Pr="004C6385" w:rsidRDefault="00282AC3" w:rsidP="00282AC3">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 xml:space="preserve">De acuerdo con el Reglamento de la Corte sobre el Funcionamiento del Fondo de Asistencia (en adelante el “Reglamento del Fondo de Asistencia de la Corte”), para que una presunta víctima pueda acogerse al Fondo se deben cumplir tres requisitos: 1) </w:t>
      </w:r>
      <w:r w:rsidRPr="004C6385">
        <w:rPr>
          <w:rFonts w:ascii="Verdana" w:hAnsi="Verdana" w:cs="Verdana"/>
          <w:spacing w:val="-2"/>
          <w:sz w:val="20"/>
          <w:szCs w:val="20"/>
          <w:lang w:val="es-ES"/>
        </w:rPr>
        <w:lastRenderedPageBreak/>
        <w:t>solicitarlo en su escrito de solicitudes y argumentos; 2) demostrar, mediante declaración jurada y otros medios probatorios idóneos que satisfagan al Tribunal, que carece de recursos económicos suficientes para solventar los costos del litigio ante la Corte Interamericana, y 3) indicar con precisión qué aspectos de su defensa en el proceso requieren el uso de recursos del Fondo de Asistencia de la Corte</w:t>
      </w:r>
      <w:r w:rsidRPr="004C6385">
        <w:rPr>
          <w:rStyle w:val="Refdenotaalpie"/>
          <w:rFonts w:ascii="Verdana" w:hAnsi="Verdana" w:cs="Verdana"/>
          <w:spacing w:val="-2"/>
          <w:sz w:val="20"/>
          <w:szCs w:val="20"/>
          <w:lang w:val="es-ES"/>
        </w:rPr>
        <w:footnoteReference w:id="2"/>
      </w:r>
      <w:r w:rsidRPr="004C6385">
        <w:rPr>
          <w:rFonts w:ascii="Verdana" w:hAnsi="Verdana" w:cs="Verdana"/>
          <w:spacing w:val="-2"/>
          <w:sz w:val="20"/>
          <w:szCs w:val="20"/>
          <w:lang w:val="es-ES"/>
        </w:rPr>
        <w:t xml:space="preserve">. </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D0E16" w:rsidRPr="004C6385" w:rsidRDefault="00282AC3" w:rsidP="004D0E16">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todos los antecedentes requeridos</w:t>
      </w:r>
      <w:r w:rsidR="00BB5EF0" w:rsidRPr="004C6385">
        <w:rPr>
          <w:rStyle w:val="Refdenotaalpie"/>
          <w:rFonts w:ascii="Verdana" w:hAnsi="Verdana" w:cs="Verdana"/>
          <w:spacing w:val="-2"/>
          <w:sz w:val="20"/>
          <w:szCs w:val="20"/>
          <w:lang w:val="es-ES"/>
        </w:rPr>
        <w:footnoteReference w:id="3"/>
      </w:r>
      <w:r w:rsidRPr="004C6385">
        <w:rPr>
          <w:rFonts w:ascii="Verdana" w:hAnsi="Verdana" w:cs="Verdana"/>
          <w:spacing w:val="-2"/>
          <w:sz w:val="20"/>
          <w:szCs w:val="20"/>
          <w:lang w:val="es-ES"/>
        </w:rPr>
        <w:t>.</w:t>
      </w:r>
    </w:p>
    <w:p w:rsidR="004D0E16" w:rsidRPr="004C6385" w:rsidRDefault="004D0E16" w:rsidP="004D0E16">
      <w:pPr>
        <w:pStyle w:val="Prrafodelista"/>
        <w:spacing w:after="0" w:line="240" w:lineRule="auto"/>
        <w:rPr>
          <w:rFonts w:ascii="Verdana" w:hAnsi="Verdana" w:cs="Verdana"/>
          <w:spacing w:val="-2"/>
          <w:sz w:val="20"/>
          <w:szCs w:val="20"/>
          <w:lang w:val="es-ES"/>
        </w:rPr>
      </w:pPr>
    </w:p>
    <w:p w:rsidR="00917CD8" w:rsidRPr="004C6385" w:rsidRDefault="000600A9" w:rsidP="00917CD8">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En</w:t>
      </w:r>
      <w:r w:rsidR="00282AC3" w:rsidRPr="004C6385">
        <w:rPr>
          <w:rFonts w:ascii="Verdana" w:hAnsi="Verdana" w:cs="Verdana"/>
          <w:spacing w:val="-2"/>
          <w:sz w:val="20"/>
          <w:szCs w:val="20"/>
          <w:lang w:val="es-ES"/>
        </w:rPr>
        <w:t xml:space="preserve"> el presente caso las presuntas víctimas solicitaron </w:t>
      </w:r>
      <w:r w:rsidR="00282AC3" w:rsidRPr="004C6385">
        <w:rPr>
          <w:rFonts w:ascii="Verdana" w:hAnsi="Verdana"/>
          <w:spacing w:val="-2"/>
          <w:sz w:val="20"/>
          <w:szCs w:val="20"/>
          <w:lang w:val="es-CR"/>
        </w:rPr>
        <w:t xml:space="preserve">la asistencia del Fondo </w:t>
      </w:r>
      <w:r w:rsidR="00A52C4D">
        <w:rPr>
          <w:rFonts w:ascii="Verdana" w:hAnsi="Verdana"/>
          <w:spacing w:val="-2"/>
          <w:sz w:val="20"/>
          <w:szCs w:val="20"/>
          <w:lang w:val="es-CL"/>
        </w:rPr>
        <w:t>para cubrir</w:t>
      </w:r>
      <w:r w:rsidR="00282AC3" w:rsidRPr="004C6385">
        <w:rPr>
          <w:rFonts w:ascii="Verdana" w:hAnsi="Verdana"/>
          <w:spacing w:val="-2"/>
          <w:sz w:val="20"/>
          <w:szCs w:val="20"/>
          <w:lang w:val="es-CL"/>
        </w:rPr>
        <w:t xml:space="preserve"> </w:t>
      </w:r>
      <w:r w:rsidR="004D0E16" w:rsidRPr="004C6385">
        <w:rPr>
          <w:rFonts w:ascii="Verdana" w:hAnsi="Verdana"/>
          <w:spacing w:val="-2"/>
          <w:sz w:val="20"/>
          <w:szCs w:val="20"/>
          <w:lang w:val="es-CL"/>
        </w:rPr>
        <w:t>“[</w:t>
      </w:r>
      <w:r w:rsidR="00282AC3" w:rsidRPr="004C6385">
        <w:rPr>
          <w:rFonts w:ascii="Verdana" w:hAnsi="Verdana"/>
          <w:spacing w:val="-2"/>
          <w:sz w:val="20"/>
          <w:szCs w:val="20"/>
          <w:lang w:val="es-CL"/>
        </w:rPr>
        <w:t>g</w:t>
      </w:r>
      <w:r w:rsidR="004D0E16" w:rsidRPr="004C6385">
        <w:rPr>
          <w:rFonts w:ascii="Verdana" w:hAnsi="Verdana"/>
          <w:spacing w:val="-2"/>
          <w:sz w:val="20"/>
          <w:szCs w:val="20"/>
          <w:lang w:val="es-CL"/>
        </w:rPr>
        <w:t>]</w:t>
      </w:r>
      <w:proofErr w:type="spellStart"/>
      <w:r w:rsidR="00282AC3" w:rsidRPr="004C6385">
        <w:rPr>
          <w:rFonts w:ascii="Verdana" w:hAnsi="Verdana"/>
          <w:spacing w:val="-2"/>
          <w:sz w:val="20"/>
          <w:szCs w:val="20"/>
          <w:lang w:val="es-CL"/>
        </w:rPr>
        <w:t>astos</w:t>
      </w:r>
      <w:proofErr w:type="spellEnd"/>
      <w:r w:rsidR="005404BC" w:rsidRPr="004C6385">
        <w:rPr>
          <w:rFonts w:ascii="Verdana" w:hAnsi="Verdana"/>
          <w:spacing w:val="-2"/>
          <w:sz w:val="20"/>
          <w:szCs w:val="20"/>
          <w:lang w:val="es-CL"/>
        </w:rPr>
        <w:t xml:space="preserve"> </w:t>
      </w:r>
      <w:r w:rsidR="004D0E16" w:rsidRPr="004C6385">
        <w:rPr>
          <w:rFonts w:ascii="Verdana" w:hAnsi="Verdana"/>
          <w:spacing w:val="-2"/>
          <w:sz w:val="20"/>
          <w:szCs w:val="20"/>
          <w:lang w:val="es-CL"/>
        </w:rPr>
        <w:t xml:space="preserve">de viaje (pasaje, hotel y </w:t>
      </w:r>
      <w:r w:rsidR="004D0E16" w:rsidRPr="004C6385">
        <w:rPr>
          <w:rFonts w:ascii="Verdana" w:hAnsi="Verdana"/>
          <w:i/>
          <w:spacing w:val="-2"/>
          <w:sz w:val="20"/>
          <w:szCs w:val="20"/>
          <w:lang w:val="es-CL"/>
        </w:rPr>
        <w:t>per diem</w:t>
      </w:r>
      <w:r w:rsidR="004D0E16" w:rsidRPr="004C6385">
        <w:rPr>
          <w:rFonts w:ascii="Verdana" w:hAnsi="Verdana"/>
          <w:spacing w:val="-2"/>
          <w:sz w:val="20"/>
          <w:szCs w:val="20"/>
          <w:lang w:val="es-CL"/>
        </w:rPr>
        <w:t xml:space="preserve">) de las personas que la Corte llame a declarar en audiencia, incluyendo víctimas, testigos y peritos”; “gastos de notario/a pública derivados de las declaraciones de </w:t>
      </w:r>
      <w:r w:rsidR="004D0E16" w:rsidRPr="00187F9A">
        <w:rPr>
          <w:rFonts w:ascii="Verdana" w:hAnsi="Verdana" w:cs="Arial"/>
          <w:sz w:val="20"/>
          <w:szCs w:val="20"/>
          <w:lang w:val="es-CR"/>
        </w:rPr>
        <w:t xml:space="preserve">víctimas, testigos y peritos que la Corte considere pertinente recibir por </w:t>
      </w:r>
      <w:r w:rsidR="004D0E16" w:rsidRPr="00187F9A">
        <w:rPr>
          <w:rFonts w:ascii="Verdana" w:hAnsi="Verdana" w:cs="Arial"/>
          <w:i/>
          <w:iCs/>
          <w:sz w:val="20"/>
          <w:szCs w:val="20"/>
          <w:lang w:val="es-CR"/>
        </w:rPr>
        <w:t xml:space="preserve">affidavit </w:t>
      </w:r>
      <w:r w:rsidR="004D0E16" w:rsidRPr="00187F9A">
        <w:rPr>
          <w:rFonts w:ascii="Verdana" w:hAnsi="Verdana" w:cs="Arial"/>
          <w:sz w:val="20"/>
          <w:szCs w:val="20"/>
          <w:lang w:val="es-CR"/>
        </w:rPr>
        <w:t>de acuerdo al citado artículo”, y “[g]</w:t>
      </w:r>
      <w:proofErr w:type="spellStart"/>
      <w:r w:rsidR="004D0E16" w:rsidRPr="00187F9A">
        <w:rPr>
          <w:rFonts w:ascii="Verdana" w:hAnsi="Verdana" w:cs="Arial"/>
          <w:sz w:val="20"/>
          <w:szCs w:val="20"/>
          <w:lang w:val="es-CR"/>
        </w:rPr>
        <w:t>astos</w:t>
      </w:r>
      <w:proofErr w:type="spellEnd"/>
      <w:r w:rsidR="004D0E16" w:rsidRPr="00187F9A">
        <w:rPr>
          <w:rFonts w:ascii="Verdana" w:hAnsi="Verdana" w:cs="Arial"/>
          <w:sz w:val="20"/>
          <w:szCs w:val="20"/>
          <w:lang w:val="es-CR"/>
        </w:rPr>
        <w:t xml:space="preserve"> derivados de la realización de los peritajes psicosociales a las víctimas del presente caso para que la Corte […] pueda valorar los impactos producidos por los hechos violatorios”.</w:t>
      </w:r>
      <w:r w:rsidR="00804F66" w:rsidRPr="00187F9A">
        <w:rPr>
          <w:rFonts w:ascii="Verdana" w:hAnsi="Verdana" w:cs="Arial"/>
          <w:b/>
          <w:sz w:val="20"/>
          <w:szCs w:val="20"/>
          <w:lang w:val="es-AR"/>
        </w:rPr>
        <w:t xml:space="preserve"> </w:t>
      </w:r>
    </w:p>
    <w:p w:rsidR="00917CD8" w:rsidRPr="004C6385" w:rsidRDefault="00917CD8" w:rsidP="004C6385">
      <w:pPr>
        <w:spacing w:after="0"/>
        <w:rPr>
          <w:rFonts w:ascii="Verdana" w:hAnsi="Verdana"/>
          <w:spacing w:val="-2"/>
          <w:sz w:val="20"/>
          <w:szCs w:val="20"/>
          <w:lang w:val="es-CR"/>
        </w:rPr>
      </w:pPr>
    </w:p>
    <w:p w:rsidR="00282AC3" w:rsidRPr="004C6385" w:rsidRDefault="000600A9" w:rsidP="00917CD8">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spacing w:val="-2"/>
          <w:sz w:val="20"/>
          <w:szCs w:val="20"/>
          <w:lang w:val="es-CR"/>
        </w:rPr>
        <w:t>La</w:t>
      </w:r>
      <w:r w:rsidR="00282AC3" w:rsidRPr="004C6385">
        <w:rPr>
          <w:rFonts w:ascii="Verdana" w:hAnsi="Verdana"/>
          <w:spacing w:val="-2"/>
          <w:sz w:val="20"/>
          <w:szCs w:val="20"/>
          <w:lang w:val="es-CR"/>
        </w:rPr>
        <w:t xml:space="preserve"> solicitud para acogerse al Fondo de Asistencia de la Corte fue realizada oportunamente en el escrito de solicitudes y argumentos por los representantes en nombre de las presuntas </w:t>
      </w:r>
      <w:r w:rsidR="00C91BC2" w:rsidRPr="004C6385">
        <w:rPr>
          <w:rFonts w:ascii="Verdana" w:hAnsi="Verdana"/>
          <w:spacing w:val="-2"/>
          <w:sz w:val="20"/>
          <w:szCs w:val="20"/>
          <w:lang w:val="es-CR"/>
        </w:rPr>
        <w:t>víctimas</w:t>
      </w:r>
      <w:r w:rsidR="00C011BD" w:rsidRPr="004C6385">
        <w:rPr>
          <w:rFonts w:ascii="Verdana" w:hAnsi="Verdana"/>
          <w:spacing w:val="-2"/>
          <w:sz w:val="20"/>
          <w:szCs w:val="20"/>
          <w:lang w:val="es-CR"/>
        </w:rPr>
        <w:t>. En los anexos al referido escrito de solicitudes y argumentos</w:t>
      </w:r>
      <w:r w:rsidR="00282AC3" w:rsidRPr="004C6385">
        <w:rPr>
          <w:rFonts w:ascii="Verdana" w:hAnsi="Verdana"/>
          <w:spacing w:val="-2"/>
          <w:sz w:val="20"/>
          <w:szCs w:val="20"/>
          <w:lang w:val="es-CR"/>
        </w:rPr>
        <w:t xml:space="preserve">, los representantes remitieron tres declaraciones juradas de </w:t>
      </w:r>
      <w:r w:rsidR="00C011BD" w:rsidRPr="004C6385">
        <w:rPr>
          <w:rFonts w:ascii="Verdana" w:hAnsi="Verdana"/>
          <w:spacing w:val="-2"/>
          <w:sz w:val="20"/>
          <w:szCs w:val="20"/>
          <w:lang w:val="es-CR"/>
        </w:rPr>
        <w:t>tres</w:t>
      </w:r>
      <w:r w:rsidR="00282AC3" w:rsidRPr="004C6385">
        <w:rPr>
          <w:rFonts w:ascii="Verdana" w:hAnsi="Verdana"/>
          <w:spacing w:val="-2"/>
          <w:sz w:val="20"/>
          <w:szCs w:val="20"/>
          <w:lang w:val="es-CR"/>
        </w:rPr>
        <w:t xml:space="preserve"> presuntas víctimas (</w:t>
      </w:r>
      <w:r w:rsidR="006401D2">
        <w:rPr>
          <w:rFonts w:ascii="Verdana" w:hAnsi="Verdana"/>
          <w:spacing w:val="-2"/>
          <w:sz w:val="20"/>
          <w:szCs w:val="20"/>
          <w:lang w:val="es-CR"/>
        </w:rPr>
        <w:t>Gustavo Amí</w:t>
      </w:r>
      <w:r w:rsidR="003A721B" w:rsidRPr="004C6385">
        <w:rPr>
          <w:rFonts w:ascii="Verdana" w:hAnsi="Verdana"/>
          <w:spacing w:val="-2"/>
          <w:sz w:val="20"/>
          <w:szCs w:val="20"/>
          <w:lang w:val="es-CR"/>
        </w:rPr>
        <w:t xml:space="preserve">lcar Tobar Fajardo, </w:t>
      </w:r>
      <w:proofErr w:type="spellStart"/>
      <w:r w:rsidR="00804F66" w:rsidRPr="004C6385">
        <w:rPr>
          <w:rFonts w:ascii="Verdana" w:hAnsi="Verdana"/>
          <w:spacing w:val="-2"/>
          <w:sz w:val="20"/>
          <w:szCs w:val="20"/>
          <w:lang w:val="es-CR"/>
        </w:rPr>
        <w:t>Osmín</w:t>
      </w:r>
      <w:proofErr w:type="spellEnd"/>
      <w:r w:rsidR="00804F66" w:rsidRPr="004C6385">
        <w:rPr>
          <w:rFonts w:ascii="Verdana" w:hAnsi="Verdana"/>
          <w:spacing w:val="-2"/>
          <w:sz w:val="20"/>
          <w:szCs w:val="20"/>
          <w:lang w:val="es-CR"/>
        </w:rPr>
        <w:t xml:space="preserve"> Ricardo Tobar Ramírez –bajo el nombre </w:t>
      </w:r>
      <w:r w:rsidR="003A721B" w:rsidRPr="004C6385">
        <w:rPr>
          <w:rFonts w:ascii="Verdana" w:hAnsi="Verdana"/>
          <w:spacing w:val="-2"/>
          <w:sz w:val="20"/>
          <w:szCs w:val="20"/>
          <w:lang w:val="es-CR"/>
        </w:rPr>
        <w:t xml:space="preserve">Ricardo William </w:t>
      </w:r>
      <w:proofErr w:type="spellStart"/>
      <w:r w:rsidR="003A721B" w:rsidRPr="004C6385">
        <w:rPr>
          <w:rFonts w:ascii="Verdana" w:hAnsi="Verdana"/>
          <w:spacing w:val="-2"/>
          <w:sz w:val="20"/>
          <w:szCs w:val="20"/>
          <w:lang w:val="es-CR"/>
        </w:rPr>
        <w:t>Borz</w:t>
      </w:r>
      <w:proofErr w:type="spellEnd"/>
      <w:r w:rsidR="00804F66" w:rsidRPr="004C6385">
        <w:rPr>
          <w:rFonts w:ascii="Verdana" w:hAnsi="Verdana"/>
          <w:spacing w:val="-2"/>
          <w:sz w:val="20"/>
          <w:szCs w:val="20"/>
          <w:lang w:val="es-CR"/>
        </w:rPr>
        <w:t>-</w:t>
      </w:r>
      <w:r w:rsidR="006401D2">
        <w:rPr>
          <w:rFonts w:ascii="Verdana" w:hAnsi="Verdana"/>
          <w:spacing w:val="-2"/>
          <w:sz w:val="20"/>
          <w:szCs w:val="20"/>
          <w:lang w:val="es-CR"/>
        </w:rPr>
        <w:t xml:space="preserve"> y Flor de María Ramí</w:t>
      </w:r>
      <w:r w:rsidR="00917CD8" w:rsidRPr="004C6385">
        <w:rPr>
          <w:rFonts w:ascii="Verdana" w:hAnsi="Verdana"/>
          <w:spacing w:val="-2"/>
          <w:sz w:val="20"/>
          <w:szCs w:val="20"/>
          <w:lang w:val="es-CR"/>
        </w:rPr>
        <w:t>rez Escobar)</w:t>
      </w:r>
      <w:r w:rsidR="002B2BED">
        <w:rPr>
          <w:rFonts w:ascii="Verdana" w:hAnsi="Verdana"/>
          <w:spacing w:val="-2"/>
          <w:sz w:val="20"/>
          <w:szCs w:val="20"/>
          <w:lang w:val="es-CR"/>
        </w:rPr>
        <w:t>,</w:t>
      </w:r>
      <w:r w:rsidR="00917CD8" w:rsidRPr="004C6385">
        <w:rPr>
          <w:rFonts w:ascii="Verdana" w:hAnsi="Verdana"/>
          <w:spacing w:val="-2"/>
          <w:sz w:val="20"/>
          <w:szCs w:val="20"/>
          <w:lang w:val="es-CR"/>
        </w:rPr>
        <w:t xml:space="preserve"> </w:t>
      </w:r>
      <w:r w:rsidR="00282AC3" w:rsidRPr="004C6385">
        <w:rPr>
          <w:rFonts w:ascii="Verdana" w:hAnsi="Verdana"/>
          <w:spacing w:val="-2"/>
          <w:sz w:val="20"/>
          <w:szCs w:val="20"/>
          <w:lang w:val="es-CR"/>
        </w:rPr>
        <w:t xml:space="preserve">en las cuales afirman carecer de los recursos económicos suficientes para sufragar los costos del litigio del presente caso </w:t>
      </w:r>
      <w:r w:rsidR="00914968" w:rsidRPr="004C6385">
        <w:rPr>
          <w:rFonts w:ascii="Verdana" w:hAnsi="Verdana"/>
          <w:spacing w:val="-2"/>
          <w:sz w:val="20"/>
          <w:szCs w:val="20"/>
          <w:lang w:val="es-CR"/>
        </w:rPr>
        <w:t>ante la Corte Interamericana</w:t>
      </w:r>
      <w:r w:rsidR="00917CD8" w:rsidRPr="004C6385">
        <w:rPr>
          <w:rStyle w:val="Refdenotaalpie"/>
          <w:rFonts w:ascii="Verdana" w:hAnsi="Verdana"/>
          <w:spacing w:val="-2"/>
          <w:sz w:val="20"/>
          <w:szCs w:val="20"/>
          <w:lang w:val="es-CR"/>
        </w:rPr>
        <w:footnoteReference w:id="4"/>
      </w:r>
      <w:r w:rsidR="00917CD8" w:rsidRPr="004C6385">
        <w:rPr>
          <w:rFonts w:ascii="Verdana" w:hAnsi="Verdana"/>
          <w:spacing w:val="-2"/>
          <w:sz w:val="20"/>
          <w:szCs w:val="20"/>
          <w:lang w:val="es-CR"/>
        </w:rPr>
        <w:t xml:space="preserve">. </w:t>
      </w: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CR"/>
        </w:rPr>
      </w:pP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t>POR TANTO:</w:t>
      </w: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t>EL PRESIDENTE DE LA CORTE INTERAMERICANA DE DERECHOS HUMANOS,</w:t>
      </w:r>
    </w:p>
    <w:p w:rsidR="00282AC3" w:rsidRPr="004C6385" w:rsidRDefault="00282AC3" w:rsidP="00E85BD6">
      <w:pPr>
        <w:tabs>
          <w:tab w:val="left" w:pos="567"/>
        </w:tabs>
        <w:autoSpaceDE w:val="0"/>
        <w:autoSpaceDN w:val="0"/>
        <w:adjustRightInd w:val="0"/>
        <w:spacing w:before="120" w:after="0" w:line="240" w:lineRule="auto"/>
        <w:jc w:val="both"/>
        <w:rPr>
          <w:rFonts w:ascii="Verdana" w:hAnsi="Verdana" w:cs="Verdana"/>
          <w:b/>
          <w:bCs/>
          <w:spacing w:val="-2"/>
          <w:sz w:val="20"/>
          <w:szCs w:val="20"/>
          <w:lang w:val="es-ES"/>
        </w:rPr>
      </w:pP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 la Corte,</w:t>
      </w:r>
    </w:p>
    <w:p w:rsidR="00282AC3" w:rsidRPr="004C6385" w:rsidRDefault="00282AC3" w:rsidP="00E85BD6">
      <w:pPr>
        <w:tabs>
          <w:tab w:val="left" w:pos="567"/>
        </w:tabs>
        <w:autoSpaceDE w:val="0"/>
        <w:autoSpaceDN w:val="0"/>
        <w:adjustRightInd w:val="0"/>
        <w:spacing w:before="120" w:after="0" w:line="240" w:lineRule="auto"/>
        <w:jc w:val="both"/>
        <w:rPr>
          <w:rFonts w:ascii="Verdana" w:hAnsi="Verdana" w:cs="Verdana"/>
          <w:spacing w:val="-2"/>
          <w:sz w:val="20"/>
          <w:szCs w:val="20"/>
          <w:lang w:val="es-ES"/>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spacing w:val="-2"/>
          <w:sz w:val="20"/>
          <w:szCs w:val="20"/>
          <w:lang w:val="es-CR"/>
        </w:rPr>
        <w:t>C</w:t>
      </w:r>
      <w:r w:rsidRPr="004C6385">
        <w:rPr>
          <w:rFonts w:ascii="Verdana" w:hAnsi="Verdana" w:cs="Verdana"/>
          <w:spacing w:val="-2"/>
          <w:sz w:val="20"/>
          <w:szCs w:val="20"/>
          <w:lang w:val="es-CR"/>
        </w:rPr>
        <w:t xml:space="preserve">onsidera </w:t>
      </w:r>
      <w:r w:rsidRPr="004C6385">
        <w:rPr>
          <w:rFonts w:ascii="Verdana" w:hAnsi="Verdana" w:cs="Verdana"/>
          <w:spacing w:val="-2"/>
          <w:sz w:val="20"/>
          <w:szCs w:val="20"/>
          <w:lang w:val="es-ES"/>
        </w:rPr>
        <w:t xml:space="preserve">suficiente las declaraciones juradas presentadas, de conformidad con el artículo 2 del Reglamento del Fondo de Asistencia de la Corte, como evidencia de la carencia de recursos económicos </w:t>
      </w:r>
      <w:r w:rsidR="003D1FC6" w:rsidRPr="004C6385">
        <w:rPr>
          <w:rFonts w:ascii="Verdana" w:hAnsi="Verdana" w:cs="Verdana"/>
          <w:spacing w:val="-2"/>
          <w:sz w:val="20"/>
          <w:szCs w:val="20"/>
          <w:lang w:val="es-ES"/>
        </w:rPr>
        <w:t>de</w:t>
      </w:r>
      <w:r w:rsidR="00E146E9" w:rsidRPr="004C6385">
        <w:rPr>
          <w:rFonts w:ascii="Verdana" w:hAnsi="Verdana" w:cs="Verdana"/>
          <w:spacing w:val="-2"/>
          <w:sz w:val="20"/>
          <w:szCs w:val="20"/>
          <w:lang w:val="es-ES"/>
        </w:rPr>
        <w:t xml:space="preserve"> </w:t>
      </w:r>
      <w:r w:rsidR="00E54F7B" w:rsidRPr="004C6385">
        <w:rPr>
          <w:rFonts w:ascii="Verdana" w:hAnsi="Verdana" w:cs="Verdana"/>
          <w:spacing w:val="-2"/>
          <w:sz w:val="20"/>
          <w:szCs w:val="20"/>
          <w:lang w:val="es-ES"/>
        </w:rPr>
        <w:t xml:space="preserve">las presuntas víctimas. </w:t>
      </w: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282AC3" w:rsidRPr="004C6385" w:rsidRDefault="00282AC3" w:rsidP="00E54F7B">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 xml:space="preserve">Establece que es procedente la solicitud de las presuntas víctimas para acogerse al Fondo de Asistencia de la Corte, en el entendido de que sería para solventar los gastos que ocasionaría la presentación de dos declaraciones de presuntas víctimas y </w:t>
      </w:r>
      <w:r w:rsidR="00804F66" w:rsidRPr="004C6385">
        <w:rPr>
          <w:rFonts w:ascii="Verdana" w:hAnsi="Verdana" w:cs="Verdana"/>
          <w:spacing w:val="-2"/>
          <w:sz w:val="20"/>
          <w:szCs w:val="20"/>
          <w:lang w:val="es-CR"/>
        </w:rPr>
        <w:t>dos</w:t>
      </w:r>
      <w:r w:rsidRPr="004C6385">
        <w:rPr>
          <w:rFonts w:ascii="Verdana" w:hAnsi="Verdana" w:cs="Verdana"/>
          <w:spacing w:val="-2"/>
          <w:sz w:val="20"/>
          <w:szCs w:val="20"/>
          <w:lang w:val="es-CR"/>
        </w:rPr>
        <w:t xml:space="preserve"> peritaje</w:t>
      </w:r>
      <w:r w:rsidR="00804F66" w:rsidRPr="004C6385">
        <w:rPr>
          <w:rFonts w:ascii="Verdana" w:hAnsi="Verdana" w:cs="Verdana"/>
          <w:spacing w:val="-2"/>
          <w:sz w:val="20"/>
          <w:szCs w:val="20"/>
          <w:lang w:val="es-CR"/>
        </w:rPr>
        <w:t>s</w:t>
      </w:r>
      <w:r w:rsidRPr="004C6385">
        <w:rPr>
          <w:rFonts w:ascii="Verdana" w:hAnsi="Verdana" w:cs="Verdana"/>
          <w:spacing w:val="-2"/>
          <w:sz w:val="20"/>
          <w:szCs w:val="20"/>
          <w:lang w:val="es-CR"/>
        </w:rPr>
        <w:t xml:space="preserve">, en una eventual audiencia pública o por </w:t>
      </w:r>
      <w:r w:rsidRPr="004C6385">
        <w:rPr>
          <w:rFonts w:ascii="Verdana" w:hAnsi="Verdana" w:cs="Verdana"/>
          <w:i/>
          <w:iCs/>
          <w:spacing w:val="-2"/>
          <w:sz w:val="20"/>
          <w:szCs w:val="20"/>
          <w:lang w:val="es-CR"/>
        </w:rPr>
        <w:t>af</w:t>
      </w:r>
      <w:r w:rsidR="006A397D" w:rsidRPr="004C6385">
        <w:rPr>
          <w:rFonts w:ascii="Verdana" w:hAnsi="Verdana" w:cs="Verdana"/>
          <w:i/>
          <w:iCs/>
          <w:spacing w:val="-2"/>
          <w:sz w:val="20"/>
          <w:szCs w:val="20"/>
          <w:lang w:val="es-CR"/>
        </w:rPr>
        <w:t>f</w:t>
      </w:r>
      <w:r w:rsidRPr="004C6385">
        <w:rPr>
          <w:rFonts w:ascii="Verdana" w:hAnsi="Verdana" w:cs="Verdana"/>
          <w:i/>
          <w:iCs/>
          <w:spacing w:val="-2"/>
          <w:sz w:val="20"/>
          <w:szCs w:val="20"/>
          <w:lang w:val="es-CR"/>
        </w:rPr>
        <w:t>idávit</w:t>
      </w:r>
      <w:r w:rsidRPr="004C6385">
        <w:rPr>
          <w:rFonts w:ascii="Verdana" w:hAnsi="Verdana" w:cs="Verdana"/>
          <w:spacing w:val="-2"/>
          <w:sz w:val="20"/>
          <w:szCs w:val="20"/>
          <w:lang w:val="es-CR"/>
        </w:rPr>
        <w:t xml:space="preserve">. En ese sentido, atendiendo a los recursos actualmente disponibles en el Fondo, se otorgará a las presuntas víctimas la ayuda económica necesaria para la presentación de un máximo de </w:t>
      </w:r>
      <w:r w:rsidR="00804F66" w:rsidRPr="004C6385">
        <w:rPr>
          <w:rFonts w:ascii="Verdana" w:hAnsi="Verdana" w:cs="Verdana"/>
          <w:spacing w:val="-2"/>
          <w:sz w:val="20"/>
          <w:szCs w:val="20"/>
          <w:lang w:val="es-CR"/>
        </w:rPr>
        <w:t xml:space="preserve">cuatro </w:t>
      </w:r>
      <w:r w:rsidRPr="004C6385">
        <w:rPr>
          <w:rFonts w:ascii="Verdana" w:hAnsi="Verdana" w:cs="Verdana"/>
          <w:spacing w:val="-2"/>
          <w:sz w:val="20"/>
          <w:szCs w:val="20"/>
          <w:lang w:val="es-CR"/>
        </w:rPr>
        <w:t xml:space="preserve">declaraciones en la modalidad que corresponda. </w:t>
      </w: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resuelvan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282AC3" w:rsidRPr="004C6385" w:rsidRDefault="00282AC3" w:rsidP="00E85BD6">
      <w:pPr>
        <w:tabs>
          <w:tab w:val="left" w:pos="567"/>
        </w:tabs>
        <w:autoSpaceDE w:val="0"/>
        <w:autoSpaceDN w:val="0"/>
        <w:adjustRightInd w:val="0"/>
        <w:spacing w:before="120" w:after="0" w:line="240" w:lineRule="auto"/>
        <w:jc w:val="both"/>
        <w:rPr>
          <w:rFonts w:ascii="Verdana" w:hAnsi="Verdana" w:cs="Verdana"/>
          <w:spacing w:val="-2"/>
          <w:sz w:val="20"/>
          <w:szCs w:val="20"/>
          <w:lang w:val="es-ES"/>
        </w:rPr>
      </w:pP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t>RESUELVE:</w:t>
      </w:r>
    </w:p>
    <w:p w:rsidR="00282AC3" w:rsidRPr="004C6385" w:rsidRDefault="00282AC3" w:rsidP="00E85BD6">
      <w:pPr>
        <w:tabs>
          <w:tab w:val="left" w:pos="567"/>
        </w:tabs>
        <w:autoSpaceDE w:val="0"/>
        <w:autoSpaceDN w:val="0"/>
        <w:adjustRightInd w:val="0"/>
        <w:spacing w:after="120" w:line="240" w:lineRule="auto"/>
        <w:rPr>
          <w:rFonts w:ascii="Verdana" w:hAnsi="Verdana" w:cs="Verdana"/>
          <w:b/>
          <w:bCs/>
          <w:spacing w:val="-2"/>
          <w:sz w:val="20"/>
          <w:szCs w:val="20"/>
          <w:lang w:val="es-ES"/>
        </w:rPr>
      </w:pPr>
    </w:p>
    <w:p w:rsidR="00282AC3" w:rsidRPr="004C6385" w:rsidRDefault="00282AC3" w:rsidP="00282AC3">
      <w:pPr>
        <w:pStyle w:val="Prrafodelista"/>
        <w:numPr>
          <w:ilvl w:val="3"/>
          <w:numId w:val="1"/>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 xml:space="preserve">Declarar procedente la solicitud interpuesta por las presuntas víctimas, a través de sus representantes, para acogerse al Fondo de Asistencia Legal de Víctimas de la Corte Interamericana de Derechos Humanos, de modo que se otorgará el apoyo económico necesario, con cargo al Fondo, para la presentación de </w:t>
      </w:r>
      <w:r w:rsidRPr="004C6385">
        <w:rPr>
          <w:rFonts w:ascii="Verdana" w:hAnsi="Verdana" w:cs="Verdana"/>
          <w:spacing w:val="-2"/>
          <w:sz w:val="20"/>
          <w:szCs w:val="20"/>
          <w:lang w:val="es-CR"/>
        </w:rPr>
        <w:t xml:space="preserve">un máximo de </w:t>
      </w:r>
      <w:r w:rsidR="00804F66" w:rsidRPr="004C6385">
        <w:rPr>
          <w:rFonts w:ascii="Verdana" w:hAnsi="Verdana" w:cs="Verdana"/>
          <w:spacing w:val="-2"/>
          <w:sz w:val="20"/>
          <w:szCs w:val="20"/>
          <w:lang w:val="es-CR"/>
        </w:rPr>
        <w:t>cuatro</w:t>
      </w:r>
      <w:r w:rsidRPr="004C6385">
        <w:rPr>
          <w:rFonts w:ascii="Verdana" w:hAnsi="Verdana" w:cs="Verdana"/>
          <w:spacing w:val="-2"/>
          <w:sz w:val="20"/>
          <w:szCs w:val="20"/>
          <w:lang w:val="es-CR"/>
        </w:rPr>
        <w:t xml:space="preserve"> declaraciones</w:t>
      </w:r>
      <w:r w:rsidRPr="004C6385">
        <w:rPr>
          <w:rFonts w:ascii="Verdana" w:hAnsi="Verdana" w:cs="Verdana"/>
          <w:spacing w:val="-2"/>
          <w:sz w:val="20"/>
          <w:szCs w:val="20"/>
          <w:lang w:val="es-ES"/>
        </w:rPr>
        <w:t xml:space="preserve">, ya sea en audiencia o por </w:t>
      </w:r>
      <w:r w:rsidR="00750381" w:rsidRPr="004C6385">
        <w:rPr>
          <w:rFonts w:ascii="Verdana" w:hAnsi="Verdana" w:cs="Verdana"/>
          <w:i/>
          <w:spacing w:val="-2"/>
          <w:sz w:val="20"/>
          <w:szCs w:val="20"/>
          <w:lang w:val="es-ES"/>
        </w:rPr>
        <w:t>a</w:t>
      </w:r>
      <w:r w:rsidR="006A397D" w:rsidRPr="004C6385">
        <w:rPr>
          <w:rFonts w:ascii="Verdana" w:hAnsi="Verdana" w:cs="Verdana"/>
          <w:i/>
          <w:spacing w:val="-2"/>
          <w:sz w:val="20"/>
          <w:szCs w:val="20"/>
          <w:lang w:val="es-ES"/>
        </w:rPr>
        <w:t>f</w:t>
      </w:r>
      <w:r w:rsidR="00750381" w:rsidRPr="004C6385">
        <w:rPr>
          <w:rFonts w:ascii="Verdana" w:hAnsi="Verdana" w:cs="Verdana"/>
          <w:i/>
          <w:spacing w:val="-2"/>
          <w:sz w:val="20"/>
          <w:szCs w:val="20"/>
          <w:lang w:val="es-ES"/>
        </w:rPr>
        <w:t>fidávit</w:t>
      </w:r>
      <w:r w:rsidRPr="004C6385">
        <w:rPr>
          <w:rFonts w:ascii="Verdana" w:hAnsi="Verdana" w:cs="Verdana"/>
          <w:spacing w:val="-2"/>
          <w:sz w:val="20"/>
          <w:szCs w:val="20"/>
          <w:lang w:val="es-ES"/>
        </w:rPr>
        <w:t>, y que el monto, destino y objeto específicos de dicha asistencia serán precisados al momento de decidir sobre la evacuación de prueba testimonial y pericial, y la apertura del procedimiento oral en los términos del artículo 50 del Reglamento del Tribunal, de conformidad con lo establecido en esta Resolución.</w:t>
      </w:r>
      <w:r w:rsidR="00D02D97" w:rsidRPr="004C6385">
        <w:rPr>
          <w:rFonts w:ascii="Verdana" w:hAnsi="Verdana" w:cs="Verdana"/>
          <w:spacing w:val="-2"/>
          <w:sz w:val="20"/>
          <w:szCs w:val="20"/>
          <w:lang w:val="es-ES"/>
        </w:rPr>
        <w:t xml:space="preserve"> </w:t>
      </w:r>
    </w:p>
    <w:p w:rsidR="00E54F7B" w:rsidRPr="004C6385" w:rsidRDefault="00E54F7B" w:rsidP="00E54F7B">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Pr="00BE7DD4" w:rsidRDefault="00282AC3" w:rsidP="00272469">
      <w:pPr>
        <w:pStyle w:val="Prrafodelista"/>
        <w:numPr>
          <w:ilvl w:val="3"/>
          <w:numId w:val="1"/>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Disponer que la Secretaría de la Corte notifique la presente Resolución a los representantes de las presuntas víctimas, al Estado de</w:t>
      </w:r>
      <w:r w:rsidR="007A0C2B" w:rsidRPr="004C6385">
        <w:rPr>
          <w:rFonts w:ascii="Verdana" w:hAnsi="Verdana" w:cs="Verdana"/>
          <w:spacing w:val="-2"/>
          <w:sz w:val="20"/>
          <w:szCs w:val="20"/>
          <w:lang w:val="es-ES"/>
        </w:rPr>
        <w:t>l Guatemala</w:t>
      </w:r>
      <w:r w:rsidRPr="004C6385">
        <w:rPr>
          <w:rFonts w:ascii="Verdana" w:hAnsi="Verdana" w:cs="Verdana"/>
          <w:spacing w:val="-2"/>
          <w:sz w:val="20"/>
          <w:szCs w:val="20"/>
          <w:lang w:val="es-ES"/>
        </w:rPr>
        <w:t xml:space="preserve"> y a la Comisión Interamericana de Derechos Humanos.</w:t>
      </w: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FD5B39" w:rsidRPr="00A768BF"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pt-BR"/>
        </w:rPr>
      </w:pPr>
      <w:r w:rsidRPr="00A768BF">
        <w:rPr>
          <w:rFonts w:ascii="Verdana" w:hAnsi="Verdana"/>
          <w:spacing w:val="-2"/>
          <w:sz w:val="20"/>
          <w:szCs w:val="20"/>
          <w:lang w:val="pt-BR"/>
        </w:rPr>
        <w:t>Roberto F. Caldas</w:t>
      </w: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r w:rsidRPr="00A768BF">
        <w:rPr>
          <w:rFonts w:ascii="Verdana" w:hAnsi="Verdana"/>
          <w:spacing w:val="-2"/>
          <w:sz w:val="20"/>
          <w:szCs w:val="20"/>
          <w:lang w:val="pt-BR"/>
        </w:rPr>
        <w:lastRenderedPageBreak/>
        <w:t>President</w:t>
      </w:r>
      <w:r w:rsidRPr="00FD5B39">
        <w:rPr>
          <w:rFonts w:ascii="Verdana" w:hAnsi="Verdana"/>
          <w:spacing w:val="-2"/>
          <w:sz w:val="20"/>
          <w:szCs w:val="20"/>
          <w:lang w:val="es-MX"/>
        </w:rPr>
        <w:t>e</w:t>
      </w: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7C1AEA" w:rsidRPr="00A768BF" w:rsidRDefault="007C1AEA" w:rsidP="00FD5B39">
      <w:pPr>
        <w:widowControl w:val="0"/>
        <w:autoSpaceDE w:val="0"/>
        <w:autoSpaceDN w:val="0"/>
        <w:adjustRightInd w:val="0"/>
        <w:spacing w:after="0" w:line="240" w:lineRule="auto"/>
        <w:rPr>
          <w:rFonts w:ascii="Verdana" w:hAnsi="Verdana"/>
          <w:spacing w:val="-2"/>
          <w:sz w:val="20"/>
          <w:szCs w:val="20"/>
          <w:lang w:val="pt-BR"/>
        </w:rPr>
      </w:pPr>
    </w:p>
    <w:p w:rsidR="00FD5B39" w:rsidRPr="00A768BF" w:rsidRDefault="00FD5B39" w:rsidP="00FD5B39">
      <w:pPr>
        <w:widowControl w:val="0"/>
        <w:autoSpaceDE w:val="0"/>
        <w:autoSpaceDN w:val="0"/>
        <w:adjustRightInd w:val="0"/>
        <w:spacing w:after="0" w:line="240" w:lineRule="auto"/>
        <w:rPr>
          <w:rFonts w:ascii="Verdana" w:hAnsi="Verdana"/>
          <w:spacing w:val="-2"/>
          <w:sz w:val="20"/>
          <w:szCs w:val="20"/>
          <w:lang w:val="pt-BR"/>
        </w:rPr>
      </w:pPr>
      <w:r w:rsidRPr="00A768BF">
        <w:rPr>
          <w:rFonts w:ascii="Verdana" w:hAnsi="Verdana"/>
          <w:spacing w:val="-2"/>
          <w:sz w:val="20"/>
          <w:szCs w:val="20"/>
          <w:lang w:val="pt-BR"/>
        </w:rPr>
        <w:t>Pablo Saavedra Alessandri</w:t>
      </w:r>
    </w:p>
    <w:p w:rsidR="00FD5B39" w:rsidRPr="00FD5B39" w:rsidRDefault="00FD5B39" w:rsidP="00FD5B39">
      <w:pPr>
        <w:widowControl w:val="0"/>
        <w:autoSpaceDE w:val="0"/>
        <w:autoSpaceDN w:val="0"/>
        <w:adjustRightInd w:val="0"/>
        <w:spacing w:after="0" w:line="240" w:lineRule="auto"/>
        <w:ind w:firstLine="720"/>
        <w:rPr>
          <w:rFonts w:ascii="Verdana" w:hAnsi="Verdana"/>
          <w:spacing w:val="-2"/>
          <w:sz w:val="20"/>
          <w:szCs w:val="20"/>
          <w:lang w:val="es-MX"/>
        </w:rPr>
      </w:pPr>
      <w:r w:rsidRPr="00FD5B39">
        <w:rPr>
          <w:rFonts w:ascii="Verdana" w:hAnsi="Verdana"/>
          <w:spacing w:val="-2"/>
          <w:sz w:val="20"/>
          <w:szCs w:val="20"/>
          <w:lang w:val="es-MX"/>
        </w:rPr>
        <w:t xml:space="preserve">Secretario </w:t>
      </w: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sidRPr="00FD5B39">
        <w:rPr>
          <w:rFonts w:ascii="Verdana" w:hAnsi="Verdana"/>
          <w:spacing w:val="-2"/>
          <w:sz w:val="20"/>
          <w:szCs w:val="20"/>
          <w:lang w:val="es-MX"/>
        </w:rPr>
        <w:t>Comuníquese y ejecútese,</w:t>
      </w: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r w:rsidRPr="00FD5B39">
        <w:rPr>
          <w:rFonts w:ascii="Verdana" w:hAnsi="Verdana"/>
          <w:spacing w:val="-2"/>
          <w:sz w:val="20"/>
          <w:szCs w:val="20"/>
          <w:lang w:val="es-MX"/>
        </w:rPr>
        <w:t>Roberto F. Caldas</w:t>
      </w: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r w:rsidRPr="00FD5B39">
        <w:rPr>
          <w:rFonts w:ascii="Verdana" w:hAnsi="Verdana"/>
          <w:spacing w:val="-2"/>
          <w:sz w:val="20"/>
          <w:szCs w:val="20"/>
          <w:lang w:val="es-MX"/>
        </w:rPr>
        <w:t>Presidente</w:t>
      </w:r>
    </w:p>
    <w:p w:rsidR="00FD5B39" w:rsidRPr="00FD5B39" w:rsidRDefault="00FD5B39" w:rsidP="00FD5B39">
      <w:pPr>
        <w:widowControl w:val="0"/>
        <w:autoSpaceDE w:val="0"/>
        <w:autoSpaceDN w:val="0"/>
        <w:adjustRightInd w:val="0"/>
        <w:spacing w:after="0" w:line="240" w:lineRule="auto"/>
        <w:ind w:left="6480" w:firstLine="720"/>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sidRPr="00FD5B39">
        <w:rPr>
          <w:rFonts w:ascii="Verdana" w:hAnsi="Verdana"/>
          <w:spacing w:val="-2"/>
          <w:sz w:val="20"/>
          <w:szCs w:val="20"/>
          <w:lang w:val="es-MX"/>
        </w:rPr>
        <w:t>Pablo Saavedra Alessandri</w:t>
      </w:r>
    </w:p>
    <w:p w:rsidR="00CD4038"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Pr>
          <w:rFonts w:ascii="Verdana" w:hAnsi="Verdana"/>
          <w:spacing w:val="-2"/>
          <w:sz w:val="20"/>
          <w:szCs w:val="20"/>
          <w:lang w:val="es-MX"/>
        </w:rPr>
        <w:tab/>
      </w:r>
      <w:r w:rsidRPr="00FD5B39">
        <w:rPr>
          <w:rFonts w:ascii="Verdana" w:hAnsi="Verdana"/>
          <w:spacing w:val="-2"/>
          <w:sz w:val="20"/>
          <w:szCs w:val="20"/>
          <w:lang w:val="es-MX"/>
        </w:rPr>
        <w:t>Secretario</w:t>
      </w:r>
    </w:p>
    <w:sectPr w:rsidR="00CD4038" w:rsidRPr="00FD5B39" w:rsidSect="00BE7DD4">
      <w:headerReference w:type="default" r:id="rId8"/>
      <w:pgSz w:w="12240" w:h="15840" w:code="1"/>
      <w:pgMar w:top="1701" w:right="1814" w:bottom="1701" w:left="181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AFA" w:rsidRDefault="001A2AFA" w:rsidP="00282AC3">
      <w:pPr>
        <w:spacing w:after="0" w:line="240" w:lineRule="auto"/>
      </w:pPr>
      <w:r>
        <w:separator/>
      </w:r>
    </w:p>
  </w:endnote>
  <w:endnote w:type="continuationSeparator" w:id="0">
    <w:p w:rsidR="001A2AFA" w:rsidRDefault="001A2AFA" w:rsidP="0028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AFA" w:rsidRDefault="001A2AFA" w:rsidP="00282AC3">
      <w:pPr>
        <w:spacing w:after="0" w:line="240" w:lineRule="auto"/>
      </w:pPr>
      <w:r>
        <w:separator/>
      </w:r>
    </w:p>
  </w:footnote>
  <w:footnote w:type="continuationSeparator" w:id="0">
    <w:p w:rsidR="001A2AFA" w:rsidRDefault="001A2AFA" w:rsidP="00282AC3">
      <w:pPr>
        <w:spacing w:after="0" w:line="240" w:lineRule="auto"/>
      </w:pPr>
      <w:r>
        <w:continuationSeparator/>
      </w:r>
    </w:p>
  </w:footnote>
  <w:footnote w:id="1">
    <w:p w:rsidR="000D1637" w:rsidRPr="000D1637" w:rsidRDefault="000D1637" w:rsidP="004C6385">
      <w:pPr>
        <w:pStyle w:val="Textonotapie"/>
        <w:tabs>
          <w:tab w:val="left" w:pos="567"/>
        </w:tabs>
        <w:spacing w:before="120" w:after="120"/>
        <w:jc w:val="both"/>
        <w:rPr>
          <w:rFonts w:ascii="Verdana" w:hAnsi="Verdana"/>
          <w:sz w:val="16"/>
          <w:szCs w:val="16"/>
          <w:lang w:val="es-CR"/>
        </w:rPr>
      </w:pPr>
      <w:r w:rsidRPr="000D1637">
        <w:rPr>
          <w:rStyle w:val="Refdenotaalpie"/>
          <w:rFonts w:ascii="Verdana" w:hAnsi="Verdana"/>
          <w:sz w:val="16"/>
          <w:szCs w:val="16"/>
        </w:rPr>
        <w:footnoteRef/>
      </w:r>
      <w:r w:rsidRPr="000D1637">
        <w:rPr>
          <w:rFonts w:ascii="Verdana" w:hAnsi="Verdana"/>
          <w:sz w:val="16"/>
          <w:szCs w:val="16"/>
        </w:rPr>
        <w:t xml:space="preserve"> </w:t>
      </w:r>
      <w:r w:rsidRPr="000D1637">
        <w:rPr>
          <w:rFonts w:ascii="Verdana" w:hAnsi="Verdana"/>
          <w:sz w:val="16"/>
          <w:szCs w:val="16"/>
          <w:lang w:val="es-CR"/>
        </w:rPr>
        <w:tab/>
        <w:t xml:space="preserve">El presente caso fue presentado </w:t>
      </w:r>
      <w:r>
        <w:rPr>
          <w:rFonts w:ascii="Verdana" w:hAnsi="Verdana"/>
          <w:sz w:val="16"/>
          <w:szCs w:val="16"/>
          <w:lang w:val="es-CR"/>
        </w:rPr>
        <w:t xml:space="preserve">por la Comisión Interamericana </w:t>
      </w:r>
      <w:r w:rsidRPr="000D1637">
        <w:rPr>
          <w:rFonts w:ascii="Verdana" w:hAnsi="Verdana"/>
          <w:sz w:val="16"/>
          <w:szCs w:val="16"/>
          <w:lang w:val="es-CR"/>
        </w:rPr>
        <w:t>bajo el nombre “</w:t>
      </w:r>
      <w:r w:rsidRPr="000D1637">
        <w:rPr>
          <w:rFonts w:ascii="Verdana" w:hAnsi="Verdana"/>
          <w:i/>
          <w:sz w:val="16"/>
          <w:szCs w:val="16"/>
          <w:lang w:val="es-CR"/>
        </w:rPr>
        <w:t xml:space="preserve">Hermanos Ramírez y familia </w:t>
      </w:r>
      <w:r w:rsidR="00BB5EF0">
        <w:rPr>
          <w:rFonts w:ascii="Verdana" w:hAnsi="Verdana"/>
          <w:i/>
          <w:sz w:val="16"/>
          <w:szCs w:val="16"/>
          <w:lang w:val="es-CR"/>
        </w:rPr>
        <w:t>V</w:t>
      </w:r>
      <w:r w:rsidRPr="000D1637">
        <w:rPr>
          <w:rFonts w:ascii="Verdana" w:hAnsi="Verdana"/>
          <w:i/>
          <w:sz w:val="16"/>
          <w:szCs w:val="16"/>
          <w:lang w:val="es-CR"/>
        </w:rPr>
        <w:t>s. Guatemala</w:t>
      </w:r>
      <w:r w:rsidRPr="000D1637">
        <w:rPr>
          <w:rFonts w:ascii="Verdana" w:hAnsi="Verdana"/>
          <w:sz w:val="16"/>
          <w:szCs w:val="16"/>
          <w:lang w:val="es-CR"/>
        </w:rPr>
        <w:t xml:space="preserve">”. </w:t>
      </w:r>
      <w:r>
        <w:rPr>
          <w:rFonts w:ascii="Verdana" w:hAnsi="Verdana"/>
          <w:sz w:val="16"/>
          <w:szCs w:val="16"/>
          <w:lang w:val="es-CR"/>
        </w:rPr>
        <w:t>Una de las personas que la Comisión identificó como uno de los dos presuntos hermanos Ramírez no ha manifestado su consentimiento para ser parte de este caso ante la Corte. En virtud de lo anterior y teniendo en cuenta la forma habitual de identificación de los casos ante la Corte, el presente caso se identificará como “</w:t>
      </w:r>
      <w:r w:rsidRPr="000F6004">
        <w:rPr>
          <w:rFonts w:ascii="Verdana" w:hAnsi="Verdana"/>
          <w:bCs/>
          <w:i/>
          <w:sz w:val="16"/>
          <w:szCs w:val="16"/>
          <w:lang w:val="es-ES"/>
        </w:rPr>
        <w:t>Ramírez Escobar y otros</w:t>
      </w:r>
      <w:r w:rsidRPr="000F6004">
        <w:rPr>
          <w:rFonts w:ascii="Verdana" w:hAnsi="Verdana"/>
          <w:i/>
          <w:sz w:val="16"/>
          <w:szCs w:val="16"/>
          <w:lang w:val="es-CR"/>
        </w:rPr>
        <w:t xml:space="preserve"> </w:t>
      </w:r>
      <w:r w:rsidR="00BB5EF0">
        <w:rPr>
          <w:rFonts w:ascii="Verdana" w:hAnsi="Verdana"/>
          <w:i/>
          <w:sz w:val="16"/>
          <w:szCs w:val="16"/>
          <w:lang w:val="es-CR"/>
        </w:rPr>
        <w:t>V</w:t>
      </w:r>
      <w:r w:rsidRPr="000F6004">
        <w:rPr>
          <w:rFonts w:ascii="Verdana" w:hAnsi="Verdana"/>
          <w:i/>
          <w:sz w:val="16"/>
          <w:szCs w:val="16"/>
          <w:lang w:val="es-CR"/>
        </w:rPr>
        <w:t>s. Guatemala</w:t>
      </w:r>
      <w:r>
        <w:rPr>
          <w:rFonts w:ascii="Verdana" w:hAnsi="Verdana"/>
          <w:sz w:val="16"/>
          <w:szCs w:val="16"/>
          <w:lang w:val="es-CR"/>
        </w:rPr>
        <w:t xml:space="preserve">” en el procedimiento ante este Tribunal. </w:t>
      </w:r>
    </w:p>
  </w:footnote>
  <w:footnote w:id="2">
    <w:p w:rsidR="004C6385" w:rsidRPr="0036054A" w:rsidRDefault="00282AC3" w:rsidP="004C6385">
      <w:pPr>
        <w:pStyle w:val="Textonotapie"/>
        <w:tabs>
          <w:tab w:val="left" w:pos="567"/>
        </w:tabs>
        <w:spacing w:before="120" w:after="120"/>
        <w:jc w:val="both"/>
        <w:rPr>
          <w:rFonts w:ascii="Verdana" w:hAnsi="Verdana" w:cs="Verdana"/>
          <w:spacing w:val="-4"/>
          <w:sz w:val="16"/>
          <w:szCs w:val="16"/>
          <w:lang w:val="es-ES"/>
        </w:rPr>
      </w:pPr>
      <w:r w:rsidRPr="004D0E16">
        <w:rPr>
          <w:rStyle w:val="Refdenotaalpie"/>
          <w:rFonts w:ascii="Verdana" w:hAnsi="Verdana" w:cs="Verdana"/>
          <w:spacing w:val="-4"/>
          <w:sz w:val="16"/>
          <w:szCs w:val="16"/>
        </w:rPr>
        <w:footnoteRef/>
      </w:r>
      <w:r w:rsidRPr="004D0E16">
        <w:rPr>
          <w:rFonts w:ascii="Verdana" w:hAnsi="Verdana" w:cs="Verdana"/>
          <w:spacing w:val="-4"/>
          <w:sz w:val="16"/>
          <w:szCs w:val="16"/>
          <w:lang w:val="es-ES"/>
        </w:rPr>
        <w:t xml:space="preserve"> </w:t>
      </w:r>
      <w:r w:rsidRPr="004D0E16">
        <w:rPr>
          <w:rFonts w:ascii="Verdana" w:hAnsi="Verdana" w:cs="Verdana"/>
          <w:spacing w:val="-4"/>
          <w:sz w:val="16"/>
          <w:szCs w:val="16"/>
          <w:lang w:val="es-ES"/>
        </w:rPr>
        <w:tab/>
        <w:t>Reglamento de la Corte Interamericana de Derechos Humanos sobre el Funcionamiento del Fondo de Asistencia Legal de Víctimas</w:t>
      </w:r>
      <w:r w:rsidRPr="0036054A">
        <w:rPr>
          <w:rFonts w:ascii="Verdana" w:hAnsi="Verdana" w:cs="Verdana"/>
          <w:spacing w:val="-4"/>
          <w:sz w:val="16"/>
          <w:szCs w:val="16"/>
          <w:lang w:val="es-ES"/>
        </w:rPr>
        <w:t>, aprobado por el Tribunal el 4 de febrero de 2010, artículo 2.</w:t>
      </w:r>
    </w:p>
  </w:footnote>
  <w:footnote w:id="3">
    <w:p w:rsidR="00BB5EF0" w:rsidRPr="0036054A" w:rsidRDefault="00BB5EF0" w:rsidP="00BB5EF0">
      <w:pPr>
        <w:pStyle w:val="Textonotapie"/>
        <w:tabs>
          <w:tab w:val="left" w:pos="567"/>
        </w:tabs>
        <w:spacing w:before="120" w:after="120"/>
        <w:jc w:val="both"/>
        <w:rPr>
          <w:rFonts w:ascii="Verdana" w:hAnsi="Verdana" w:cs="Verdana"/>
          <w:spacing w:val="-4"/>
          <w:sz w:val="16"/>
          <w:szCs w:val="16"/>
          <w:lang w:val="es-ES"/>
        </w:rPr>
      </w:pPr>
      <w:r w:rsidRPr="004D0E16">
        <w:rPr>
          <w:rStyle w:val="Refdenotaalpie"/>
          <w:rFonts w:ascii="Verdana" w:hAnsi="Verdana" w:cs="Verdana"/>
          <w:spacing w:val="-4"/>
          <w:sz w:val="16"/>
          <w:szCs w:val="16"/>
        </w:rPr>
        <w:footnoteRef/>
      </w:r>
      <w:r w:rsidRPr="004D0E16">
        <w:rPr>
          <w:rFonts w:ascii="Verdana" w:hAnsi="Verdana" w:cs="Verdana"/>
          <w:spacing w:val="-4"/>
          <w:sz w:val="16"/>
          <w:szCs w:val="16"/>
          <w:lang w:val="es-ES"/>
        </w:rPr>
        <w:t xml:space="preserve"> </w:t>
      </w:r>
      <w:r w:rsidRPr="004D0E16">
        <w:rPr>
          <w:rFonts w:ascii="Verdana" w:hAnsi="Verdana" w:cs="Verdana"/>
          <w:spacing w:val="-4"/>
          <w:sz w:val="16"/>
          <w:szCs w:val="16"/>
          <w:lang w:val="es-ES"/>
        </w:rPr>
        <w:tab/>
        <w:t>Reglamento de la Corte Interamericana de Derechos Humanos sobre el Funcionamiento del Fondo de Asistencia Legal de Víctimas</w:t>
      </w:r>
      <w:r w:rsidRPr="0036054A">
        <w:rPr>
          <w:rFonts w:ascii="Verdana" w:hAnsi="Verdana" w:cs="Verdana"/>
          <w:spacing w:val="-4"/>
          <w:sz w:val="16"/>
          <w:szCs w:val="16"/>
          <w:lang w:val="es-ES"/>
        </w:rPr>
        <w:t xml:space="preserve">, aprobado por el Tribunal el 4 de febrero de 2010, artículo </w:t>
      </w:r>
      <w:r>
        <w:rPr>
          <w:rFonts w:ascii="Verdana" w:hAnsi="Verdana" w:cs="Verdana"/>
          <w:spacing w:val="-4"/>
          <w:sz w:val="16"/>
          <w:szCs w:val="16"/>
          <w:lang w:val="es-ES"/>
        </w:rPr>
        <w:t>3</w:t>
      </w:r>
      <w:r w:rsidRPr="0036054A">
        <w:rPr>
          <w:rFonts w:ascii="Verdana" w:hAnsi="Verdana" w:cs="Verdana"/>
          <w:spacing w:val="-4"/>
          <w:sz w:val="16"/>
          <w:szCs w:val="16"/>
          <w:lang w:val="es-ES"/>
        </w:rPr>
        <w:t>.</w:t>
      </w:r>
    </w:p>
  </w:footnote>
  <w:footnote w:id="4">
    <w:p w:rsidR="00917CD8" w:rsidRPr="00187F9A" w:rsidRDefault="00917CD8" w:rsidP="004C6385">
      <w:pPr>
        <w:tabs>
          <w:tab w:val="left" w:pos="567"/>
        </w:tabs>
        <w:autoSpaceDE w:val="0"/>
        <w:autoSpaceDN w:val="0"/>
        <w:adjustRightInd w:val="0"/>
        <w:spacing w:before="120" w:after="120" w:line="240" w:lineRule="auto"/>
        <w:jc w:val="both"/>
        <w:rPr>
          <w:rFonts w:ascii="Verdana" w:hAnsi="Verdana" w:cs="Arial"/>
          <w:sz w:val="16"/>
          <w:szCs w:val="16"/>
          <w:lang w:val="es-CR"/>
        </w:rPr>
      </w:pPr>
      <w:r w:rsidRPr="0036054A">
        <w:rPr>
          <w:rStyle w:val="Refdenotaalpie"/>
          <w:rFonts w:ascii="Verdana" w:hAnsi="Verdana"/>
          <w:spacing w:val="-4"/>
          <w:sz w:val="16"/>
          <w:szCs w:val="16"/>
        </w:rPr>
        <w:footnoteRef/>
      </w:r>
      <w:r w:rsidRPr="0036054A">
        <w:rPr>
          <w:rFonts w:ascii="Verdana" w:hAnsi="Verdana"/>
          <w:spacing w:val="-4"/>
          <w:sz w:val="16"/>
          <w:szCs w:val="16"/>
          <w:lang w:val="es-AR"/>
        </w:rPr>
        <w:t xml:space="preserve"> </w:t>
      </w:r>
      <w:r w:rsidRPr="0036054A">
        <w:rPr>
          <w:rFonts w:ascii="Verdana" w:hAnsi="Verdana"/>
          <w:spacing w:val="-4"/>
          <w:sz w:val="16"/>
          <w:szCs w:val="16"/>
          <w:lang w:val="es-AR"/>
        </w:rPr>
        <w:tab/>
      </w:r>
      <w:r w:rsidRPr="0036054A">
        <w:rPr>
          <w:rFonts w:ascii="Verdana" w:hAnsi="Verdana"/>
          <w:i/>
          <w:spacing w:val="-4"/>
          <w:sz w:val="16"/>
          <w:szCs w:val="16"/>
          <w:lang w:val="es-AR"/>
        </w:rPr>
        <w:t xml:space="preserve">Cfr. </w:t>
      </w:r>
      <w:r w:rsidRPr="00187F9A">
        <w:rPr>
          <w:rFonts w:ascii="Verdana" w:hAnsi="Verdana" w:cs="Arial"/>
          <w:sz w:val="16"/>
          <w:szCs w:val="16"/>
          <w:lang w:val="es-AR"/>
        </w:rPr>
        <w:t xml:space="preserve">Declaraciones juradas de Gustavo </w:t>
      </w:r>
      <w:proofErr w:type="spellStart"/>
      <w:r w:rsidRPr="00187F9A">
        <w:rPr>
          <w:rFonts w:ascii="Verdana" w:hAnsi="Verdana" w:cs="Arial"/>
          <w:sz w:val="16"/>
          <w:szCs w:val="16"/>
          <w:lang w:val="es-AR"/>
        </w:rPr>
        <w:t>Amilcar</w:t>
      </w:r>
      <w:proofErr w:type="spellEnd"/>
      <w:r w:rsidRPr="00187F9A">
        <w:rPr>
          <w:rFonts w:ascii="Verdana" w:hAnsi="Verdana" w:cs="Arial"/>
          <w:sz w:val="16"/>
          <w:szCs w:val="16"/>
          <w:lang w:val="es-AR"/>
        </w:rPr>
        <w:t xml:space="preserve"> Tobar F</w:t>
      </w:r>
      <w:r w:rsidR="004D1E12" w:rsidRPr="00187F9A">
        <w:rPr>
          <w:rFonts w:ascii="Verdana" w:hAnsi="Verdana" w:cs="Arial"/>
          <w:sz w:val="16"/>
          <w:szCs w:val="16"/>
          <w:lang w:val="es-AR"/>
        </w:rPr>
        <w:t>a</w:t>
      </w:r>
      <w:r w:rsidRPr="00187F9A">
        <w:rPr>
          <w:rFonts w:ascii="Verdana" w:hAnsi="Verdana" w:cs="Arial"/>
          <w:sz w:val="16"/>
          <w:szCs w:val="16"/>
          <w:lang w:val="es-AR"/>
        </w:rPr>
        <w:t>jardo</w:t>
      </w:r>
      <w:r w:rsidR="004C6385" w:rsidRPr="00187F9A">
        <w:rPr>
          <w:rFonts w:ascii="Verdana" w:hAnsi="Verdana" w:cs="Arial"/>
          <w:sz w:val="16"/>
          <w:szCs w:val="16"/>
          <w:lang w:val="es-AR"/>
        </w:rPr>
        <w:t xml:space="preserve"> y de</w:t>
      </w:r>
      <w:r w:rsidRPr="00187F9A">
        <w:rPr>
          <w:rFonts w:ascii="Verdana" w:hAnsi="Verdana" w:cs="Arial"/>
          <w:sz w:val="16"/>
          <w:szCs w:val="16"/>
          <w:lang w:val="es-AR"/>
        </w:rPr>
        <w:t xml:space="preserve"> Ricardo William </w:t>
      </w:r>
      <w:proofErr w:type="spellStart"/>
      <w:r w:rsidRPr="00187F9A">
        <w:rPr>
          <w:rFonts w:ascii="Verdana" w:hAnsi="Verdana" w:cs="Arial"/>
          <w:sz w:val="16"/>
          <w:szCs w:val="16"/>
          <w:lang w:val="es-AR"/>
        </w:rPr>
        <w:t>Borz</w:t>
      </w:r>
      <w:proofErr w:type="spellEnd"/>
      <w:r w:rsidRPr="00187F9A">
        <w:rPr>
          <w:rFonts w:ascii="Verdana" w:hAnsi="Verdana" w:cs="Arial"/>
          <w:sz w:val="16"/>
          <w:szCs w:val="16"/>
          <w:lang w:val="es-AR"/>
        </w:rPr>
        <w:t xml:space="preserve"> de 10 de junio de 201</w:t>
      </w:r>
      <w:r w:rsidR="008A7A1B" w:rsidRPr="00187F9A">
        <w:rPr>
          <w:rFonts w:ascii="Verdana" w:hAnsi="Verdana" w:cs="Arial"/>
          <w:sz w:val="16"/>
          <w:szCs w:val="16"/>
          <w:lang w:val="es-AR"/>
        </w:rPr>
        <w:t>6</w:t>
      </w:r>
      <w:r w:rsidR="00AF4839" w:rsidRPr="00187F9A">
        <w:rPr>
          <w:rFonts w:ascii="Verdana" w:hAnsi="Verdana" w:cs="Arial"/>
          <w:sz w:val="16"/>
          <w:szCs w:val="16"/>
          <w:lang w:val="es-AR"/>
        </w:rPr>
        <w:t>,</w:t>
      </w:r>
      <w:r w:rsidRPr="00187F9A">
        <w:rPr>
          <w:rFonts w:ascii="Verdana" w:hAnsi="Verdana" w:cs="Arial"/>
          <w:sz w:val="16"/>
          <w:szCs w:val="16"/>
          <w:lang w:val="es-AR"/>
        </w:rPr>
        <w:t xml:space="preserve"> y de Flor de María Ramírez Escobar de 12 de julio de 2016 (expediente de prueba, folios 6567 a 6570).</w:t>
      </w:r>
      <w:r w:rsidR="005542C0" w:rsidRPr="00187F9A">
        <w:rPr>
          <w:rFonts w:ascii="Verdana" w:hAnsi="Verdana" w:cs="Arial"/>
          <w:sz w:val="16"/>
          <w:szCs w:val="16"/>
          <w:lang w:val="es-AR"/>
        </w:rPr>
        <w:t xml:space="preserve"> Asimismo, los representantes </w:t>
      </w:r>
      <w:r w:rsidR="005542C0" w:rsidRPr="00187F9A">
        <w:rPr>
          <w:rFonts w:ascii="Verdana" w:hAnsi="Verdana" w:cs="Arial"/>
          <w:sz w:val="16"/>
          <w:szCs w:val="16"/>
          <w:lang w:val="es-CR"/>
        </w:rPr>
        <w:t>aportaron</w:t>
      </w:r>
      <w:r w:rsidR="00653B1C" w:rsidRPr="00187F9A">
        <w:rPr>
          <w:rFonts w:ascii="Verdana" w:hAnsi="Verdana" w:cs="Arial"/>
          <w:sz w:val="16"/>
          <w:szCs w:val="16"/>
          <w:lang w:val="es-CR"/>
        </w:rPr>
        <w:t xml:space="preserve"> dos declaraciones juradas </w:t>
      </w:r>
      <w:r w:rsidR="003D04EC" w:rsidRPr="00187F9A">
        <w:rPr>
          <w:rFonts w:ascii="Verdana" w:hAnsi="Verdana" w:cs="Arial"/>
          <w:sz w:val="16"/>
          <w:szCs w:val="16"/>
          <w:lang w:val="es-CR"/>
        </w:rPr>
        <w:t>sobre carencia de fondos suficien</w:t>
      </w:r>
      <w:r w:rsidR="00E54F7B" w:rsidRPr="00187F9A">
        <w:rPr>
          <w:rFonts w:ascii="Verdana" w:hAnsi="Verdana" w:cs="Arial"/>
          <w:sz w:val="16"/>
          <w:szCs w:val="16"/>
          <w:lang w:val="es-CR"/>
        </w:rPr>
        <w:t>tes para afrontar los costos del proceso.</w:t>
      </w:r>
      <w:r w:rsidR="005632EF" w:rsidRPr="00187F9A">
        <w:rPr>
          <w:rFonts w:ascii="Verdana" w:hAnsi="Verdana" w:cs="Arial"/>
          <w:sz w:val="16"/>
          <w:szCs w:val="16"/>
          <w:lang w:val="es-CR"/>
        </w:rPr>
        <w:t xml:space="preserve"> </w:t>
      </w:r>
      <w:r w:rsidR="005632EF" w:rsidRPr="0036054A">
        <w:rPr>
          <w:rFonts w:ascii="Verdana" w:hAnsi="Verdana"/>
          <w:spacing w:val="-4"/>
          <w:sz w:val="16"/>
          <w:szCs w:val="16"/>
          <w:lang w:val="es-CR"/>
        </w:rPr>
        <w:t xml:space="preserve">Sin embargo, esta Presidencia </w:t>
      </w:r>
      <w:r w:rsidR="00AB0DA6" w:rsidRPr="0036054A">
        <w:rPr>
          <w:rFonts w:ascii="Verdana" w:hAnsi="Verdana"/>
          <w:spacing w:val="-4"/>
          <w:sz w:val="16"/>
          <w:szCs w:val="16"/>
          <w:lang w:val="es-CR"/>
        </w:rPr>
        <w:t xml:space="preserve">recuerda que son las víctimas las que deben beneficiarse del Fondo de Asistencia, por lo que es de ellas que se debe demostrar la carencia de recursos suficientes para sufragar los gastos del </w:t>
      </w:r>
      <w:r w:rsidR="00AB0DA6" w:rsidRPr="00AB0DA6">
        <w:rPr>
          <w:rFonts w:ascii="Verdana" w:hAnsi="Verdana"/>
          <w:spacing w:val="-4"/>
          <w:sz w:val="16"/>
          <w:szCs w:val="16"/>
          <w:lang w:val="es-CR"/>
        </w:rPr>
        <w:t>litigio.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038" w:rsidRPr="00774767" w:rsidRDefault="00BE7DD4">
    <w:pPr>
      <w:pStyle w:val="Encabezado"/>
      <w:jc w:val="center"/>
      <w:rPr>
        <w:rFonts w:ascii="Verdana" w:hAnsi="Verdana"/>
        <w:sz w:val="20"/>
        <w:szCs w:val="20"/>
      </w:rPr>
    </w:pPr>
    <w:r>
      <w:rPr>
        <w:rFonts w:ascii="Verdana" w:hAnsi="Verdana"/>
        <w:sz w:val="20"/>
        <w:szCs w:val="20"/>
      </w:rPr>
      <w:t xml:space="preserve">- </w:t>
    </w:r>
    <w:r w:rsidR="004D482A" w:rsidRPr="00774767">
      <w:rPr>
        <w:rFonts w:ascii="Verdana" w:hAnsi="Verdana"/>
        <w:sz w:val="20"/>
        <w:szCs w:val="20"/>
      </w:rPr>
      <w:fldChar w:fldCharType="begin"/>
    </w:r>
    <w:r w:rsidR="004D482A" w:rsidRPr="00774767">
      <w:rPr>
        <w:rFonts w:ascii="Verdana" w:hAnsi="Verdana"/>
        <w:sz w:val="20"/>
        <w:szCs w:val="20"/>
      </w:rPr>
      <w:instrText xml:space="preserve"> PAGE   \* MERGEFORMAT </w:instrText>
    </w:r>
    <w:r w:rsidR="004D482A" w:rsidRPr="00774767">
      <w:rPr>
        <w:rFonts w:ascii="Verdana" w:hAnsi="Verdana"/>
        <w:sz w:val="20"/>
        <w:szCs w:val="20"/>
      </w:rPr>
      <w:fldChar w:fldCharType="separate"/>
    </w:r>
    <w:r w:rsidR="005615C2">
      <w:rPr>
        <w:rFonts w:ascii="Verdana" w:hAnsi="Verdana"/>
        <w:noProof/>
        <w:sz w:val="20"/>
        <w:szCs w:val="20"/>
      </w:rPr>
      <w:t>4</w:t>
    </w:r>
    <w:r w:rsidR="004D482A" w:rsidRPr="00774767">
      <w:rPr>
        <w:rFonts w:ascii="Verdana" w:hAnsi="Verdana"/>
        <w:sz w:val="20"/>
        <w:szCs w:val="20"/>
      </w:rPr>
      <w:fldChar w:fldCharType="end"/>
    </w:r>
    <w:r>
      <w:rPr>
        <w:rFonts w:ascii="Verdana" w:hAnsi="Verdana"/>
        <w:sz w:val="20"/>
        <w:szCs w:val="20"/>
      </w:rPr>
      <w:t xml:space="preserve"> -</w:t>
    </w:r>
  </w:p>
  <w:p w:rsidR="00CD4038" w:rsidRDefault="00CD40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AC3"/>
    <w:rsid w:val="000074A3"/>
    <w:rsid w:val="00023C6E"/>
    <w:rsid w:val="0003422C"/>
    <w:rsid w:val="000540C1"/>
    <w:rsid w:val="000600A9"/>
    <w:rsid w:val="0006423C"/>
    <w:rsid w:val="00067EAD"/>
    <w:rsid w:val="000858A4"/>
    <w:rsid w:val="0008745D"/>
    <w:rsid w:val="000C69DB"/>
    <w:rsid w:val="000D1637"/>
    <w:rsid w:val="000F6004"/>
    <w:rsid w:val="00187F9A"/>
    <w:rsid w:val="001A2AFA"/>
    <w:rsid w:val="002262D1"/>
    <w:rsid w:val="00226FDF"/>
    <w:rsid w:val="00236FEE"/>
    <w:rsid w:val="00252264"/>
    <w:rsid w:val="00272469"/>
    <w:rsid w:val="00282AC3"/>
    <w:rsid w:val="002B2BED"/>
    <w:rsid w:val="002C3CE5"/>
    <w:rsid w:val="002E689D"/>
    <w:rsid w:val="002E7FE9"/>
    <w:rsid w:val="00305737"/>
    <w:rsid w:val="00314535"/>
    <w:rsid w:val="0033202B"/>
    <w:rsid w:val="003327A0"/>
    <w:rsid w:val="00334258"/>
    <w:rsid w:val="00352D68"/>
    <w:rsid w:val="0036054A"/>
    <w:rsid w:val="00381137"/>
    <w:rsid w:val="003A721B"/>
    <w:rsid w:val="003D04EC"/>
    <w:rsid w:val="003D1FC6"/>
    <w:rsid w:val="004212C6"/>
    <w:rsid w:val="0042551D"/>
    <w:rsid w:val="00477D69"/>
    <w:rsid w:val="004B10B4"/>
    <w:rsid w:val="004C6385"/>
    <w:rsid w:val="004D003F"/>
    <w:rsid w:val="004D0E16"/>
    <w:rsid w:val="004D1E12"/>
    <w:rsid w:val="004D482A"/>
    <w:rsid w:val="00517E68"/>
    <w:rsid w:val="005404BC"/>
    <w:rsid w:val="00543922"/>
    <w:rsid w:val="005542C0"/>
    <w:rsid w:val="005615C2"/>
    <w:rsid w:val="005632EF"/>
    <w:rsid w:val="00571BCE"/>
    <w:rsid w:val="005C5183"/>
    <w:rsid w:val="006401D2"/>
    <w:rsid w:val="006424EC"/>
    <w:rsid w:val="00644314"/>
    <w:rsid w:val="00653B1C"/>
    <w:rsid w:val="00664DB9"/>
    <w:rsid w:val="00666735"/>
    <w:rsid w:val="006A397D"/>
    <w:rsid w:val="006D2166"/>
    <w:rsid w:val="006D6F21"/>
    <w:rsid w:val="006F316C"/>
    <w:rsid w:val="00750381"/>
    <w:rsid w:val="00791582"/>
    <w:rsid w:val="007A0C2B"/>
    <w:rsid w:val="007C1AEA"/>
    <w:rsid w:val="00804F66"/>
    <w:rsid w:val="00813669"/>
    <w:rsid w:val="008666FD"/>
    <w:rsid w:val="008862D2"/>
    <w:rsid w:val="008A7A1B"/>
    <w:rsid w:val="008D46B7"/>
    <w:rsid w:val="008E4841"/>
    <w:rsid w:val="008F616C"/>
    <w:rsid w:val="0091383C"/>
    <w:rsid w:val="00914968"/>
    <w:rsid w:val="00917CD8"/>
    <w:rsid w:val="009878FB"/>
    <w:rsid w:val="009B0481"/>
    <w:rsid w:val="009D53C8"/>
    <w:rsid w:val="00A05E0C"/>
    <w:rsid w:val="00A52C4D"/>
    <w:rsid w:val="00A63DF7"/>
    <w:rsid w:val="00A768BF"/>
    <w:rsid w:val="00AB0DA6"/>
    <w:rsid w:val="00AC7227"/>
    <w:rsid w:val="00AD01CC"/>
    <w:rsid w:val="00AD58BE"/>
    <w:rsid w:val="00AF28AE"/>
    <w:rsid w:val="00AF4839"/>
    <w:rsid w:val="00B13A5F"/>
    <w:rsid w:val="00B301B9"/>
    <w:rsid w:val="00B567B5"/>
    <w:rsid w:val="00B60F1F"/>
    <w:rsid w:val="00B848AA"/>
    <w:rsid w:val="00B936F5"/>
    <w:rsid w:val="00BB0F9B"/>
    <w:rsid w:val="00BB223C"/>
    <w:rsid w:val="00BB5EF0"/>
    <w:rsid w:val="00BD68D7"/>
    <w:rsid w:val="00BE7DD4"/>
    <w:rsid w:val="00C011BD"/>
    <w:rsid w:val="00C91BC2"/>
    <w:rsid w:val="00CA41C5"/>
    <w:rsid w:val="00CA585B"/>
    <w:rsid w:val="00CD4038"/>
    <w:rsid w:val="00CD65AF"/>
    <w:rsid w:val="00D02D97"/>
    <w:rsid w:val="00D20344"/>
    <w:rsid w:val="00D40B7C"/>
    <w:rsid w:val="00D43E17"/>
    <w:rsid w:val="00D923B3"/>
    <w:rsid w:val="00DA4999"/>
    <w:rsid w:val="00DF69FC"/>
    <w:rsid w:val="00E0769C"/>
    <w:rsid w:val="00E146E9"/>
    <w:rsid w:val="00E42F56"/>
    <w:rsid w:val="00E54F7B"/>
    <w:rsid w:val="00E673DF"/>
    <w:rsid w:val="00E70D3E"/>
    <w:rsid w:val="00E85BD6"/>
    <w:rsid w:val="00EB28BA"/>
    <w:rsid w:val="00F37C6B"/>
    <w:rsid w:val="00F57E4C"/>
    <w:rsid w:val="00F67BFE"/>
    <w:rsid w:val="00F77241"/>
    <w:rsid w:val="00FD5B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AC3"/>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82AC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282AC3"/>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282AC3"/>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rsid w:val="00282AC3"/>
    <w:rPr>
      <w:rFonts w:ascii="Calibri" w:eastAsia="Calibri" w:hAnsi="Calibri" w:cs="Times New Roman"/>
      <w:sz w:val="20"/>
      <w:szCs w:val="20"/>
      <w:lang w:val="x-none"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282AC3"/>
    <w:rPr>
      <w:vertAlign w:val="superscript"/>
    </w:rPr>
  </w:style>
  <w:style w:type="paragraph" w:styleId="Encabezado">
    <w:name w:val="header"/>
    <w:basedOn w:val="Normal"/>
    <w:link w:val="EncabezadoCar"/>
    <w:uiPriority w:val="99"/>
    <w:rsid w:val="00282AC3"/>
    <w:pPr>
      <w:tabs>
        <w:tab w:val="center" w:pos="4680"/>
        <w:tab w:val="right" w:pos="9360"/>
      </w:tabs>
      <w:spacing w:after="0" w:line="240" w:lineRule="auto"/>
    </w:pPr>
  </w:style>
  <w:style w:type="character" w:customStyle="1" w:styleId="EncabezadoCar">
    <w:name w:val="Encabezado Car"/>
    <w:link w:val="Encabezado"/>
    <w:uiPriority w:val="99"/>
    <w:rsid w:val="00282AC3"/>
    <w:rPr>
      <w:rFonts w:ascii="Calibri" w:eastAsia="Calibri" w:hAnsi="Calibri" w:cs="Calibri"/>
    </w:rPr>
  </w:style>
  <w:style w:type="character" w:styleId="Refdecomentario">
    <w:name w:val="annotation reference"/>
    <w:uiPriority w:val="99"/>
    <w:semiHidden/>
    <w:unhideWhenUsed/>
    <w:rsid w:val="003A721B"/>
    <w:rPr>
      <w:sz w:val="16"/>
      <w:szCs w:val="16"/>
    </w:rPr>
  </w:style>
  <w:style w:type="paragraph" w:styleId="Textocomentario">
    <w:name w:val="annotation text"/>
    <w:basedOn w:val="Normal"/>
    <w:link w:val="TextocomentarioCar"/>
    <w:uiPriority w:val="99"/>
    <w:semiHidden/>
    <w:unhideWhenUsed/>
    <w:rsid w:val="003A721B"/>
    <w:pPr>
      <w:spacing w:line="240" w:lineRule="auto"/>
    </w:pPr>
    <w:rPr>
      <w:sz w:val="20"/>
      <w:szCs w:val="20"/>
    </w:rPr>
  </w:style>
  <w:style w:type="character" w:customStyle="1" w:styleId="TextocomentarioCar">
    <w:name w:val="Texto comentario Car"/>
    <w:link w:val="Textocomentario"/>
    <w:uiPriority w:val="99"/>
    <w:semiHidden/>
    <w:rsid w:val="003A721B"/>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3A721B"/>
    <w:rPr>
      <w:b/>
      <w:bCs/>
    </w:rPr>
  </w:style>
  <w:style w:type="character" w:customStyle="1" w:styleId="AsuntodelcomentarioCar">
    <w:name w:val="Asunto del comentario Car"/>
    <w:link w:val="Asuntodelcomentario"/>
    <w:uiPriority w:val="99"/>
    <w:semiHidden/>
    <w:rsid w:val="003A721B"/>
    <w:rPr>
      <w:rFonts w:ascii="Calibri" w:eastAsia="Calibri" w:hAnsi="Calibri" w:cs="Calibri"/>
      <w:b/>
      <w:bCs/>
      <w:sz w:val="20"/>
      <w:szCs w:val="20"/>
    </w:rPr>
  </w:style>
  <w:style w:type="paragraph" w:styleId="Textodeglobo">
    <w:name w:val="Balloon Text"/>
    <w:basedOn w:val="Normal"/>
    <w:link w:val="TextodegloboCar"/>
    <w:uiPriority w:val="99"/>
    <w:semiHidden/>
    <w:unhideWhenUsed/>
    <w:rsid w:val="003A721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A721B"/>
    <w:rPr>
      <w:rFonts w:ascii="Tahoma" w:eastAsia="Calibri" w:hAnsi="Tahoma" w:cs="Tahoma"/>
      <w:sz w:val="16"/>
      <w:szCs w:val="16"/>
    </w:rPr>
  </w:style>
  <w:style w:type="paragraph" w:styleId="Piedepgina">
    <w:name w:val="footer"/>
    <w:basedOn w:val="Normal"/>
    <w:link w:val="PiedepginaCar"/>
    <w:uiPriority w:val="99"/>
    <w:unhideWhenUsed/>
    <w:rsid w:val="00BE7DD4"/>
    <w:pPr>
      <w:tabs>
        <w:tab w:val="center" w:pos="4419"/>
        <w:tab w:val="right" w:pos="8838"/>
      </w:tabs>
      <w:spacing w:after="0" w:line="240" w:lineRule="auto"/>
    </w:pPr>
  </w:style>
  <w:style w:type="character" w:customStyle="1" w:styleId="PiedepginaCar">
    <w:name w:val="Pie de página Car"/>
    <w:link w:val="Piedepgina"/>
    <w:uiPriority w:val="99"/>
    <w:rsid w:val="00BE7D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7869">
      <w:bodyDiv w:val="1"/>
      <w:marLeft w:val="0"/>
      <w:marRight w:val="0"/>
      <w:marTop w:val="0"/>
      <w:marBottom w:val="0"/>
      <w:divBdr>
        <w:top w:val="none" w:sz="0" w:space="0" w:color="auto"/>
        <w:left w:val="none" w:sz="0" w:space="0" w:color="auto"/>
        <w:bottom w:val="none" w:sz="0" w:space="0" w:color="auto"/>
        <w:right w:val="none" w:sz="0" w:space="0" w:color="auto"/>
      </w:divBdr>
    </w:div>
    <w:div w:id="7247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3D172-066D-48FE-85F1-217FC174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5719</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2017-08-08T16:18:00Z</cp:lastPrinted>
  <dcterms:created xsi:type="dcterms:W3CDTF">2017-08-08T16:18:00Z</dcterms:created>
  <dcterms:modified xsi:type="dcterms:W3CDTF">2017-08-08T16:19:00Z</dcterms:modified>
</cp:coreProperties>
</file>